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8"/>
        </w:rPr>
        <w:t>股指期货套利策略研究报告</w:t>
      </w:r>
    </w:p>
    <w:p>
      <w:pPr>
        <w:spacing w:after="240"/>
        <w:jc w:val="center"/>
      </w:pPr>
      <w:r>
        <w:rPr>
          <w:rFonts w:ascii="Times New Roman" w:hAnsi="Times New Roman" w:eastAsia="黑体"/>
          <w:b w:val="0"/>
          <w:i w:val="0"/>
          <w:color w:val="555555"/>
          <w:sz w:val="30"/>
        </w:rPr>
        <w:t>吃贴水与跨期套利的策略评估与风险拆解</w:t>
      </w:r>
    </w:p>
    <w:p>
      <w:pPr>
        <w:spacing w:before="80" w:after="200"/>
        <w:pBdr>
          <w:bottom w:val="single" w:sz="10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研究标的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IC（中证500股指期货）与 IM（中证1000股指期货）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数据区间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策略口径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吃贴水多头 + 基差阈值择时 + 跨期价差套利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评估维度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收益、风险、统计显著性、交易可执行性、可复现性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24"/>
        </w:rPr>
        <w:t>金融工程策略研究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eastAsia="黑体"/>
          <w:b/>
          <w:i w:val="0"/>
          <w:color w:val="222222"/>
          <w:sz w:val="36"/>
        </w:rPr>
        <w:t>目录</w:t>
      </w:r>
    </w:p>
    <w:p>
      <w:pPr>
        <w:spacing w:before="80" w:after="80"/>
      </w:pPr>
      <w:r>
        <w:rPr>
          <w:rFonts w:ascii="Times New Roman" w:hAnsi="Times New Roman" w:eastAsia="宋体"/>
          <w:b w:val="0"/>
          <w:i w:val="0"/>
          <w:color w:val="222222"/>
          <w:sz w:val="21"/>
        </w:rPr>
        <w:fldChar w:fldCharType="begin"/>
        <w:instrText xml:space="preserve"> TOC \o "1-2" \h \z \u </w:instrText>
        <w:fldChar w:fldCharType="separate"/>
        <w:t>打开文档后目录将自动更新</w:t>
        <w:fldChar w:fldCharType="end"/>
      </w:r>
    </w:p>
    <w:p>
      <w:r>
        <w:br w:type="page"/>
      </w:r>
    </w:p>
    <w:p>
      <w:pPr>
        <w:spacing w:before="200" w:after="320"/>
        <w:jc w:val="center"/>
      </w:pPr>
      <w:r>
        <w:rPr>
          <w:rFonts w:ascii="Times New Roman" w:hAnsi="Times New Roman" w:eastAsia="黑体"/>
          <w:b/>
          <w:i w:val="0"/>
          <w:color w:val="222222"/>
          <w:sz w:val="40"/>
        </w:rPr>
        <w:t>股指期货吃贴水与跨期套利策略研究</w:t>
      </w: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摘要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本报告研究 IC（中证500股指期货）和 IM（中证1000股指期货）的吃贴水与跨期套利策略。核心发现：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吃贴水策略跑赢指数。IC Always 年化收益 9.60%（指数 0.83%），IM Always 15.78%（指数 5.31%），超额来自贴水结构下的基差收敛与展期补偿。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超额不等于低风险。IC Always 最大回撤 -59.39%，IM Always -46.31%，策略本质是指数多头替代而非市场中性套利。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基差对前瞻指数收益的预测力极弱（前瞻 IC ≈ 0.08），不能用作择时信号。基差高度均值回复（IC 半衰期 5.6 天，IM 4.5 天）。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跨期套利（日频 T+1）收益厚度有限：代表性参数下 IC Sharpe -1.51，IM Sharpe -2.23。64 组参数扫描（均值回复+趋势，4×4×2×2）均无正 Sharpe。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吃贴水+跨期套利组合边际改善回撤（70/30 下 IC MaxDD -59.4%→-45.9%，+13.5pp），但 Sharpe 未提升（0.23→0.21）。改善来自跨期套利充当了隐性降仓工具，而非独立 alpha 贡献。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Block Bootstrap 检验：IC SR 差异 95% CI [0.045, 0.591]，p=0.023，CI 不覆盖 0；IM CI [0.128, 0.473]，p&lt;0.001。统计上不能认为 SR 差异为 0，但超额来自 beta 敞口+展期补偿而非独立 alpha。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研究流程保留完整计算记录，原始数据、参数设定、交易规则与检验口径均可复核。报告中的核心数字均可由原始数据重新计算得到，避免手工填数。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 研究口径与核心设定：概括报告的研究标的、数据区间、交易假设和评价重点。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口径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研究标的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 与 IM 主力合约，使用真实合约代码交易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数据区间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信号与执行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日收盘后产生信号，T+1 日收盘价成交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成本假设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0.23‱，滑点 0.2 指数点，合约乘数 200 元/点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初始资金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1,000,000 元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1. 数据与回测设定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1.1 数据来源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原始数据为 4 个 Excel 文件。数据清洗包括列名映射（中文列名中含有不间断空格（NBSP））、真实合约筛选（排除 "0Y" 连续合约序列）、主力合约提取（</w:t>
      </w:r>
      <w:r>
        <w:rPr>
          <w:rFonts w:ascii="Consolas" w:hAnsi="Consolas" w:eastAsia="宋体"/>
          <w:b w:val="0"/>
          <w:i w:val="0"/>
          <w:color w:val="555555"/>
          <w:sz w:val="23"/>
        </w:rPr>
        <w:t>main_force == 1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）。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2 数据质量检查：对比 IC 与 IM 的原始样本量、主力合约样本量、指数匹配率和合约切换统计。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检查项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全量期货样本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10,568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3,488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主力合约样本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2,642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872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日期范围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2015-04-16 ~ 2026-03-02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2022-07-22 ~ 2026-03-02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合约切换次数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130 次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43 次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指数匹配率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样本覆盖 2015 年以来多个市场阶段（股灾、熔断、熊市、COVID）；IM 自 2022 年起始，仅 872 个主力交易日，未经历完整牛熊周期。后文对 IM 的判断均在此前提下理解。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1.2 回测协议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3 回测假设与交易口径：统一所有策略的信号时点、成交时点、合约选择、展期规则和成本设定。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设定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日收盘后生成信号，使用截至 T 日可见数据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成交时点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T+1 日收盘价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代码实现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通过信号序列 shift(1) 避免未来函数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合约选择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真实期货合约，不使用连续合约作为交易标的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展期规则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到期前固定窗口（默认 1 天）换至下一合约；展期触发依赖持仓合约的实际到期日，不依赖当日主力切换标志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逐日盯市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按实际持有合约的收盘价计算每日盈亏（held-contract MTM），价格通过全量合约表查询，不依赖于主力连续序列。对少量精确日期缺失报价，仅在同一合约内部使用最近可得收盘价前向填充，不允许跨合约价格替代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+ 滑点逐笔扣除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换仓验证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覆盖全部 5 阈值×3 窗口×2 品种=30 组合，验证 old_ct≠new_ct、contract_month_gap=1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1.3 可复核性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研究的数据清洗、因子构造、策略回测、统计检验和图表生成使用同一套计算流程完成。原始数据读取、参数设置、交易规则和随机种子均有明确记录，报告中的核心数字可由原始数据重新计算得到。这样做的目的不是追求复杂实现，而是降低手工整理结果带来的口径偏差。</w:t>
      </w:r>
    </w:p>
    <w:p>
      <w:pPr>
        <w:sectPr>
          <w:headerReference w:type="default" r:id="rId9"/>
          <w:footerReference w:type="default" r:id="rId10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2. 基差因子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2.1 定义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基差 = 期货收盘价 − 指数收盘价。基差为负表示期货贴水。贴水市场中，期货价格临近到期向现货指数收敛。多头持有贴水合约，在承担指数方向风险的同时，获取基差收敛收益及展期补偿。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2.2 均值回复与前瞻预测能力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4 基差因子前瞻 IC 分析：ADF 均值回复检验、半衰期、基差对期货和指数前瞻 1/5/20 日收益的预测 IC。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统计量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-4.06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-4.38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0.0011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0.0003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半衰期（天）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5.6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4.5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IC(basis→期货前瞻1d)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-0.046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-0.022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p(f→f1d)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0.018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0.515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IC(basis→指数前瞻1d)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0.084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0.087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p(f→i1d)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0.010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IC(basis→指数前瞻5d)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0.106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0.002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IC(basis→指数前瞻20d)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0.042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0.046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基差率具有均值回复特征（ADF p&lt;0.01），半衰期 IC 约 5.6 天、IM 约 4.5 天。基差对前瞻指数收益的预测力极弱——Pearson IC 约 0.08-0.09，虽 p&lt;0.01 但经济意义微不足道。基差对期货前瞻 1 日收益有微弱负向预测力（IC≈-0.05），贴水越深→次日期货收益略低。贴水深度不应被用作指数方向的择时信号。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2.3 主力合约持有段收益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5 主力合约持有段收益统计：IC 与 IM 各持有段的期货收益和超额收益分布。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持有段数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期货持有段均值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1.15%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1.56%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持有段超额均值（期货−指数）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0.93%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0.73%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期货正收益占比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55.0%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61.4%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超额正收益占比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89.3%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88.6%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00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l_y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0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 主力合约持有段收益分布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1：期货持有段收益包含同期指数方向变动，超额（期货−指数）在扣减指数收益后更集中。超额正收益占比接近 90%，表明展期机制在大多数持有段内对期货多头提供了正的超额补偿。但这不等于每段都正——单段回撤仍可能很大。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3. 吃贴水策略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3.1 策略设计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测试两类规则：Always（始终做多主力合约，到期前展期）与 B &lt; −1.5%（基差率低于 −1.5% 时做多，否则空仓）。使用 T 日收盘后可见的基差率生成信号，T+1 日收盘价执行（代码中通过信号序列滞后一日实现，避免未来函数）。展期窗口默认 1 天，参数敏感性比较 1/3/5 天。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3.2 策略绩效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6 吃贴水策略主要绩效：比较 Always、B&lt;-1.5% 和指数基准在 IC 与 IM 上的收益、风险与交易统计。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Calmar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胜率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VaR95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交易笔数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9.60%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28.99%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-59.39%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171.96%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3.22%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23.16%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-40.92%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43.8%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41.41%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-7.12%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-65.20%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9.43%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-2.34%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15.78%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30.51%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-46.31%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69.54%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45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2.61%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9.89%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-8.30%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40.3%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9.73%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-1.94%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5.31%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23.74%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-41.60%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20.50%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02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a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02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2 策略净值曲线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2：Always Long 在 IC 和 IM 上均显著跑赢指数。贴水结构的长期补偿效应明确，但净值曲线波动大，策略并非平滑套利——它是指数多头替代，承担了方向风险。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89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89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3 年度收益拆分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3：年度收益显示，策略收益并不是逐年平滑积累，而是高度依赖市场阶段。IC 在极端下跌年份承压明显，IM 样本更短，尚未经历完整牛熊周期。年度拆分的意义在于提醒读者：贴水补偿可以增厚长期收益，但不能消除权益市场方向风险。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868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wdow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8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4 回撤路径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4：回撤路径比累计收益更能反映资金可承受性。IC Always 最大回撤接近 -60%，IM Always 也超过 -45%。B&lt;-1.5% 阈值规则可以压低回撤，但代价是收益同步下降。对绝对收益资金而言，这类回撤意味着策略不应单独作为低波动产品的核心仓位。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617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61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5 参数敏感性热力图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5：展期窗口 1→3→5 天对 Sharpe 影响有限，基差阈值影响更显著。B&lt;-1.5% 在样本内降低了回撤但收益同步下降——这是样本内观察，不宜作为稳定择时规则。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3.3 换仓记录验证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覆盖 5 个基差阈值 × 3 个展期窗口 × 2 个品种 = 30 个组合的完整网格。全部换仓记录满足：old_contract ≠ new_contract（无同合约重复换仓）、contract_month_gap = 1（无异常跳月至远月）。展期触发使用持仓合约的实际到期日，不依赖当日主力切换标志。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4. 跨期套利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4.1 策略设计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使用真实到期日构建近月/次近月配对，将价差标准化为年化期限结构斜率：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斜率 = (近月价格 − 次近月价格) / 指数价格 × 365 / 到期日差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。信号 T 日收盘计算、T+1 日收盘执行。合约切换日先按旧组合结算 MTM，再平旧仓（扣成本）、开新仓（扣成本）。样本结束时强制平仓。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4.2 回测结果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代表性参数（lookback=60，K_entry=2.4，K_exit=0.25，均值回复方向）：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7 跨期套利回测结果：代表性参数下 IC 和 IM 的跨期套利绩效。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交易笔数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持仓占比</w:t>
            </w:r>
          </w:p>
        </w:tc>
        <w:tc>
          <w:tcPr>
            <w:tcW w:type="dxa" w:w="10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累计成本</w:t>
            </w:r>
          </w:p>
        </w:tc>
      </w:tr>
      <w:tr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-0.79%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2.51%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-1.51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-10.06%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-8.33%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212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33.7%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28,457</w:t>
            </w:r>
          </w:p>
        </w:tc>
      </w:tr>
      <w:tr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-1.71%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2.11%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-2.23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-6.80%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-6.04%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68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36.9%</w:t>
            </w:r>
          </w:p>
        </w:tc>
        <w:tc>
          <w:tcPr>
            <w:tcW w:type="dxa" w:w="10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9,499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参数扫描覆盖 lookback∈{30,60,90,120}×K_entry∈{1.0,1.5,2.0,2.5}×方向∈{均值回复,趋势}=64 组，IC 和 IM 均无正 Sharpe 组合。核心问题不在参数选择——日频 T+1 下价差回归幅度不足以覆盖双边成本。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4.3 杠杆压力测试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8 跨期套利杠杆压力测试：在同一条跨期策略收益序列上测试 1x-5x 杠杆，展示收益、回撤和保证金占用的变化。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杠杆倍数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IC 年化收益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IC Sharpe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IC MaxDD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IM 年化收益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IM Sharpe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IM MaxDD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1.0x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-0.79%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-1.51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-10.06%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-1.71%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-2.23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-6.80%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1.5x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-1.21%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-1.12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-14.90%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-2.58%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-10.08%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2.0x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-1.64%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-0.92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-19.61%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-3.44%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-1.53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-13.28%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3.0x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-2.54%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-0.74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-28.58%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-5.18%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-1.29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-19.43%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5.0x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-4.48%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-0.60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-44.62%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-8.69%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-1.11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-30.79%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175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endar_lever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1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6 跨期套利杠杆压力测试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6：杠杆放大的对象是同一条跨期收益序列，而不是新的收益来源。IC 和 IM 的基础跨期策略年化收益均为负，杠杆后亏损和回撤同步扩大。虽然未触发穿仓，但保证金占用和回撤压力快速上升，说明该模块更适合作为研究补充，不适合依靠杠杆强行改造成主策略。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基础策略超额为负，杠杆后仍为负。无一组穿仓，但回撤放大显著。跨期套利在日频 T+1 框架下不具备杠杆放大实现盈利的基础。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5. 组合策略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5.1 吃贴水与跨期套利组合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组合日收益 = w_carry × carry_ret + w_spread × spread_ret。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5.2 不同权重组合绩效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9 吃贴水+跨期套利组合绩效：展示 Carry Only、Spread Only、90/10、80/20、70/30 五种权重的组合绩效及相对 Carry Only 的改善。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组合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Calmar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保证金占用估算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ΔSharpe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ΔMaxDD(pp)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Carry Only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9.60%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-59.39%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171.96%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Spread Only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-0.79%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-1.51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-10.06%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-0.08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-8.33%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24.0%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-1.738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+49.33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90/10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8.93%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-55.24%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154.46%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+0.000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+4.14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80/20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8.18%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-50.76%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135.83%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14.4%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-0.005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+8.62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70/30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7.33%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-45.92%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116.51%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-0.015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+13.47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Carry Only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15.78%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-46.31%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69.54%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Spread Only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-6.80%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-0.25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-6.04%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24.0%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-2.652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+39.50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90/10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14.36%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-42.94%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62.18%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-0.006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+3.37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80/20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12.86%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-39.40%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54.64%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14.4%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+6.91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70/30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11.28%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-35.68%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46.97%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+10.63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核心发现：回撤边际改善（IC 70/30 +13.5pp，IM +11.0pp），但 Sharpe 未有实质提升。改善来自跨期套利充当了隐性降仓工具，而非独立 alpha 贡献。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5.3 IC-IM 品种组合与相关性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与 IM 吃贴水策略按共同交易日日期对齐后，Pearson r = 0.9355（p &lt; 0.001），Spearman ρ = 0.9401（p &lt; 0.001），样本量 872 个共同交易日。两个品种高度同涨同跌。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54561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re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56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7 IC-IM 日收益相关性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7：每个散点代表一个交易日的 IC 与 IM 策略日收益。相关性约 0.94，品种分散化价值有限——买入两个高度相关的资产等于买入一个更大的同方向敞口。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5.4 组合策略的局限性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吃贴水+跨期套利组合的回撤改善来自仓位配置效应，非独立 alpha。跨期套利在日频 T+1 下的负 Sharpe 限制其作为组合增强模块的能力。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IC-IM 品种组合在高相关性下基本无效。组合管理的改善方向在于引入与权益 beta 不相关的策略（如 IF/IH 跨品种、期权等）。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IM 仅 872 个交易日，样本内 Sharpe 更高不意味着 IC+IM 组合比 IC-only 更优。IC 有 11 年并穿越多个极端周期。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6. 统计检验与收益归因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6.1 Block Bootstrap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循环块 Bootstrap（block=10 天，2000 次重采样）检验策略相对指数的 Sharpe 差异。H0：SR_diff = 0。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10 Block Bootstrap 显著性检验：循环块 Bootstrap 重采样下策略相对指数 Sharpe 差异的置信区间和 p 值。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观测 SR 差异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下限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上限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p 值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CI 覆盖 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0.3041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0.0452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0.5907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0.0230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否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0.2954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0.1284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0.4731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&lt;0.001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否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024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02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8 Bootstrap 显著性检验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8：IC 和 IM 的 CI 均不覆盖 0（p&lt;0.05），可以在 5% 水平拒绝"SR 差异为 0"的原假设。这里更关键的是，统计显著只说明策略相对指数的 Sharpe 差异不是随机噪声，不等于策略已经具备独立 alpha；归因分析显示，超额主要来自 beta 敞口和展期补偿。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6.2 收益归因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无截距归因（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），使用对齐后的指数收益序列：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11 无截距收益归因：将策略日收益按无截距模型拆解为指数驱动和残差两部分。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策略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β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残差年化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R²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n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Always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0.962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9.62%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0.678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2,642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B&lt;-1.5%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0.472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4.03%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0.257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2,642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Always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1.239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9.38%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0.928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872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B&lt;-1.5%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0.128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2.04%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0.094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872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0093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ribu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0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9 收益归因分解（无截距）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9：归因图把方向暴露和残差补偿放在同一视角下比较。Always 策略的 β 接近或高于 1，说明收益中有相当部分来自权益多头敞口；残差年化约 9.4%–9.6%，对应基差收敛和展期补偿的混合回报。B&lt;-1.5% 策略在多数时间空仓，β 明显下降，但收益厚度也同步下降。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日频归因 R² 恢复至合理水平（IC 0.68，IM 0.93），β 恢复至接近 1（IC Always β=0.96）——策略确有显著的权益方向暴露。Always 策略的残差年化约为 9.4%–9.6%，反映基差收敛和展期补偿的混合回报，不宜等同于独立 alpha。B&lt;-1.5% 策略在大部分时间空仓，β 显著降低。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7. 补充分析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7.1 成本压力测试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3916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_stre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391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8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10 成本压力测试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10：将交易成本从基准（×1）逐级放大至 ×10，IC Always 年化收益从 9.60% 降至约 8.96%（仅下降约 0.64pp）。策略换手低，期货手续费相对名义本金比例极小。成本不是策略的主要约束。核心风险在于贴水结构的持续性。</w:t>
      </w:r>
    </w:p>
    <w:p>
      <w:pPr>
        <w:pStyle w:val="Heading2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7.2 制度约束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保证金：中金所产品合约表列示的最低交易保证金为合约价值的 8%。考虑期货公司加收比例和风控缓冲，本文在资金占用压力测试中保守按 12% 估算。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展期操作：换仓日存在双边持仓窗口，保证金占用翻倍。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制度变迁：股指期货保证金和交易限制历史上曾多次调整，极端行情下制度约束可能再次收紧。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红利影响：5-8 月集中分红期间现货指数自然下跌，虚增贴水幅度。当前基差未经分红调整。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8. 风险提示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策略最大回撤超 50%，方向风险是主导风险，不宜定位为低波动或绝对收益产品。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吃贴水超额来自 beta 敞口+展期补偿，非独立 alpha。归因 β≈0.97（IC）、β≈1.24（IM）。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IM 仅 872 个主力交易日（3.5 年），未经历完整市场周期，结论置信度低于 IC。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IC 与 IM 日收益相关性约 0.94，品种组合不能替代真正的策略分散。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5. 基差→指数前瞻 IC ≈ 0.08，贴水深度不能用作指数方向择时信号。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6. B&lt;-1.5% 阈值为样本内观察，不代表未来最优。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7. 跨期套利在日频 T+1 下无正 Sharpe 组合。若使用更高频数据，结论可能不同。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8. 吃贴水+跨期套利组合的 MaxDD 改善来自仓位配置效应，非独立 alpha 贡献。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9. 股指期货历史上经历过手续费、保证金和开平仓限制的重大制度变化。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10. 本研究基于公开历史数据的回测，样本外表现可能与回测结果有重大偏差。所有结论均为历史观察，不构成投资建议。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9. 结论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策略定位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吃贴水策略是带有展期补偿的股指期货多头工具，不是市场中性套利。超额来自贴水结构下的基差收敛与展期补偿（持有段超额均值 IC 0.93%、IM 0.73%，正超额占比约 89%），主要风险来自指数方向波动。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稳定性评估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Block Bootstrap 下 SR 差异 CI 不覆盖 0（IC p=0.023，IM p&lt;0.001），但统计显著不等同于经济上可独立获取。归因显示 β≈0.97-1.24，超额主要来自承担方向风险+展期补偿的混合回报。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市场方向仍是第一驱动力。策略在牛市表现极好、熊市跟随下跌。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跨期套利日频 T+1 下所有参数组合 Sharpe 为负，不适合作为主策略。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组合策略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吃贴水+跨期套利组合边际改善回撤（IC 70/30 +13.5pp），但 Sharpe 未有实质提升。IC-IM 品种组合因 r≈0.94 基本无分散效果。组合管理改善方向在于引入与权益 beta 不相关的策略。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适用场景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指增和方向性产品：可当作指数增强模块，年化增厚约 3-10pp。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绝对收益和低回撤产品：不建议单独配置。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多策略组合：可占 10-20% 仓位充当权益 beta 来源，需搭配低相关策略。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后续方向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分钟级行情回测跨期价差，检验 T+0 执行是否可改善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多腿价差（蝶式套利）探索更稳定的均值回复结构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分红调整基差以更准确衡量展期补偿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跨品种（IF/IH）的分散化分析</w:t>
      </w:r>
    </w:p>
    <w:p>
      <w:pPr>
        <w:pStyle w:val="Heading1"/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附录：图表清单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12 图表清单：报告中全部图表的编号、文件名和内容说明。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图号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文件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内容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fig_roll_yield.png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主力合约持有段收益分布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fig_nav.png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策略净值曲线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fig_annual.png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年度收益拆分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fig_drawdown.png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回撤路径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fig_heatmap.png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参数敏感性热力图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fig_calendar_leverage.png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跨期套利杠杆压力测试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7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fig_correlation.png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IC-IM 日收益相关性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8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fig_bootstrap.png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Bootstrap 显著性检验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9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收益归因分解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fig_cost_stress.png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成本压力测试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期货与指数数据，本文计算</w:t>
      </w:r>
    </w:p>
    <w:sectPr w:rsidR="00FC693F" w:rsidRPr="0006063C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555555"/>
        <w:sz w:val="19"/>
      </w:rPr>
      <w:t xml:space="preserve">第 </w:t>
    </w:r>
    <w:r>
      <w:rPr>
        <w:rFonts w:ascii="Times New Roman" w:hAnsi="Times New Roman" w:eastAsia="宋体"/>
        <w:b w:val="0"/>
        <w:i w:val="0"/>
        <w:color w:val="222222"/>
        <w:sz w:val="21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555555"/>
        <w:sz w:val="19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eastAsia="宋体"/>
        <w:b w:val="0"/>
        <w:i w:val="0"/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