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Times New Roman" w:hAnsi="Times New Roman" w:eastAsia="黑体"/>
          <w:b/>
          <w:i w:val="0"/>
          <w:color w:val="000000"/>
          <w:sz w:val="44"/>
        </w:rPr>
        <w:t>股指期货吃贴水与跨期套利策略研究</w:t>
      </w:r>
    </w:p>
    <w:p>
      <w:pPr>
        <w:spacing w:after="240"/>
        <w:jc w:val="center"/>
      </w:pPr>
      <w:r>
        <w:rPr>
          <w:rFonts w:ascii="Times New Roman" w:hAnsi="Times New Roman" w:eastAsia="宋体"/>
          <w:b w:val="0"/>
          <w:i w:val="0"/>
          <w:color w:val="444444"/>
          <w:sz w:val="28"/>
        </w:rPr>
        <w:t>金融程序化交易</w:t>
      </w:r>
    </w:p>
    <w:p>
      <w:pPr>
        <w:spacing w:before="80" w:after="200"/>
        <w:pBdr>
          <w:bottom w:val="single" w:sz="10" w:space="1" w:color="000000"/>
        </w:pBdr>
      </w:pPr>
    </w:p>
    <w:tbl>
      <w:tblPr>
        <w:tblStyle w:val="TableGrid"/>
        <w:tblW w:type="auto" w:w="0"/>
        <w:jc w:val="center"/>
        <w:tblLook w:firstColumn="1" w:firstRow="1" w:lastColumn="0" w:lastRow="0" w:noHBand="0" w:noVBand="1" w:val="04A0"/>
      </w:tblPr>
      <w:tblGrid>
        <w:gridCol w:w="4533"/>
        <w:gridCol w:w="4533"/>
      </w:tblGrid>
      <w:tr>
        <w:tc>
          <w:tcPr>
            <w:tcW w:type="dxa" w:w="4533"/>
            <w:shd w:fill="EEEEEE"/>
            <w:vAlign w:val="center"/>
          </w:tcPr>
          <w:p>
            <w:pPr>
              <w:jc w:val="center"/>
            </w:pPr>
            <w:r>
              <w:rPr>
                <w:rFonts w:ascii="Times New Roman" w:hAnsi="Times New Roman" w:eastAsia="黑体"/>
                <w:b/>
                <w:i w:val="0"/>
                <w:color w:val="000000"/>
                <w:sz w:val="22"/>
              </w:rPr>
              <w:t>研究对象</w:t>
            </w:r>
          </w:p>
        </w:tc>
        <w:tc>
          <w:tcPr>
            <w:tcW w:type="dxa" w:w="4533"/>
            <w:shd w:fill="FAFAFA"/>
            <w:vAlign w:val="center"/>
          </w:tcPr>
          <w:p>
            <w:r>
              <w:rPr>
                <w:rFonts w:ascii="Times New Roman" w:hAnsi="Times New Roman" w:eastAsia="宋体"/>
                <w:b w:val="0"/>
                <w:i w:val="0"/>
                <w:color w:val="222222"/>
                <w:sz w:val="22"/>
              </w:rPr>
              <w:t>IC/IM 股指期货吃贴水与跨期套利</w:t>
            </w:r>
          </w:p>
        </w:tc>
      </w:tr>
      <w:tr>
        <w:tc>
          <w:tcPr>
            <w:tcW w:type="dxa" w:w="4533"/>
            <w:shd w:fill="EEEEEE"/>
            <w:vAlign w:val="center"/>
          </w:tcPr>
          <w:p>
            <w:pPr>
              <w:jc w:val="center"/>
            </w:pPr>
            <w:r>
              <w:rPr>
                <w:rFonts w:ascii="Times New Roman" w:hAnsi="Times New Roman" w:eastAsia="黑体"/>
                <w:b/>
                <w:i w:val="0"/>
                <w:color w:val="000000"/>
                <w:sz w:val="22"/>
              </w:rPr>
              <w:t>数据区间</w:t>
            </w:r>
          </w:p>
        </w:tc>
        <w:tc>
          <w:tcPr>
            <w:tcW w:type="dxa" w:w="4533"/>
            <w:shd w:fill="FAFAFA"/>
            <w:vAlign w:val="center"/>
          </w:tcPr>
          <w:p>
            <w:r>
              <w:rPr>
                <w:rFonts w:ascii="Times New Roman" w:hAnsi="Times New Roman" w:eastAsia="宋体"/>
                <w:b w:val="0"/>
                <w:i w:val="0"/>
                <w:color w:val="222222"/>
                <w:sz w:val="22"/>
              </w:rPr>
              <w:t>IC 2015-04 至 2026-03 / IM 2022-07 至 2026-03</w:t>
            </w:r>
          </w:p>
        </w:tc>
      </w:tr>
      <w:tr>
        <w:tc>
          <w:tcPr>
            <w:tcW w:type="dxa" w:w="4533"/>
            <w:shd w:fill="EEEEEE"/>
            <w:vAlign w:val="center"/>
          </w:tcPr>
          <w:p>
            <w:pPr>
              <w:jc w:val="center"/>
            </w:pPr>
            <w:r>
              <w:rPr>
                <w:rFonts w:ascii="Times New Roman" w:hAnsi="Times New Roman" w:eastAsia="黑体"/>
                <w:b/>
                <w:i w:val="0"/>
                <w:color w:val="000000"/>
                <w:sz w:val="22"/>
              </w:rPr>
              <w:t>策略口径</w:t>
            </w:r>
          </w:p>
        </w:tc>
        <w:tc>
          <w:tcPr>
            <w:tcW w:type="dxa" w:w="4533"/>
            <w:shd w:fill="FAFAFA"/>
            <w:vAlign w:val="center"/>
          </w:tcPr>
          <w:p>
            <w:r>
              <w:rPr>
                <w:rFonts w:ascii="Times New Roman" w:hAnsi="Times New Roman" w:eastAsia="宋体"/>
                <w:b w:val="0"/>
                <w:i w:val="0"/>
                <w:color w:val="222222"/>
                <w:sz w:val="22"/>
              </w:rPr>
              <w:t>做多主力合约 + 到期前展期，T+1 执行，含手续费与滑点</w:t>
            </w:r>
          </w:p>
        </w:tc>
      </w:tr>
      <w:tr>
        <w:tc>
          <w:tcPr>
            <w:tcW w:type="dxa" w:w="4533"/>
            <w:shd w:fill="EEEEEE"/>
            <w:vAlign w:val="center"/>
          </w:tcPr>
          <w:p>
            <w:pPr>
              <w:jc w:val="center"/>
            </w:pPr>
            <w:r>
              <w:rPr>
                <w:rFonts w:ascii="Times New Roman" w:hAnsi="Times New Roman" w:eastAsia="黑体"/>
                <w:b/>
                <w:i w:val="0"/>
                <w:color w:val="000000"/>
                <w:sz w:val="22"/>
              </w:rPr>
              <w:t>评估维度</w:t>
            </w:r>
          </w:p>
        </w:tc>
        <w:tc>
          <w:tcPr>
            <w:tcW w:type="dxa" w:w="4533"/>
            <w:shd w:fill="FAFAFA"/>
            <w:vAlign w:val="center"/>
          </w:tcPr>
          <w:p>
            <w:r>
              <w:rPr>
                <w:rFonts w:ascii="Times New Roman" w:hAnsi="Times New Roman" w:eastAsia="宋体"/>
                <w:b w:val="0"/>
                <w:i w:val="0"/>
                <w:color w:val="222222"/>
                <w:sz w:val="22"/>
              </w:rPr>
              <w:t>收益、稳定性、可交易性、可复现性</w:t>
            </w:r>
          </w:p>
        </w:tc>
      </w:tr>
    </w:tbl>
    <w:p/>
    <w:p/>
    <w:p/>
    <w:p/>
    <w:p/>
    <w:p>
      <w:r>
        <w:br w:type="page"/>
      </w:r>
    </w:p>
    <w:p>
      <w:pPr>
        <w:spacing w:after="160"/>
        <w:jc w:val="center"/>
      </w:pPr>
      <w:r>
        <w:t>报告目录</w:t>
      </w:r>
    </w:p>
    <w:p>
      <w:pPr>
        <w:spacing w:after="80"/>
        <w:ind w:left="1134"/>
      </w:pPr>
      <w:r>
        <w:t>主要结论</w:t>
      </w:r>
    </w:p>
    <w:p>
      <w:pPr>
        <w:spacing w:after="80"/>
        <w:ind w:left="1134"/>
      </w:pPr>
      <w:r>
        <w:rPr>
          <w:rFonts w:ascii="Times New Roman" w:hAnsi="Times New Roman" w:eastAsia="宋体"/>
          <w:b/>
          <w:i w:val="0"/>
          <w:color w:val="222222"/>
          <w:sz w:val="25"/>
        </w:rPr>
        <w:t>1. 数据与样本处理</w:t>
      </w:r>
    </w:p>
    <w:p>
      <w:pPr>
        <w:spacing w:after="80"/>
        <w:ind w:left="1134"/>
      </w:pPr>
      <w:r>
        <w:rPr>
          <w:rFonts w:ascii="Times New Roman" w:hAnsi="Times New Roman" w:eastAsia="宋体"/>
          <w:b/>
          <w:i w:val="0"/>
          <w:color w:val="222222"/>
          <w:sz w:val="25"/>
        </w:rPr>
        <w:t>2. 基差因子分析</w:t>
      </w:r>
    </w:p>
    <w:p>
      <w:pPr>
        <w:spacing w:after="80"/>
        <w:ind w:left="1134"/>
      </w:pPr>
      <w:r>
        <w:rPr>
          <w:rFonts w:ascii="Times New Roman" w:hAnsi="Times New Roman" w:eastAsia="宋体"/>
          <w:b/>
          <w:i w:val="0"/>
          <w:color w:val="222222"/>
          <w:sz w:val="25"/>
        </w:rPr>
        <w:t>3. 吃贴水策略</w:t>
      </w:r>
    </w:p>
    <w:p>
      <w:pPr>
        <w:spacing w:after="80"/>
        <w:ind w:left="1134"/>
      </w:pPr>
      <w:r>
        <w:rPr>
          <w:rFonts w:ascii="Times New Roman" w:hAnsi="Times New Roman" w:eastAsia="宋体"/>
          <w:b/>
          <w:i w:val="0"/>
          <w:color w:val="222222"/>
          <w:sz w:val="25"/>
        </w:rPr>
        <w:t>4. 跨期套利策略</w:t>
      </w:r>
    </w:p>
    <w:p>
      <w:pPr>
        <w:spacing w:after="80"/>
        <w:ind w:left="1134"/>
      </w:pPr>
      <w:r>
        <w:rPr>
          <w:rFonts w:ascii="Times New Roman" w:hAnsi="Times New Roman" w:eastAsia="宋体"/>
          <w:b/>
          <w:i w:val="0"/>
          <w:color w:val="222222"/>
          <w:sz w:val="25"/>
        </w:rPr>
        <w:t>5. 统计验证与收益归因</w:t>
      </w:r>
    </w:p>
    <w:p>
      <w:pPr>
        <w:spacing w:after="80"/>
        <w:ind w:left="1134"/>
      </w:pPr>
      <w:r>
        <w:rPr>
          <w:rFonts w:ascii="Times New Roman" w:hAnsi="Times New Roman" w:eastAsia="宋体"/>
          <w:b/>
          <w:i w:val="0"/>
          <w:color w:val="222222"/>
          <w:sz w:val="25"/>
        </w:rPr>
        <w:t>6. 补充分析</w:t>
      </w:r>
    </w:p>
    <w:p>
      <w:pPr>
        <w:spacing w:after="80"/>
        <w:ind w:left="1134"/>
      </w:pPr>
      <w:r>
        <w:rPr>
          <w:rFonts w:ascii="Times New Roman" w:hAnsi="Times New Roman" w:eastAsia="宋体"/>
          <w:b/>
          <w:i w:val="0"/>
          <w:color w:val="222222"/>
          <w:sz w:val="25"/>
        </w:rPr>
        <w:t>7. 风险与局限性</w:t>
      </w:r>
    </w:p>
    <w:p>
      <w:pPr>
        <w:spacing w:after="80"/>
        <w:ind w:left="1134"/>
      </w:pPr>
      <w:r>
        <w:rPr>
          <w:rFonts w:ascii="Times New Roman" w:hAnsi="Times New Roman" w:eastAsia="宋体"/>
          <w:b/>
          <w:i w:val="0"/>
          <w:color w:val="222222"/>
          <w:sz w:val="25"/>
        </w:rPr>
        <w:t>8. 结论</w:t>
      </w:r>
    </w:p>
    <w:p>
      <w:pPr>
        <w:spacing w:after="80"/>
        <w:ind w:left="1134"/>
      </w:pPr>
      <w:r>
        <w:t>附录：图表清单</w:t>
      </w:r>
    </w:p>
    <w:p>
      <w:r>
        <w:br w:type="page"/>
      </w:r>
    </w:p>
    <w:p>
      <w:pPr>
        <w:spacing w:before="200" w:after="320"/>
        <w:jc w:val="center"/>
      </w:pPr>
      <w:r>
        <w:rPr>
          <w:rFonts w:ascii="Times New Roman" w:hAnsi="Times New Roman" w:eastAsia="黑体"/>
          <w:b/>
          <w:i w:val="0"/>
          <w:color w:val="000000"/>
          <w:sz w:val="40"/>
        </w:rPr>
        <w:t>股指期货吃贴水与跨期套利策略研究</w:t>
      </w:r>
    </w:p>
    <w:p>
      <w:pPr>
        <w:spacing w:before="240" w:after="120"/>
        <w:pBdr>
          <w:bottom w:val="single" w:sz="8" w:space="1" w:color="808080"/>
        </w:pBdr>
      </w:pPr>
      <w:r>
        <w:rPr>
          <w:rFonts w:ascii="Times New Roman" w:hAnsi="Times New Roman" w:eastAsia="黑体"/>
          <w:b/>
          <w:i w:val="0"/>
          <w:color w:val="000000"/>
          <w:sz w:val="29"/>
        </w:rPr>
        <w:t>主要结论</w:t>
      </w:r>
    </w:p>
    <w:p>
      <w:pPr>
        <w:spacing w:lineRule="exact" w:line="400" w:after="120"/>
        <w:ind w:firstLine="420"/>
        <w:jc w:val="both"/>
      </w:pPr>
      <w:r>
        <w:rPr>
          <w:rFonts w:ascii="Times New Roman" w:hAnsi="Times New Roman" w:eastAsia="宋体"/>
          <w:b w:val="0"/>
          <w:i w:val="0"/>
          <w:color w:val="222222"/>
          <w:sz w:val="24"/>
        </w:rPr>
        <w:t>本报告研究 IC（中证500股指期货）和 IM（中证1000股指期货）两个品种，重点评估三件事：第一，长期做多贴水期货并展期是否能跑赢现货指数；第二，近月与次近月价差是否能形成独立的跨期套利；第三，IC 与 IM 组合后是否能改善风险收益特征。</w:t>
      </w:r>
    </w:p>
    <w:tbl>
      <w:tblPr>
        <w:tblStyle w:val="TableGrid"/>
        <w:tblW w:type="auto" w:w="0"/>
        <w:jc w:val="center"/>
        <w:tblLook w:firstColumn="1" w:firstRow="1" w:lastColumn="0" w:lastRow="0" w:noHBand="0" w:noVBand="1" w:val="04A0"/>
      </w:tblPr>
      <w:tblGrid>
        <w:gridCol w:w="4533"/>
        <w:gridCol w:w="4533"/>
      </w:tblGrid>
      <w:tr>
        <w:tc>
          <w:tcPr>
            <w:tcW w:type="dxa" w:w="4533"/>
            <w:vAlign w:val="center"/>
            <w:shd w:fill="EDEDED"/>
          </w:tcPr>
          <w:p>
            <w:pPr>
              <w:jc w:val="center"/>
            </w:pPr>
            <w:r>
              <w:rPr>
                <w:rFonts w:ascii="Times New Roman" w:hAnsi="Times New Roman" w:eastAsia="黑体"/>
                <w:b/>
                <w:i w:val="0"/>
                <w:color w:val="000000"/>
                <w:sz w:val="22"/>
              </w:rPr>
              <w:t>项目</w:t>
            </w:r>
          </w:p>
        </w:tc>
        <w:tc>
          <w:tcPr>
            <w:tcW w:type="dxa" w:w="4533"/>
            <w:vAlign w:val="center"/>
            <w:shd w:fill="EDEDED"/>
          </w:tcPr>
          <w:p>
            <w:pPr>
              <w:jc w:val="center"/>
            </w:pPr>
            <w:r>
              <w:rPr>
                <w:rFonts w:ascii="Times New Roman" w:hAnsi="Times New Roman" w:eastAsia="黑体"/>
                <w:b/>
                <w:i w:val="0"/>
                <w:color w:val="000000"/>
                <w:sz w:val="22"/>
              </w:rPr>
              <w:t>口径</w:t>
            </w:r>
          </w:p>
        </w:tc>
      </w:tr>
      <w:tr>
        <w:tc>
          <w:tcPr>
            <w:tcW w:type="dxa" w:w="4533"/>
            <w:vAlign w:val="center"/>
          </w:tcPr>
          <w:p>
            <w:pPr>
              <w:jc w:val="left"/>
            </w:pPr>
            <w:r>
              <w:rPr>
                <w:rFonts w:ascii="Times New Roman" w:hAnsi="Times New Roman" w:eastAsia="宋体"/>
                <w:b w:val="0"/>
                <w:i w:val="0"/>
                <w:color w:val="222222"/>
                <w:sz w:val="21"/>
              </w:rPr>
              <w:t>研究标的</w:t>
            </w:r>
          </w:p>
        </w:tc>
        <w:tc>
          <w:tcPr>
            <w:tcW w:type="dxa" w:w="4533"/>
            <w:vAlign w:val="center"/>
          </w:tcPr>
          <w:p>
            <w:pPr>
              <w:jc w:val="center"/>
            </w:pPr>
            <w:r>
              <w:rPr>
                <w:rFonts w:ascii="Times New Roman" w:hAnsi="Times New Roman" w:eastAsia="宋体"/>
                <w:b w:val="0"/>
                <w:i w:val="0"/>
                <w:color w:val="222222"/>
                <w:sz w:val="21"/>
              </w:rPr>
              <w:t>IC 与 IM 主力合约，交易标的使用真实合约代码</w:t>
            </w:r>
          </w:p>
        </w:tc>
      </w:tr>
      <w:tr>
        <w:tc>
          <w:tcPr>
            <w:tcW w:type="dxa" w:w="4533"/>
            <w:vAlign w:val="center"/>
            <w:shd w:fill="F7F7F7"/>
          </w:tcPr>
          <w:p>
            <w:pPr>
              <w:jc w:val="left"/>
            </w:pPr>
            <w:r>
              <w:rPr>
                <w:rFonts w:ascii="Times New Roman" w:hAnsi="Times New Roman" w:eastAsia="宋体"/>
                <w:b w:val="0"/>
                <w:i w:val="0"/>
                <w:color w:val="222222"/>
                <w:sz w:val="21"/>
              </w:rPr>
              <w:t>数据区间</w:t>
            </w:r>
          </w:p>
        </w:tc>
        <w:tc>
          <w:tcPr>
            <w:tcW w:type="dxa" w:w="4533"/>
            <w:vAlign w:val="center"/>
            <w:shd w:fill="F7F7F7"/>
          </w:tcPr>
          <w:p>
            <w:pPr>
              <w:jc w:val="center"/>
            </w:pPr>
            <w:r>
              <w:rPr>
                <w:rFonts w:ascii="Times New Roman" w:hAnsi="Times New Roman" w:eastAsia="宋体"/>
                <w:b w:val="0"/>
                <w:i w:val="0"/>
                <w:color w:val="222222"/>
                <w:sz w:val="21"/>
              </w:rPr>
              <w:t>IC：2015-04-16 至 2026-03-02；IM：2022-07-22 至 2026-03-02</w:t>
            </w:r>
          </w:p>
        </w:tc>
      </w:tr>
      <w:tr>
        <w:tc>
          <w:tcPr>
            <w:tcW w:type="dxa" w:w="4533"/>
            <w:vAlign w:val="center"/>
          </w:tcPr>
          <w:p>
            <w:pPr>
              <w:jc w:val="left"/>
            </w:pPr>
            <w:r>
              <w:rPr>
                <w:rFonts w:ascii="Times New Roman" w:hAnsi="Times New Roman" w:eastAsia="宋体"/>
                <w:b w:val="0"/>
                <w:i w:val="0"/>
                <w:color w:val="222222"/>
                <w:sz w:val="21"/>
              </w:rPr>
              <w:t>交易假设</w:t>
            </w:r>
          </w:p>
        </w:tc>
        <w:tc>
          <w:tcPr>
            <w:tcW w:type="dxa" w:w="4533"/>
            <w:vAlign w:val="center"/>
          </w:tcPr>
          <w:p>
            <w:pPr>
              <w:jc w:val="center"/>
            </w:pPr>
            <w:r>
              <w:rPr>
                <w:rFonts w:ascii="Times New Roman" w:hAnsi="Times New Roman" w:eastAsia="宋体"/>
                <w:b w:val="0"/>
                <w:i w:val="0"/>
                <w:color w:val="222222"/>
                <w:sz w:val="21"/>
              </w:rPr>
              <w:t>T 日收盘后产生信号，T+1 日按收盘价成交</w:t>
            </w:r>
          </w:p>
        </w:tc>
      </w:tr>
      <w:tr>
        <w:tc>
          <w:tcPr>
            <w:tcW w:type="dxa" w:w="4533"/>
            <w:vAlign w:val="center"/>
            <w:shd w:fill="F7F7F7"/>
          </w:tcPr>
          <w:p>
            <w:pPr>
              <w:jc w:val="left"/>
            </w:pPr>
            <w:r>
              <w:rPr>
                <w:rFonts w:ascii="Times New Roman" w:hAnsi="Times New Roman" w:eastAsia="宋体"/>
                <w:b w:val="0"/>
                <w:i w:val="0"/>
                <w:color w:val="222222"/>
                <w:sz w:val="21"/>
              </w:rPr>
              <w:t>成本假设</w:t>
            </w:r>
          </w:p>
        </w:tc>
        <w:tc>
          <w:tcPr>
            <w:tcW w:type="dxa" w:w="4533"/>
            <w:vAlign w:val="center"/>
            <w:shd w:fill="F7F7F7"/>
          </w:tcPr>
          <w:p>
            <w:pPr>
              <w:jc w:val="center"/>
            </w:pPr>
            <w:r>
              <w:rPr>
                <w:rFonts w:ascii="Times New Roman" w:hAnsi="Times New Roman" w:eastAsia="宋体"/>
                <w:b w:val="0"/>
                <w:i w:val="0"/>
                <w:color w:val="222222"/>
                <w:sz w:val="21"/>
              </w:rPr>
              <w:t>手续费万分之 0.23，滑点 0.2 指数点，合约乘数 200 元/点</w:t>
            </w:r>
          </w:p>
        </w:tc>
      </w:tr>
      <w:tr>
        <w:tc>
          <w:tcPr>
            <w:tcW w:type="dxa" w:w="4533"/>
            <w:vAlign w:val="center"/>
          </w:tcPr>
          <w:p>
            <w:pPr>
              <w:jc w:val="left"/>
            </w:pPr>
            <w:r>
              <w:rPr>
                <w:rFonts w:ascii="Times New Roman" w:hAnsi="Times New Roman" w:eastAsia="宋体"/>
                <w:b w:val="0"/>
                <w:i w:val="0"/>
                <w:color w:val="222222"/>
                <w:sz w:val="21"/>
              </w:rPr>
              <w:t>策略方向</w:t>
            </w:r>
          </w:p>
        </w:tc>
        <w:tc>
          <w:tcPr>
            <w:tcW w:type="dxa" w:w="4533"/>
            <w:vAlign w:val="center"/>
          </w:tcPr>
          <w:p>
            <w:pPr>
              <w:jc w:val="center"/>
            </w:pPr>
            <w:r>
              <w:rPr>
                <w:rFonts w:ascii="Times New Roman" w:hAnsi="Times New Roman" w:eastAsia="宋体"/>
                <w:b w:val="0"/>
                <w:i w:val="0"/>
                <w:color w:val="222222"/>
                <w:sz w:val="21"/>
              </w:rPr>
              <w:t>吃贴水多头、基差阈值择时、近月-次近月跨期价差</w:t>
            </w:r>
          </w:p>
        </w:tc>
      </w:tr>
      <w:tr>
        <w:tc>
          <w:tcPr>
            <w:tcW w:type="dxa" w:w="4533"/>
            <w:vAlign w:val="center"/>
            <w:shd w:fill="F7F7F7"/>
          </w:tcPr>
          <w:p>
            <w:pPr>
              <w:jc w:val="left"/>
            </w:pPr>
            <w:r>
              <w:rPr>
                <w:rFonts w:ascii="Times New Roman" w:hAnsi="Times New Roman" w:eastAsia="宋体"/>
                <w:b w:val="0"/>
                <w:i w:val="0"/>
                <w:color w:val="222222"/>
                <w:sz w:val="21"/>
              </w:rPr>
              <w:t>评价重点</w:t>
            </w:r>
          </w:p>
        </w:tc>
        <w:tc>
          <w:tcPr>
            <w:tcW w:type="dxa" w:w="4533"/>
            <w:vAlign w:val="center"/>
            <w:shd w:fill="F7F7F7"/>
          </w:tcPr>
          <w:p>
            <w:pPr>
              <w:jc w:val="center"/>
            </w:pPr>
            <w:r>
              <w:rPr>
                <w:rFonts w:ascii="Times New Roman" w:hAnsi="Times New Roman" w:eastAsia="宋体"/>
                <w:b w:val="0"/>
                <w:i w:val="0"/>
                <w:color w:val="222222"/>
                <w:sz w:val="21"/>
              </w:rPr>
              <w:t>收益、回撤、统计显著性、交易可执行性、可复现性</w:t>
            </w:r>
          </w:p>
        </w:tc>
      </w:tr>
    </w:tbl>
    <w:p/>
    <w:p>
      <w:pPr>
        <w:spacing w:lineRule="exact" w:line="400" w:after="120"/>
        <w:ind w:firstLine="420"/>
        <w:jc w:val="both"/>
      </w:pPr>
      <w:r>
        <w:rPr>
          <w:rFonts w:ascii="Times New Roman" w:hAnsi="Times New Roman" w:eastAsia="宋体"/>
          <w:b w:val="0"/>
          <w:i w:val="0"/>
          <w:color w:val="222222"/>
          <w:sz w:val="24"/>
        </w:rPr>
        <w:t>样本内，吃贴水多头策略确实跑赢指数。IC Always 策略年化收益 9.62%，高于 IC 指数的 0.83%；IM Always 策略年化收益 15.88%，高于 IM 指数的 5.31%。但这不是低风险套利。IC Always 最大回撤达到 -61.38%，IM Always 最大回撤达到 -50.81%，说明策略仍然承担很重的指数方向风险。</w:t>
      </w:r>
    </w:p>
    <w:p>
      <w:pPr>
        <w:spacing w:lineRule="exact" w:line="400" w:after="120"/>
        <w:ind w:firstLine="420"/>
        <w:jc w:val="both"/>
      </w:pPr>
      <w:r>
        <w:rPr>
          <w:rFonts w:ascii="Times New Roman" w:hAnsi="Times New Roman" w:eastAsia="宋体"/>
          <w:b w:val="0"/>
          <w:i w:val="0"/>
          <w:color w:val="222222"/>
          <w:sz w:val="24"/>
        </w:rPr>
        <w:t>统计检验也提示需要克制。Block Bootstrap 检验显示，IC 策略相对指数的 Sharpe 差异 95% 置信区间为 [-0.1669, 0.8246]，p 值为 0.1980；IM 对应区间为 [-0.4077, 1.0583]，p 值为 0.4100。两个品种的置信区间都覆盖 0，不能认为策略已经在统计意义上显著优于指数。</w:t>
      </w:r>
    </w:p>
    <w:p>
      <w:pPr>
        <w:spacing w:lineRule="exact" w:line="400" w:after="120"/>
        <w:ind w:firstLine="420"/>
        <w:jc w:val="both"/>
      </w:pPr>
      <w:r>
        <w:rPr>
          <w:rFonts w:ascii="Times New Roman" w:hAnsi="Times New Roman" w:eastAsia="宋体"/>
          <w:b w:val="0"/>
          <w:i w:val="0"/>
          <w:color w:val="222222"/>
          <w:sz w:val="24"/>
        </w:rPr>
        <w:t>我的判断是：吃贴水策略可以作为指数多头的增强型工具，而不是绝对收益套利。它的优势来自期货贴水结构下的基差收敛和展期补偿；它的主要风险来自指数本身的涨跌。跨期价差策略在本次日频、T+1 执行条件下没有表现出交易价值，IC 和 IM 各 16 组参数组合均未出现正 Sharpe。</w:t>
      </w:r>
    </w:p>
    <w:p>
      <w:pPr>
        <w:spacing w:before="240" w:after="120"/>
        <w:pBdr>
          <w:bottom w:val="single" w:sz="8" w:space="1" w:color="808080"/>
        </w:pBdr>
      </w:pPr>
      <w:r>
        <w:rPr>
          <w:rFonts w:ascii="Times New Roman" w:hAnsi="Times New Roman" w:eastAsia="黑体"/>
          <w:b/>
          <w:i w:val="0"/>
          <w:color w:val="000000"/>
          <w:sz w:val="29"/>
        </w:rPr>
        <w:t>1. 数据与交易口径</w:t>
      </w:r>
    </w:p>
    <w:p>
      <w:pPr>
        <w:spacing w:before="160" w:after="120"/>
      </w:pPr>
      <w:r>
        <w:rPr>
          <w:rFonts w:ascii="Times New Roman" w:hAnsi="Times New Roman" w:eastAsia="黑体"/>
          <w:b/>
          <w:i w:val="0"/>
          <w:color w:val="000000"/>
          <w:sz w:val="25"/>
        </w:rPr>
        <w:t>1.1 数据来源与清洗</w:t>
      </w:r>
    </w:p>
    <w:p>
      <w:pPr>
        <w:spacing w:lineRule="exact" w:line="400" w:after="120"/>
        <w:ind w:firstLine="420"/>
        <w:jc w:val="both"/>
      </w:pPr>
      <w:r>
        <w:rPr>
          <w:rFonts w:ascii="Times New Roman" w:hAnsi="Times New Roman" w:eastAsia="宋体"/>
          <w:b w:val="0"/>
          <w:i w:val="0"/>
          <w:color w:val="222222"/>
          <w:sz w:val="24"/>
        </w:rPr>
        <w:t>研究使用 4 个原始 Excel 文件：ic_data.xlsx、im_data.xlsx、000905.xlsx、000852.xlsx。期货数据包含合约代码、OHLC、成交量、持仓量、主力标志和基差字段；指数数据提供对应现货指数的收盘价。</w:t>
      </w:r>
    </w:p>
    <w:p>
      <w:pPr>
        <w:spacing w:lineRule="exact" w:line="400" w:after="120"/>
        <w:ind w:firstLine="420"/>
        <w:jc w:val="both"/>
      </w:pPr>
      <w:r>
        <w:rPr>
          <w:rFonts w:ascii="Times New Roman" w:hAnsi="Times New Roman" w:eastAsia="宋体"/>
          <w:b w:val="0"/>
          <w:i w:val="0"/>
          <w:color w:val="222222"/>
          <w:sz w:val="24"/>
        </w:rPr>
        <w:t>数据清洗的关键点有三个。第一，期货 Excel 的中文列名中包含不间断空格，需要先清理列名再映射字段。第二，连续合约序列只用于分析和展示，真实回测只能使用如 IC2306、IM2409 这类可交易合约代码。第三，主力合约由数据自带的 main_force == 1 标志筛选，不手工拼接主力序列。</w:t>
      </w:r>
    </w:p>
    <w:tbl>
      <w:tblPr>
        <w:tblStyle w:val="TableGrid"/>
        <w:tblW w:type="auto" w:w="0"/>
        <w:jc w:val="center"/>
        <w:tblLook w:firstColumn="1" w:firstRow="1" w:lastColumn="0" w:lastRow="0" w:noHBand="0" w:noVBand="1" w:val="04A0"/>
      </w:tblPr>
      <w:tblGrid>
        <w:gridCol w:w="3022"/>
        <w:gridCol w:w="3022"/>
        <w:gridCol w:w="3022"/>
      </w:tblGrid>
      <w:tr>
        <w:tc>
          <w:tcPr>
            <w:tcW w:type="dxa" w:w="3022"/>
            <w:vAlign w:val="center"/>
            <w:shd w:fill="EDEDED"/>
          </w:tcPr>
          <w:p>
            <w:pPr>
              <w:jc w:val="center"/>
            </w:pPr>
            <w:r>
              <w:rPr>
                <w:rFonts w:ascii="Times New Roman" w:hAnsi="Times New Roman" w:eastAsia="黑体"/>
                <w:b/>
                <w:i w:val="0"/>
                <w:color w:val="000000"/>
                <w:sz w:val="22"/>
              </w:rPr>
              <w:t>检查项</w:t>
            </w:r>
          </w:p>
        </w:tc>
        <w:tc>
          <w:tcPr>
            <w:tcW w:type="dxa" w:w="3022"/>
            <w:vAlign w:val="center"/>
            <w:shd w:fill="EDEDED"/>
          </w:tcPr>
          <w:p>
            <w:pPr>
              <w:jc w:val="center"/>
            </w:pPr>
            <w:r>
              <w:rPr>
                <w:rFonts w:ascii="Times New Roman" w:hAnsi="Times New Roman" w:eastAsia="黑体"/>
                <w:b/>
                <w:i w:val="0"/>
                <w:color w:val="000000"/>
                <w:sz w:val="22"/>
              </w:rPr>
              <w:t>IC</w:t>
            </w:r>
          </w:p>
        </w:tc>
        <w:tc>
          <w:tcPr>
            <w:tcW w:type="dxa" w:w="3022"/>
            <w:vAlign w:val="center"/>
            <w:shd w:fill="EDEDED"/>
          </w:tcPr>
          <w:p>
            <w:pPr>
              <w:jc w:val="center"/>
            </w:pPr>
            <w:r>
              <w:rPr>
                <w:rFonts w:ascii="Times New Roman" w:hAnsi="Times New Roman" w:eastAsia="黑体"/>
                <w:b/>
                <w:i w:val="0"/>
                <w:color w:val="000000"/>
                <w:sz w:val="22"/>
              </w:rPr>
              <w:t>IM</w:t>
            </w:r>
          </w:p>
        </w:tc>
      </w:tr>
      <w:tr>
        <w:tc>
          <w:tcPr>
            <w:tcW w:type="dxa" w:w="3022"/>
            <w:vAlign w:val="center"/>
          </w:tcPr>
          <w:p>
            <w:pPr>
              <w:jc w:val="left"/>
            </w:pPr>
            <w:r>
              <w:rPr>
                <w:rFonts w:ascii="Times New Roman" w:hAnsi="Times New Roman" w:eastAsia="宋体"/>
                <w:b w:val="0"/>
                <w:i w:val="0"/>
                <w:color w:val="222222"/>
                <w:sz w:val="21"/>
              </w:rPr>
              <w:t>全量期货样本</w:t>
            </w:r>
          </w:p>
        </w:tc>
        <w:tc>
          <w:tcPr>
            <w:tcW w:type="dxa" w:w="3022"/>
            <w:vAlign w:val="center"/>
          </w:tcPr>
          <w:p>
            <w:pPr>
              <w:jc w:val="center"/>
            </w:pPr>
            <w:r>
              <w:rPr>
                <w:rFonts w:ascii="Times New Roman" w:hAnsi="Times New Roman" w:eastAsia="宋体"/>
                <w:b w:val="0"/>
                <w:i w:val="0"/>
                <w:color w:val="222222"/>
                <w:sz w:val="21"/>
              </w:rPr>
              <w:t>10568 行</w:t>
            </w:r>
          </w:p>
        </w:tc>
        <w:tc>
          <w:tcPr>
            <w:tcW w:type="dxa" w:w="3022"/>
            <w:vAlign w:val="center"/>
          </w:tcPr>
          <w:p>
            <w:pPr>
              <w:jc w:val="center"/>
            </w:pPr>
            <w:r>
              <w:rPr>
                <w:rFonts w:ascii="Times New Roman" w:hAnsi="Times New Roman" w:eastAsia="宋体"/>
                <w:b w:val="0"/>
                <w:i w:val="0"/>
                <w:color w:val="222222"/>
                <w:sz w:val="21"/>
              </w:rPr>
              <w:t>3488 行</w:t>
            </w:r>
          </w:p>
        </w:tc>
      </w:tr>
      <w:tr>
        <w:tc>
          <w:tcPr>
            <w:tcW w:type="dxa" w:w="3022"/>
            <w:vAlign w:val="center"/>
            <w:shd w:fill="F7F7F7"/>
          </w:tcPr>
          <w:p>
            <w:pPr>
              <w:jc w:val="left"/>
            </w:pPr>
            <w:r>
              <w:rPr>
                <w:rFonts w:ascii="Times New Roman" w:hAnsi="Times New Roman" w:eastAsia="宋体"/>
                <w:b w:val="0"/>
                <w:i w:val="0"/>
                <w:color w:val="222222"/>
                <w:sz w:val="21"/>
              </w:rPr>
              <w:t>主力合约样本</w:t>
            </w:r>
          </w:p>
        </w:tc>
        <w:tc>
          <w:tcPr>
            <w:tcW w:type="dxa" w:w="3022"/>
            <w:vAlign w:val="center"/>
            <w:shd w:fill="F7F7F7"/>
          </w:tcPr>
          <w:p>
            <w:pPr>
              <w:jc w:val="center"/>
            </w:pPr>
            <w:r>
              <w:rPr>
                <w:rFonts w:ascii="Times New Roman" w:hAnsi="Times New Roman" w:eastAsia="宋体"/>
                <w:b w:val="0"/>
                <w:i w:val="0"/>
                <w:color w:val="222222"/>
                <w:sz w:val="21"/>
              </w:rPr>
              <w:t>2642 行</w:t>
            </w:r>
          </w:p>
        </w:tc>
        <w:tc>
          <w:tcPr>
            <w:tcW w:type="dxa" w:w="3022"/>
            <w:vAlign w:val="center"/>
            <w:shd w:fill="F7F7F7"/>
          </w:tcPr>
          <w:p>
            <w:pPr>
              <w:jc w:val="center"/>
            </w:pPr>
            <w:r>
              <w:rPr>
                <w:rFonts w:ascii="Times New Roman" w:hAnsi="Times New Roman" w:eastAsia="宋体"/>
                <w:b w:val="0"/>
                <w:i w:val="0"/>
                <w:color w:val="222222"/>
                <w:sz w:val="21"/>
              </w:rPr>
              <w:t>872 行</w:t>
            </w:r>
          </w:p>
        </w:tc>
      </w:tr>
      <w:tr>
        <w:tc>
          <w:tcPr>
            <w:tcW w:type="dxa" w:w="3022"/>
            <w:vAlign w:val="center"/>
          </w:tcPr>
          <w:p>
            <w:pPr>
              <w:jc w:val="left"/>
            </w:pPr>
            <w:r>
              <w:rPr>
                <w:rFonts w:ascii="Times New Roman" w:hAnsi="Times New Roman" w:eastAsia="宋体"/>
                <w:b w:val="0"/>
                <w:i w:val="0"/>
                <w:color w:val="222222"/>
                <w:sz w:val="21"/>
              </w:rPr>
              <w:t>主力样本日期</w:t>
            </w:r>
          </w:p>
        </w:tc>
        <w:tc>
          <w:tcPr>
            <w:tcW w:type="dxa" w:w="3022"/>
            <w:vAlign w:val="center"/>
          </w:tcPr>
          <w:p>
            <w:pPr>
              <w:jc w:val="center"/>
            </w:pPr>
            <w:r>
              <w:rPr>
                <w:rFonts w:ascii="Times New Roman" w:hAnsi="Times New Roman" w:eastAsia="宋体"/>
                <w:b w:val="0"/>
                <w:i w:val="0"/>
                <w:color w:val="222222"/>
                <w:sz w:val="21"/>
              </w:rPr>
              <w:t>2015-04-16 ~ 2026-03-02</w:t>
            </w:r>
          </w:p>
        </w:tc>
        <w:tc>
          <w:tcPr>
            <w:tcW w:type="dxa" w:w="3022"/>
            <w:vAlign w:val="center"/>
          </w:tcPr>
          <w:p>
            <w:pPr>
              <w:jc w:val="center"/>
            </w:pPr>
            <w:r>
              <w:rPr>
                <w:rFonts w:ascii="Times New Roman" w:hAnsi="Times New Roman" w:eastAsia="宋体"/>
                <w:b w:val="0"/>
                <w:i w:val="0"/>
                <w:color w:val="222222"/>
                <w:sz w:val="21"/>
              </w:rPr>
              <w:t>2022-07-22 ~ 2026-03-02</w:t>
            </w:r>
          </w:p>
        </w:tc>
      </w:tr>
      <w:tr>
        <w:tc>
          <w:tcPr>
            <w:tcW w:type="dxa" w:w="3022"/>
            <w:vAlign w:val="center"/>
            <w:shd w:fill="F7F7F7"/>
          </w:tcPr>
          <w:p>
            <w:pPr>
              <w:jc w:val="left"/>
            </w:pPr>
            <w:r>
              <w:rPr>
                <w:rFonts w:ascii="Times New Roman" w:hAnsi="Times New Roman" w:eastAsia="宋体"/>
                <w:b w:val="0"/>
                <w:i w:val="0"/>
                <w:color w:val="222222"/>
                <w:sz w:val="21"/>
              </w:rPr>
              <w:t>主力合约切换次数</w:t>
            </w:r>
          </w:p>
        </w:tc>
        <w:tc>
          <w:tcPr>
            <w:tcW w:type="dxa" w:w="3022"/>
            <w:vAlign w:val="center"/>
            <w:shd w:fill="F7F7F7"/>
          </w:tcPr>
          <w:p>
            <w:pPr>
              <w:jc w:val="center"/>
            </w:pPr>
            <w:r>
              <w:rPr>
                <w:rFonts w:ascii="Times New Roman" w:hAnsi="Times New Roman" w:eastAsia="宋体"/>
                <w:b w:val="0"/>
                <w:i w:val="0"/>
                <w:color w:val="222222"/>
                <w:sz w:val="21"/>
              </w:rPr>
              <w:t>131 次</w:t>
            </w:r>
          </w:p>
        </w:tc>
        <w:tc>
          <w:tcPr>
            <w:tcW w:type="dxa" w:w="3022"/>
            <w:vAlign w:val="center"/>
            <w:shd w:fill="F7F7F7"/>
          </w:tcPr>
          <w:p>
            <w:pPr>
              <w:jc w:val="center"/>
            </w:pPr>
            <w:r>
              <w:rPr>
                <w:rFonts w:ascii="Times New Roman" w:hAnsi="Times New Roman" w:eastAsia="宋体"/>
                <w:b w:val="0"/>
                <w:i w:val="0"/>
                <w:color w:val="222222"/>
                <w:sz w:val="21"/>
              </w:rPr>
              <w:t>44 次</w:t>
            </w:r>
          </w:p>
        </w:tc>
      </w:tr>
      <w:tr>
        <w:tc>
          <w:tcPr>
            <w:tcW w:type="dxa" w:w="3022"/>
            <w:vAlign w:val="center"/>
          </w:tcPr>
          <w:p>
            <w:pPr>
              <w:jc w:val="left"/>
            </w:pPr>
            <w:r>
              <w:rPr>
                <w:rFonts w:ascii="Times New Roman" w:hAnsi="Times New Roman" w:eastAsia="宋体"/>
                <w:b w:val="0"/>
                <w:i w:val="0"/>
                <w:color w:val="222222"/>
                <w:sz w:val="21"/>
              </w:rPr>
              <w:t>指数匹配率</w:t>
            </w:r>
          </w:p>
        </w:tc>
        <w:tc>
          <w:tcPr>
            <w:tcW w:type="dxa" w:w="3022"/>
            <w:vAlign w:val="center"/>
          </w:tcPr>
          <w:p>
            <w:pPr>
              <w:jc w:val="center"/>
            </w:pPr>
            <w:r>
              <w:rPr>
                <w:rFonts w:ascii="Times New Roman" w:hAnsi="Times New Roman" w:eastAsia="宋体"/>
                <w:b w:val="0"/>
                <w:i w:val="0"/>
                <w:color w:val="222222"/>
                <w:sz w:val="21"/>
              </w:rPr>
              <w:t>100.0%</w:t>
            </w:r>
          </w:p>
        </w:tc>
        <w:tc>
          <w:tcPr>
            <w:tcW w:type="dxa" w:w="3022"/>
            <w:vAlign w:val="center"/>
          </w:tcPr>
          <w:p>
            <w:pPr>
              <w:jc w:val="center"/>
            </w:pPr>
            <w:r>
              <w:rPr>
                <w:rFonts w:ascii="Times New Roman" w:hAnsi="Times New Roman" w:eastAsia="宋体"/>
                <w:b w:val="0"/>
                <w:i w:val="0"/>
                <w:color w:val="222222"/>
                <w:sz w:val="21"/>
              </w:rPr>
              <w:t>100.0%</w:t>
            </w:r>
          </w:p>
        </w:tc>
      </w:tr>
      <w:tr>
        <w:tc>
          <w:tcPr>
            <w:tcW w:type="dxa" w:w="3022"/>
            <w:vAlign w:val="center"/>
            <w:shd w:fill="F7F7F7"/>
          </w:tcPr>
          <w:p>
            <w:pPr>
              <w:jc w:val="left"/>
            </w:pPr>
            <w:r>
              <w:rPr>
                <w:rFonts w:ascii="Times New Roman" w:hAnsi="Times New Roman" w:eastAsia="宋体"/>
                <w:b w:val="0"/>
                <w:i w:val="0"/>
                <w:color w:val="222222"/>
                <w:sz w:val="21"/>
              </w:rPr>
              <w:t>距到期日范围</w:t>
            </w:r>
          </w:p>
        </w:tc>
        <w:tc>
          <w:tcPr>
            <w:tcW w:type="dxa" w:w="3022"/>
            <w:vAlign w:val="center"/>
            <w:shd w:fill="F7F7F7"/>
          </w:tcPr>
          <w:p>
            <w:pPr>
              <w:jc w:val="center"/>
            </w:pPr>
            <w:r>
              <w:rPr>
                <w:rFonts w:ascii="Times New Roman" w:hAnsi="Times New Roman" w:eastAsia="宋体"/>
                <w:b w:val="0"/>
                <w:i w:val="0"/>
                <w:color w:val="222222"/>
                <w:sz w:val="21"/>
              </w:rPr>
              <w:t>1 ~ 50 天</w:t>
            </w:r>
          </w:p>
        </w:tc>
        <w:tc>
          <w:tcPr>
            <w:tcW w:type="dxa" w:w="3022"/>
            <w:vAlign w:val="center"/>
            <w:shd w:fill="F7F7F7"/>
          </w:tcPr>
          <w:p>
            <w:pPr>
              <w:jc w:val="center"/>
            </w:pPr>
            <w:r>
              <w:rPr>
                <w:rFonts w:ascii="Times New Roman" w:hAnsi="Times New Roman" w:eastAsia="宋体"/>
                <w:b w:val="0"/>
                <w:i w:val="0"/>
                <w:color w:val="222222"/>
                <w:sz w:val="21"/>
              </w:rPr>
              <w:t>1 ~ 50 天</w:t>
            </w:r>
          </w:p>
        </w:tc>
      </w:tr>
      <w:tr>
        <w:tc>
          <w:tcPr>
            <w:tcW w:type="dxa" w:w="3022"/>
            <w:vAlign w:val="center"/>
          </w:tcPr>
          <w:p>
            <w:pPr>
              <w:jc w:val="left"/>
            </w:pPr>
            <w:r>
              <w:rPr>
                <w:rFonts w:ascii="Times New Roman" w:hAnsi="Times New Roman" w:eastAsia="宋体"/>
                <w:b w:val="0"/>
                <w:i w:val="0"/>
                <w:color w:val="222222"/>
                <w:sz w:val="21"/>
              </w:rPr>
              <w:t>合约切换跳空范围</w:t>
            </w:r>
          </w:p>
        </w:tc>
        <w:tc>
          <w:tcPr>
            <w:tcW w:type="dxa" w:w="3022"/>
            <w:vAlign w:val="center"/>
          </w:tcPr>
          <w:p>
            <w:pPr>
              <w:jc w:val="center"/>
            </w:pPr>
            <w:r>
              <w:rPr>
                <w:rFonts w:ascii="Times New Roman" w:hAnsi="Times New Roman" w:eastAsia="宋体"/>
                <w:b w:val="0"/>
                <w:i w:val="0"/>
                <w:color w:val="222222"/>
                <w:sz w:val="21"/>
              </w:rPr>
              <w:t>-13.96% ~ 4.25%</w:t>
            </w:r>
          </w:p>
        </w:tc>
        <w:tc>
          <w:tcPr>
            <w:tcW w:type="dxa" w:w="3022"/>
            <w:vAlign w:val="center"/>
          </w:tcPr>
          <w:p>
            <w:pPr>
              <w:jc w:val="center"/>
            </w:pPr>
            <w:r>
              <w:rPr>
                <w:rFonts w:ascii="Times New Roman" w:hAnsi="Times New Roman" w:eastAsia="宋体"/>
                <w:b w:val="0"/>
                <w:i w:val="0"/>
                <w:color w:val="222222"/>
                <w:sz w:val="21"/>
              </w:rPr>
              <w:t>-4.91% ~ 4.28%</w:t>
            </w:r>
          </w:p>
        </w:tc>
      </w:tr>
    </w:tbl>
    <w:p/>
    <w:p>
      <w:pPr>
        <w:spacing w:lineRule="exact" w:line="400" w:after="120"/>
        <w:ind w:firstLine="420"/>
        <w:jc w:val="both"/>
      </w:pPr>
      <w:r>
        <w:rPr>
          <w:rFonts w:ascii="Times New Roman" w:hAnsi="Times New Roman" w:eastAsia="宋体"/>
          <w:b w:val="0"/>
          <w:i w:val="0"/>
          <w:color w:val="222222"/>
          <w:sz w:val="24"/>
        </w:rPr>
        <w:t>这组数据的一个特点是 IC 样本明显更长，覆盖 2015 年以来多个市场阶段；IM 从 2022 年才开始，样本期更短，结论稳定性天然弱一些。报告后面对 IM 的判断都按这个前提理解。</w:t>
      </w:r>
    </w:p>
    <w:p>
      <w:pPr>
        <w:spacing w:before="160" w:after="120"/>
      </w:pPr>
      <w:r>
        <w:rPr>
          <w:rFonts w:ascii="Times New Roman" w:hAnsi="Times New Roman" w:eastAsia="黑体"/>
          <w:b/>
          <w:i w:val="0"/>
          <w:color w:val="000000"/>
          <w:sz w:val="25"/>
        </w:rPr>
        <w:t>1.2 回测假设</w:t>
      </w:r>
    </w:p>
    <w:p>
      <w:pPr>
        <w:spacing w:lineRule="exact" w:line="400" w:after="120"/>
        <w:ind w:firstLine="420"/>
        <w:jc w:val="both"/>
      </w:pPr>
      <w:r>
        <w:rPr>
          <w:rFonts w:ascii="Times New Roman" w:hAnsi="Times New Roman" w:eastAsia="宋体"/>
          <w:b w:val="0"/>
          <w:i w:val="0"/>
          <w:color w:val="222222"/>
          <w:sz w:val="24"/>
        </w:rPr>
        <w:t>所有策略使用统一的交易口径：</w:t>
      </w:r>
    </w:p>
    <w:tbl>
      <w:tblPr>
        <w:tblStyle w:val="TableGrid"/>
        <w:tblW w:type="auto" w:w="0"/>
        <w:jc w:val="center"/>
        <w:tblLook w:firstColumn="1" w:firstRow="1" w:lastColumn="0" w:lastRow="0" w:noHBand="0" w:noVBand="1" w:val="04A0"/>
      </w:tblPr>
      <w:tblGrid>
        <w:gridCol w:w="4533"/>
        <w:gridCol w:w="4533"/>
      </w:tblGrid>
      <w:tr>
        <w:tc>
          <w:tcPr>
            <w:tcW w:type="dxa" w:w="4533"/>
            <w:vAlign w:val="center"/>
            <w:shd w:fill="EDEDED"/>
          </w:tcPr>
          <w:p>
            <w:pPr>
              <w:jc w:val="center"/>
            </w:pPr>
            <w:r>
              <w:rPr>
                <w:rFonts w:ascii="Times New Roman" w:hAnsi="Times New Roman" w:eastAsia="黑体"/>
                <w:b/>
                <w:i w:val="0"/>
                <w:color w:val="000000"/>
                <w:sz w:val="22"/>
              </w:rPr>
              <w:t>项目</w:t>
            </w:r>
          </w:p>
        </w:tc>
        <w:tc>
          <w:tcPr>
            <w:tcW w:type="dxa" w:w="4533"/>
            <w:vAlign w:val="center"/>
            <w:shd w:fill="EDEDED"/>
          </w:tcPr>
          <w:p>
            <w:pPr>
              <w:jc w:val="center"/>
            </w:pPr>
            <w:r>
              <w:rPr>
                <w:rFonts w:ascii="Times New Roman" w:hAnsi="Times New Roman" w:eastAsia="黑体"/>
                <w:b/>
                <w:i w:val="0"/>
                <w:color w:val="000000"/>
                <w:sz w:val="22"/>
              </w:rPr>
              <w:t>设定</w:t>
            </w:r>
          </w:p>
        </w:tc>
      </w:tr>
      <w:tr>
        <w:tc>
          <w:tcPr>
            <w:tcW w:type="dxa" w:w="4533"/>
            <w:vAlign w:val="center"/>
          </w:tcPr>
          <w:p>
            <w:pPr>
              <w:jc w:val="left"/>
            </w:pPr>
            <w:r>
              <w:rPr>
                <w:rFonts w:ascii="Times New Roman" w:hAnsi="Times New Roman" w:eastAsia="宋体"/>
                <w:b w:val="0"/>
                <w:i w:val="0"/>
                <w:color w:val="222222"/>
                <w:sz w:val="21"/>
              </w:rPr>
              <w:t>信号时点</w:t>
            </w:r>
          </w:p>
        </w:tc>
        <w:tc>
          <w:tcPr>
            <w:tcW w:type="dxa" w:w="4533"/>
            <w:vAlign w:val="center"/>
          </w:tcPr>
          <w:p>
            <w:pPr>
              <w:jc w:val="center"/>
            </w:pPr>
            <w:r>
              <w:rPr>
                <w:rFonts w:ascii="Times New Roman" w:hAnsi="Times New Roman" w:eastAsia="宋体"/>
                <w:b w:val="0"/>
                <w:i w:val="0"/>
                <w:color w:val="222222"/>
                <w:sz w:val="21"/>
              </w:rPr>
              <w:t>T 日收盘后，根据当日可见数据计算</w:t>
            </w:r>
          </w:p>
        </w:tc>
      </w:tr>
      <w:tr>
        <w:tc>
          <w:tcPr>
            <w:tcW w:type="dxa" w:w="4533"/>
            <w:vAlign w:val="center"/>
            <w:shd w:fill="F7F7F7"/>
          </w:tcPr>
          <w:p>
            <w:pPr>
              <w:jc w:val="left"/>
            </w:pPr>
            <w:r>
              <w:rPr>
                <w:rFonts w:ascii="Times New Roman" w:hAnsi="Times New Roman" w:eastAsia="宋体"/>
                <w:b w:val="0"/>
                <w:i w:val="0"/>
                <w:color w:val="222222"/>
                <w:sz w:val="21"/>
              </w:rPr>
              <w:t>成交时点</w:t>
            </w:r>
          </w:p>
        </w:tc>
        <w:tc>
          <w:tcPr>
            <w:tcW w:type="dxa" w:w="4533"/>
            <w:vAlign w:val="center"/>
            <w:shd w:fill="F7F7F7"/>
          </w:tcPr>
          <w:p>
            <w:pPr>
              <w:jc w:val="center"/>
            </w:pPr>
            <w:r>
              <w:rPr>
                <w:rFonts w:ascii="Times New Roman" w:hAnsi="Times New Roman" w:eastAsia="宋体"/>
                <w:b w:val="0"/>
                <w:i w:val="0"/>
                <w:color w:val="222222"/>
                <w:sz w:val="21"/>
              </w:rPr>
              <w:t>T+1 日收盘价成交</w:t>
            </w:r>
          </w:p>
        </w:tc>
      </w:tr>
      <w:tr>
        <w:tc>
          <w:tcPr>
            <w:tcW w:type="dxa" w:w="4533"/>
            <w:vAlign w:val="center"/>
          </w:tcPr>
          <w:p>
            <w:pPr>
              <w:jc w:val="left"/>
            </w:pPr>
            <w:r>
              <w:rPr>
                <w:rFonts w:ascii="Times New Roman" w:hAnsi="Times New Roman" w:eastAsia="宋体"/>
                <w:b w:val="0"/>
                <w:i w:val="0"/>
                <w:color w:val="222222"/>
                <w:sz w:val="21"/>
              </w:rPr>
              <w:t>合约选择</w:t>
            </w:r>
          </w:p>
        </w:tc>
        <w:tc>
          <w:tcPr>
            <w:tcW w:type="dxa" w:w="4533"/>
            <w:vAlign w:val="center"/>
          </w:tcPr>
          <w:p>
            <w:pPr>
              <w:jc w:val="center"/>
            </w:pPr>
            <w:r>
              <w:rPr>
                <w:rFonts w:ascii="Times New Roman" w:hAnsi="Times New Roman" w:eastAsia="宋体"/>
                <w:b w:val="0"/>
                <w:i w:val="0"/>
                <w:color w:val="222222"/>
                <w:sz w:val="21"/>
              </w:rPr>
              <w:t>使用真实期货合约，不使用连续合约作为交易标的</w:t>
            </w:r>
          </w:p>
        </w:tc>
      </w:tr>
      <w:tr>
        <w:tc>
          <w:tcPr>
            <w:tcW w:type="dxa" w:w="4533"/>
            <w:vAlign w:val="center"/>
            <w:shd w:fill="F7F7F7"/>
          </w:tcPr>
          <w:p>
            <w:pPr>
              <w:jc w:val="left"/>
            </w:pPr>
            <w:r>
              <w:rPr>
                <w:rFonts w:ascii="Times New Roman" w:hAnsi="Times New Roman" w:eastAsia="宋体"/>
                <w:b w:val="0"/>
                <w:i w:val="0"/>
                <w:color w:val="222222"/>
                <w:sz w:val="21"/>
              </w:rPr>
              <w:t>展期规则</w:t>
            </w:r>
          </w:p>
        </w:tc>
        <w:tc>
          <w:tcPr>
            <w:tcW w:type="dxa" w:w="4533"/>
            <w:vAlign w:val="center"/>
            <w:shd w:fill="F7F7F7"/>
          </w:tcPr>
          <w:p>
            <w:pPr>
              <w:jc w:val="center"/>
            </w:pPr>
            <w:r>
              <w:rPr>
                <w:rFonts w:ascii="Times New Roman" w:hAnsi="Times New Roman" w:eastAsia="宋体"/>
                <w:b w:val="0"/>
                <w:i w:val="0"/>
                <w:color w:val="222222"/>
                <w:sz w:val="21"/>
              </w:rPr>
              <w:t>到期前固定窗口换至下一主力/次近月合约</w:t>
            </w:r>
          </w:p>
        </w:tc>
      </w:tr>
      <w:tr>
        <w:tc>
          <w:tcPr>
            <w:tcW w:type="dxa" w:w="4533"/>
            <w:vAlign w:val="center"/>
          </w:tcPr>
          <w:p>
            <w:pPr>
              <w:jc w:val="left"/>
            </w:pPr>
            <w:r>
              <w:rPr>
                <w:rFonts w:ascii="Times New Roman" w:hAnsi="Times New Roman" w:eastAsia="宋体"/>
                <w:b w:val="0"/>
                <w:i w:val="0"/>
                <w:color w:val="222222"/>
                <w:sz w:val="21"/>
              </w:rPr>
              <w:t>成本</w:t>
            </w:r>
          </w:p>
        </w:tc>
        <w:tc>
          <w:tcPr>
            <w:tcW w:type="dxa" w:w="4533"/>
            <w:vAlign w:val="center"/>
          </w:tcPr>
          <w:p>
            <w:pPr>
              <w:jc w:val="center"/>
            </w:pPr>
            <w:r>
              <w:rPr>
                <w:rFonts w:ascii="Times New Roman" w:hAnsi="Times New Roman" w:eastAsia="宋体"/>
                <w:b w:val="0"/>
                <w:i w:val="0"/>
                <w:color w:val="222222"/>
                <w:sz w:val="21"/>
              </w:rPr>
              <w:t>手续费 + 滑点逐笔扣除</w:t>
            </w:r>
          </w:p>
        </w:tc>
      </w:tr>
      <w:tr>
        <w:tc>
          <w:tcPr>
            <w:tcW w:type="dxa" w:w="4533"/>
            <w:vAlign w:val="center"/>
            <w:shd w:fill="F7F7F7"/>
          </w:tcPr>
          <w:p>
            <w:pPr>
              <w:jc w:val="left"/>
            </w:pPr>
            <w:r>
              <w:rPr>
                <w:rFonts w:ascii="Times New Roman" w:hAnsi="Times New Roman" w:eastAsia="宋体"/>
                <w:b w:val="0"/>
                <w:i w:val="0"/>
                <w:color w:val="222222"/>
                <w:sz w:val="21"/>
              </w:rPr>
              <w:t>逐日盯市</w:t>
            </w:r>
          </w:p>
        </w:tc>
        <w:tc>
          <w:tcPr>
            <w:tcW w:type="dxa" w:w="4533"/>
            <w:vAlign w:val="center"/>
            <w:shd w:fill="F7F7F7"/>
          </w:tcPr>
          <w:p>
            <w:pPr>
              <w:jc w:val="center"/>
            </w:pPr>
            <w:r>
              <w:rPr>
                <w:rFonts w:ascii="Times New Roman" w:hAnsi="Times New Roman" w:eastAsia="宋体"/>
                <w:b w:val="0"/>
                <w:i w:val="0"/>
                <w:color w:val="222222"/>
                <w:sz w:val="21"/>
              </w:rPr>
              <w:t>按实际持有合约的收盘价计算每日盈亏</w:t>
            </w:r>
          </w:p>
        </w:tc>
      </w:tr>
      <w:tr>
        <w:tc>
          <w:tcPr>
            <w:tcW w:type="dxa" w:w="4533"/>
            <w:vAlign w:val="center"/>
          </w:tcPr>
          <w:p>
            <w:pPr>
              <w:jc w:val="left"/>
            </w:pPr>
            <w:r>
              <w:rPr>
                <w:rFonts w:ascii="Times New Roman" w:hAnsi="Times New Roman" w:eastAsia="宋体"/>
                <w:b w:val="0"/>
                <w:i w:val="0"/>
                <w:color w:val="222222"/>
                <w:sz w:val="21"/>
              </w:rPr>
              <w:t>初始资金</w:t>
            </w:r>
          </w:p>
        </w:tc>
        <w:tc>
          <w:tcPr>
            <w:tcW w:type="dxa" w:w="4533"/>
            <w:vAlign w:val="center"/>
          </w:tcPr>
          <w:p>
            <w:pPr>
              <w:jc w:val="center"/>
            </w:pPr>
            <w:r>
              <w:rPr>
                <w:rFonts w:ascii="Times New Roman" w:hAnsi="Times New Roman" w:eastAsia="宋体"/>
                <w:b w:val="0"/>
                <w:i w:val="0"/>
                <w:color w:val="222222"/>
                <w:sz w:val="21"/>
              </w:rPr>
              <w:t>1,000,000 元</w:t>
            </w:r>
          </w:p>
        </w:tc>
      </w:tr>
    </w:tbl>
    <w:p/>
    <w:p>
      <w:pPr>
        <w:spacing w:lineRule="exact" w:line="400" w:after="120"/>
        <w:ind w:firstLine="420"/>
        <w:jc w:val="both"/>
      </w:pPr>
      <w:r>
        <w:rPr>
          <w:rFonts w:ascii="Times New Roman" w:hAnsi="Times New Roman" w:eastAsia="宋体"/>
          <w:b w:val="0"/>
          <w:i w:val="0"/>
          <w:color w:val="222222"/>
          <w:sz w:val="24"/>
        </w:rPr>
        <w:t>这里最重要的是“按实际持有合约逐日盯市”。如果直接拿主力连续合约计算收益，合约切换日的跳空容易被重复计入，收益会被高估。本报告的交易流水中还专门检查了展期记录，所有换仓记录的旧合约和新合约都不同，没有出现同合约重复换仓。</w:t>
      </w:r>
    </w:p>
    <w:p>
      <w:pPr>
        <w:sectPr>
          <w:headerReference w:type="default" r:id="rId9"/>
          <w:footerReference w:type="default" r:id="rId10"/>
          <w:pgSz w:w="12240" w:h="15840"/>
          <w:pgMar w:top="1440" w:right="1587" w:bottom="1440" w:left="1587" w:header="720" w:footer="720" w:gutter="0"/>
          <w:cols w:space="720"/>
          <w:docGrid w:linePitch="360"/>
        </w:sectPr>
      </w:pPr>
    </w:p>
    <w:p>
      <w:pPr>
        <w:spacing w:before="240" w:after="120"/>
        <w:pBdr>
          <w:bottom w:val="single" w:sz="8" w:space="1" w:color="808080"/>
        </w:pBdr>
      </w:pPr>
      <w:r>
        <w:rPr>
          <w:rFonts w:ascii="Times New Roman" w:hAnsi="Times New Roman" w:eastAsia="黑体"/>
          <w:b/>
          <w:i w:val="0"/>
          <w:color w:val="000000"/>
          <w:sz w:val="29"/>
        </w:rPr>
        <w:t>2. 基差与展期收益</w:t>
      </w:r>
    </w:p>
    <w:p>
      <w:pPr>
        <w:spacing w:before="160" w:after="120"/>
      </w:pPr>
      <w:r>
        <w:rPr>
          <w:rFonts w:ascii="Times New Roman" w:hAnsi="Times New Roman" w:eastAsia="黑体"/>
          <w:b/>
          <w:i w:val="0"/>
          <w:color w:val="000000"/>
          <w:sz w:val="25"/>
        </w:rPr>
        <w:t>2.1 基差的经济含义</w:t>
      </w:r>
    </w:p>
    <w:p>
      <w:pPr>
        <w:spacing w:lineRule="exact" w:line="400" w:after="120"/>
        <w:ind w:firstLine="420"/>
        <w:jc w:val="both"/>
      </w:pPr>
      <w:r>
        <w:rPr>
          <w:rFonts w:ascii="Times New Roman" w:hAnsi="Times New Roman" w:eastAsia="宋体"/>
          <w:b w:val="0"/>
          <w:i w:val="0"/>
          <w:color w:val="222222"/>
          <w:sz w:val="24"/>
        </w:rPr>
        <w:t>本报告定义：</w:t>
      </w:r>
    </w:p>
    <w:p>
      <w:pPr>
        <w:spacing w:lineRule="exact" w:line="400" w:after="120"/>
        <w:ind w:firstLine="420"/>
        <w:jc w:val="both"/>
      </w:pPr>
      <w:r>
        <w:rPr>
          <w:rFonts w:ascii="Times New Roman" w:hAnsi="Times New Roman" w:eastAsia="宋体"/>
          <w:b w:val="0"/>
          <w:i w:val="0"/>
          <w:color w:val="222222"/>
          <w:sz w:val="24"/>
        </w:rPr>
        <w:t>基差 = 期货收盘价 - 指数收盘价</w:t>
      </w:r>
    </w:p>
    <w:p>
      <w:pPr>
        <w:spacing w:lineRule="exact" w:line="400" w:after="120"/>
        <w:ind w:firstLine="420"/>
        <w:jc w:val="both"/>
      </w:pPr>
      <w:r>
        <w:rPr>
          <w:rFonts w:ascii="Times New Roman" w:hAnsi="Times New Roman" w:eastAsia="宋体"/>
          <w:b w:val="0"/>
          <w:i w:val="0"/>
          <w:color w:val="222222"/>
          <w:sz w:val="24"/>
        </w:rPr>
        <w:t>基差为负表示期货贴水。贴水市场中，期货价格在临近到期时通常向现货指数收敛。多头持有贴水合约，本质上是在承担指数方向风险的同时，争取基差收敛和展期补偿。这个逻辑清楚，但不等于无风险套利，因为指数下跌时基差收敛很难抵消方向亏损。</w:t>
      </w:r>
    </w:p>
    <w:p>
      <w:pPr>
        <w:spacing w:before="160" w:after="120"/>
      </w:pPr>
      <w:r>
        <w:rPr>
          <w:rFonts w:ascii="Times New Roman" w:hAnsi="Times New Roman" w:eastAsia="黑体"/>
          <w:b/>
          <w:i w:val="0"/>
          <w:color w:val="000000"/>
          <w:sz w:val="25"/>
        </w:rPr>
        <w:t>2.2 均值回复和预测能力</w:t>
      </w:r>
    </w:p>
    <w:tbl>
      <w:tblPr>
        <w:tblStyle w:val="TableGrid"/>
        <w:tblW w:type="auto" w:w="0"/>
        <w:jc w:val="center"/>
        <w:tblLook w:firstColumn="1" w:firstRow="1" w:lastColumn="0" w:lastRow="0" w:noHBand="0" w:noVBand="1" w:val="04A0"/>
      </w:tblPr>
      <w:tblGrid>
        <w:gridCol w:w="3022"/>
        <w:gridCol w:w="3022"/>
        <w:gridCol w:w="3022"/>
      </w:tblGrid>
      <w:tr>
        <w:tc>
          <w:tcPr>
            <w:tcW w:type="dxa" w:w="3022"/>
            <w:vAlign w:val="center"/>
            <w:shd w:fill="EDEDED"/>
          </w:tcPr>
          <w:p>
            <w:pPr>
              <w:jc w:val="center"/>
            </w:pPr>
            <w:r>
              <w:rPr>
                <w:rFonts w:ascii="Times New Roman" w:hAnsi="Times New Roman" w:eastAsia="黑体"/>
                <w:b/>
                <w:i w:val="0"/>
                <w:color w:val="000000"/>
                <w:sz w:val="22"/>
              </w:rPr>
              <w:t>指标</w:t>
            </w:r>
          </w:p>
        </w:tc>
        <w:tc>
          <w:tcPr>
            <w:tcW w:type="dxa" w:w="3022"/>
            <w:vAlign w:val="center"/>
            <w:shd w:fill="EDEDED"/>
          </w:tcPr>
          <w:p>
            <w:pPr>
              <w:jc w:val="center"/>
            </w:pPr>
            <w:r>
              <w:rPr>
                <w:rFonts w:ascii="Times New Roman" w:hAnsi="Times New Roman" w:eastAsia="黑体"/>
                <w:b/>
                <w:i w:val="0"/>
                <w:color w:val="000000"/>
                <w:sz w:val="22"/>
              </w:rPr>
              <w:t>IC</w:t>
            </w:r>
          </w:p>
        </w:tc>
        <w:tc>
          <w:tcPr>
            <w:tcW w:type="dxa" w:w="3022"/>
            <w:vAlign w:val="center"/>
            <w:shd w:fill="EDEDED"/>
          </w:tcPr>
          <w:p>
            <w:pPr>
              <w:jc w:val="center"/>
            </w:pPr>
            <w:r>
              <w:rPr>
                <w:rFonts w:ascii="Times New Roman" w:hAnsi="Times New Roman" w:eastAsia="黑体"/>
                <w:b/>
                <w:i w:val="0"/>
                <w:color w:val="000000"/>
                <w:sz w:val="22"/>
              </w:rPr>
              <w:t>IM</w:t>
            </w:r>
          </w:p>
        </w:tc>
      </w:tr>
      <w:tr>
        <w:tc>
          <w:tcPr>
            <w:tcW w:type="dxa" w:w="3022"/>
            <w:vAlign w:val="center"/>
          </w:tcPr>
          <w:p>
            <w:pPr>
              <w:jc w:val="left"/>
            </w:pPr>
            <w:r>
              <w:rPr>
                <w:rFonts w:ascii="Times New Roman" w:hAnsi="Times New Roman" w:eastAsia="宋体"/>
                <w:b w:val="0"/>
                <w:i w:val="0"/>
                <w:color w:val="222222"/>
                <w:sz w:val="21"/>
              </w:rPr>
              <w:t>ADF 统计量</w:t>
            </w:r>
          </w:p>
        </w:tc>
        <w:tc>
          <w:tcPr>
            <w:tcW w:type="dxa" w:w="3022"/>
            <w:vAlign w:val="center"/>
          </w:tcPr>
          <w:p>
            <w:pPr>
              <w:jc w:val="center"/>
            </w:pPr>
            <w:r>
              <w:rPr>
                <w:rFonts w:ascii="Times New Roman" w:hAnsi="Times New Roman" w:eastAsia="宋体"/>
                <w:b w:val="0"/>
                <w:i w:val="0"/>
                <w:color w:val="222222"/>
                <w:sz w:val="21"/>
              </w:rPr>
              <w:t>-5.04</w:t>
            </w:r>
          </w:p>
        </w:tc>
        <w:tc>
          <w:tcPr>
            <w:tcW w:type="dxa" w:w="3022"/>
            <w:vAlign w:val="center"/>
          </w:tcPr>
          <w:p>
            <w:pPr>
              <w:jc w:val="center"/>
            </w:pPr>
            <w:r>
              <w:rPr>
                <w:rFonts w:ascii="Times New Roman" w:hAnsi="Times New Roman" w:eastAsia="宋体"/>
                <w:b w:val="0"/>
                <w:i w:val="0"/>
                <w:color w:val="222222"/>
                <w:sz w:val="21"/>
              </w:rPr>
              <w:t>-6.37</w:t>
            </w:r>
          </w:p>
        </w:tc>
      </w:tr>
      <w:tr>
        <w:tc>
          <w:tcPr>
            <w:tcW w:type="dxa" w:w="3022"/>
            <w:vAlign w:val="center"/>
            <w:shd w:fill="F7F7F7"/>
          </w:tcPr>
          <w:p>
            <w:pPr>
              <w:jc w:val="left"/>
            </w:pPr>
            <w:r>
              <w:rPr>
                <w:rFonts w:ascii="Times New Roman" w:hAnsi="Times New Roman" w:eastAsia="宋体"/>
                <w:b w:val="0"/>
                <w:i w:val="0"/>
                <w:color w:val="222222"/>
                <w:sz w:val="21"/>
              </w:rPr>
              <w:t>ADF p 值</w:t>
            </w:r>
          </w:p>
        </w:tc>
        <w:tc>
          <w:tcPr>
            <w:tcW w:type="dxa" w:w="3022"/>
            <w:vAlign w:val="center"/>
            <w:shd w:fill="F7F7F7"/>
          </w:tcPr>
          <w:p>
            <w:pPr>
              <w:jc w:val="center"/>
            </w:pPr>
            <w:r>
              <w:rPr>
                <w:rFonts w:ascii="Times New Roman" w:hAnsi="Times New Roman" w:eastAsia="宋体"/>
                <w:b w:val="0"/>
                <w:i w:val="0"/>
                <w:color w:val="222222"/>
                <w:sz w:val="21"/>
              </w:rPr>
              <w:t>0.0000</w:t>
            </w:r>
          </w:p>
        </w:tc>
        <w:tc>
          <w:tcPr>
            <w:tcW w:type="dxa" w:w="3022"/>
            <w:vAlign w:val="center"/>
            <w:shd w:fill="F7F7F7"/>
          </w:tcPr>
          <w:p>
            <w:pPr>
              <w:jc w:val="center"/>
            </w:pPr>
            <w:r>
              <w:rPr>
                <w:rFonts w:ascii="Times New Roman" w:hAnsi="Times New Roman" w:eastAsia="宋体"/>
                <w:b w:val="0"/>
                <w:i w:val="0"/>
                <w:color w:val="222222"/>
                <w:sz w:val="21"/>
              </w:rPr>
              <w:t>0.0000</w:t>
            </w:r>
          </w:p>
        </w:tc>
      </w:tr>
      <w:tr>
        <w:tc>
          <w:tcPr>
            <w:tcW w:type="dxa" w:w="3022"/>
            <w:vAlign w:val="center"/>
          </w:tcPr>
          <w:p>
            <w:pPr>
              <w:jc w:val="left"/>
            </w:pPr>
            <w:r>
              <w:rPr>
                <w:rFonts w:ascii="Times New Roman" w:hAnsi="Times New Roman" w:eastAsia="宋体"/>
                <w:b w:val="0"/>
                <w:i w:val="0"/>
                <w:color w:val="222222"/>
                <w:sz w:val="21"/>
              </w:rPr>
              <w:t>半衰期</w:t>
            </w:r>
          </w:p>
        </w:tc>
        <w:tc>
          <w:tcPr>
            <w:tcW w:type="dxa" w:w="3022"/>
            <w:vAlign w:val="center"/>
          </w:tcPr>
          <w:p>
            <w:pPr>
              <w:jc w:val="center"/>
            </w:pPr>
            <w:r>
              <w:rPr>
                <w:rFonts w:ascii="Times New Roman" w:hAnsi="Times New Roman" w:eastAsia="宋体"/>
                <w:b w:val="0"/>
                <w:i w:val="0"/>
                <w:color w:val="222222"/>
                <w:sz w:val="21"/>
              </w:rPr>
              <w:t>1.1 天</w:t>
            </w:r>
          </w:p>
        </w:tc>
        <w:tc>
          <w:tcPr>
            <w:tcW w:type="dxa" w:w="3022"/>
            <w:vAlign w:val="center"/>
          </w:tcPr>
          <w:p>
            <w:pPr>
              <w:jc w:val="center"/>
            </w:pPr>
            <w:r>
              <w:rPr>
                <w:rFonts w:ascii="Times New Roman" w:hAnsi="Times New Roman" w:eastAsia="宋体"/>
                <w:b w:val="0"/>
                <w:i w:val="0"/>
                <w:color w:val="222222"/>
                <w:sz w:val="21"/>
              </w:rPr>
              <w:t>0.9 天</w:t>
            </w:r>
          </w:p>
        </w:tc>
      </w:tr>
      <w:tr>
        <w:tc>
          <w:tcPr>
            <w:tcW w:type="dxa" w:w="3022"/>
            <w:vAlign w:val="center"/>
            <w:shd w:fill="F7F7F7"/>
          </w:tcPr>
          <w:p>
            <w:pPr>
              <w:jc w:val="left"/>
            </w:pPr>
            <w:r>
              <w:rPr>
                <w:rFonts w:ascii="Times New Roman" w:hAnsi="Times New Roman" w:eastAsia="宋体"/>
                <w:b w:val="0"/>
                <w:i w:val="0"/>
                <w:color w:val="222222"/>
                <w:sz w:val="21"/>
              </w:rPr>
              <w:t>期货收益 Pearson IC</w:t>
            </w:r>
          </w:p>
        </w:tc>
        <w:tc>
          <w:tcPr>
            <w:tcW w:type="dxa" w:w="3022"/>
            <w:vAlign w:val="center"/>
            <w:shd w:fill="F7F7F7"/>
          </w:tcPr>
          <w:p>
            <w:pPr>
              <w:jc w:val="center"/>
            </w:pPr>
            <w:r>
              <w:rPr>
                <w:rFonts w:ascii="Times New Roman" w:hAnsi="Times New Roman" w:eastAsia="宋体"/>
                <w:b w:val="0"/>
                <w:i w:val="0"/>
                <w:color w:val="222222"/>
                <w:sz w:val="21"/>
              </w:rPr>
              <w:t>0.0725</w:t>
            </w:r>
          </w:p>
        </w:tc>
        <w:tc>
          <w:tcPr>
            <w:tcW w:type="dxa" w:w="3022"/>
            <w:vAlign w:val="center"/>
            <w:shd w:fill="F7F7F7"/>
          </w:tcPr>
          <w:p>
            <w:pPr>
              <w:jc w:val="center"/>
            </w:pPr>
            <w:r>
              <w:rPr>
                <w:rFonts w:ascii="Times New Roman" w:hAnsi="Times New Roman" w:eastAsia="宋体"/>
                <w:b w:val="0"/>
                <w:i w:val="0"/>
                <w:color w:val="222222"/>
                <w:sz w:val="21"/>
              </w:rPr>
              <w:t>0.0111</w:t>
            </w:r>
          </w:p>
        </w:tc>
      </w:tr>
      <w:tr>
        <w:tc>
          <w:tcPr>
            <w:tcW w:type="dxa" w:w="3022"/>
            <w:vAlign w:val="center"/>
          </w:tcPr>
          <w:p>
            <w:pPr>
              <w:jc w:val="left"/>
            </w:pPr>
            <w:r>
              <w:rPr>
                <w:rFonts w:ascii="Times New Roman" w:hAnsi="Times New Roman" w:eastAsia="宋体"/>
                <w:b w:val="0"/>
                <w:i w:val="0"/>
                <w:color w:val="222222"/>
                <w:sz w:val="21"/>
              </w:rPr>
              <w:t>期货收益 p 值</w:t>
            </w:r>
          </w:p>
        </w:tc>
        <w:tc>
          <w:tcPr>
            <w:tcW w:type="dxa" w:w="3022"/>
            <w:vAlign w:val="center"/>
          </w:tcPr>
          <w:p>
            <w:pPr>
              <w:jc w:val="center"/>
            </w:pPr>
            <w:r>
              <w:rPr>
                <w:rFonts w:ascii="Times New Roman" w:hAnsi="Times New Roman" w:eastAsia="宋体"/>
                <w:b w:val="0"/>
                <w:i w:val="0"/>
                <w:color w:val="222222"/>
                <w:sz w:val="21"/>
              </w:rPr>
              <w:t>0.0002</w:t>
            </w:r>
          </w:p>
        </w:tc>
        <w:tc>
          <w:tcPr>
            <w:tcW w:type="dxa" w:w="3022"/>
            <w:vAlign w:val="center"/>
          </w:tcPr>
          <w:p>
            <w:pPr>
              <w:jc w:val="center"/>
            </w:pPr>
            <w:r>
              <w:rPr>
                <w:rFonts w:ascii="Times New Roman" w:hAnsi="Times New Roman" w:eastAsia="宋体"/>
                <w:b w:val="0"/>
                <w:i w:val="0"/>
                <w:color w:val="222222"/>
                <w:sz w:val="21"/>
              </w:rPr>
              <w:t>0.7436</w:t>
            </w:r>
          </w:p>
        </w:tc>
      </w:tr>
      <w:tr>
        <w:tc>
          <w:tcPr>
            <w:tcW w:type="dxa" w:w="3022"/>
            <w:vAlign w:val="center"/>
            <w:shd w:fill="F7F7F7"/>
          </w:tcPr>
          <w:p>
            <w:pPr>
              <w:jc w:val="left"/>
            </w:pPr>
            <w:r>
              <w:rPr>
                <w:rFonts w:ascii="Times New Roman" w:hAnsi="Times New Roman" w:eastAsia="宋体"/>
                <w:b w:val="0"/>
                <w:i w:val="0"/>
                <w:color w:val="222222"/>
                <w:sz w:val="21"/>
              </w:rPr>
              <w:t>指数收益 Pearson IC</w:t>
            </w:r>
          </w:p>
        </w:tc>
        <w:tc>
          <w:tcPr>
            <w:tcW w:type="dxa" w:w="3022"/>
            <w:vAlign w:val="center"/>
            <w:shd w:fill="F7F7F7"/>
          </w:tcPr>
          <w:p>
            <w:pPr>
              <w:jc w:val="center"/>
            </w:pPr>
            <w:r>
              <w:rPr>
                <w:rFonts w:ascii="Times New Roman" w:hAnsi="Times New Roman" w:eastAsia="宋体"/>
                <w:b w:val="0"/>
                <w:i w:val="0"/>
                <w:color w:val="222222"/>
                <w:sz w:val="21"/>
              </w:rPr>
              <w:t>-0.7985</w:t>
            </w:r>
          </w:p>
        </w:tc>
        <w:tc>
          <w:tcPr>
            <w:tcW w:type="dxa" w:w="3022"/>
            <w:vAlign w:val="center"/>
            <w:shd w:fill="F7F7F7"/>
          </w:tcPr>
          <w:p>
            <w:pPr>
              <w:jc w:val="center"/>
            </w:pPr>
            <w:r>
              <w:rPr>
                <w:rFonts w:ascii="Times New Roman" w:hAnsi="Times New Roman" w:eastAsia="宋体"/>
                <w:b w:val="0"/>
                <w:i w:val="0"/>
                <w:color w:val="222222"/>
                <w:sz w:val="21"/>
              </w:rPr>
              <w:t>-0.9206</w:t>
            </w:r>
          </w:p>
        </w:tc>
      </w:tr>
      <w:tr>
        <w:tc>
          <w:tcPr>
            <w:tcW w:type="dxa" w:w="3022"/>
            <w:vAlign w:val="center"/>
          </w:tcPr>
          <w:p>
            <w:pPr>
              <w:jc w:val="left"/>
            </w:pPr>
            <w:r>
              <w:rPr>
                <w:rFonts w:ascii="Times New Roman" w:hAnsi="Times New Roman" w:eastAsia="宋体"/>
                <w:b w:val="0"/>
                <w:i w:val="0"/>
                <w:color w:val="222222"/>
                <w:sz w:val="21"/>
              </w:rPr>
              <w:t>指数收益 p 值</w:t>
            </w:r>
          </w:p>
        </w:tc>
        <w:tc>
          <w:tcPr>
            <w:tcW w:type="dxa" w:w="3022"/>
            <w:vAlign w:val="center"/>
          </w:tcPr>
          <w:p>
            <w:pPr>
              <w:jc w:val="center"/>
            </w:pPr>
            <w:r>
              <w:rPr>
                <w:rFonts w:ascii="Times New Roman" w:hAnsi="Times New Roman" w:eastAsia="宋体"/>
                <w:b w:val="0"/>
                <w:i w:val="0"/>
                <w:color w:val="222222"/>
                <w:sz w:val="21"/>
              </w:rPr>
              <w:t>0.0000</w:t>
            </w:r>
          </w:p>
        </w:tc>
        <w:tc>
          <w:tcPr>
            <w:tcW w:type="dxa" w:w="3022"/>
            <w:vAlign w:val="center"/>
          </w:tcPr>
          <w:p>
            <w:pPr>
              <w:jc w:val="center"/>
            </w:pPr>
            <w:r>
              <w:rPr>
                <w:rFonts w:ascii="Times New Roman" w:hAnsi="Times New Roman" w:eastAsia="宋体"/>
                <w:b w:val="0"/>
                <w:i w:val="0"/>
                <w:color w:val="222222"/>
                <w:sz w:val="21"/>
              </w:rPr>
              <w:t>0.0000</w:t>
            </w:r>
          </w:p>
        </w:tc>
      </w:tr>
    </w:tbl>
    <w:p/>
    <w:p>
      <w:pPr>
        <w:spacing w:lineRule="exact" w:line="400" w:after="120"/>
        <w:ind w:firstLine="420"/>
        <w:jc w:val="both"/>
      </w:pPr>
      <w:r>
        <w:rPr>
          <w:rFonts w:ascii="Times New Roman" w:hAnsi="Times New Roman" w:eastAsia="宋体"/>
          <w:b w:val="0"/>
          <w:i w:val="0"/>
          <w:color w:val="222222"/>
          <w:sz w:val="24"/>
        </w:rPr>
        <w:t>ADF 检验显示基差率序列具有明显均值回复特征，半衰期也很短。但这里要分清两件事：基差会回归，不代表它能稳定预测指数未来涨跌。更合理的解释是，贴水结构给期货多头提供了一部分相对现货的补偿，补偿来自期货价格向现货靠拢，而不是来自对股票指数方向的准确判断。</w:t>
      </w:r>
    </w:p>
    <w:p>
      <w:pPr>
        <w:spacing w:before="160" w:after="120"/>
      </w:pPr>
      <w:r>
        <w:rPr>
          <w:rFonts w:ascii="Times New Roman" w:hAnsi="Times New Roman" w:eastAsia="黑体"/>
          <w:b/>
          <w:i w:val="0"/>
          <w:color w:val="000000"/>
          <w:sz w:val="25"/>
        </w:rPr>
        <w:t>2.3 展期收益分布</w:t>
      </w:r>
    </w:p>
    <w:tbl>
      <w:tblPr>
        <w:tblStyle w:val="TableGrid"/>
        <w:tblW w:type="auto" w:w="0"/>
        <w:jc w:val="center"/>
        <w:tblLook w:firstColumn="1" w:firstRow="1" w:lastColumn="0" w:lastRow="0" w:noHBand="0" w:noVBand="1" w:val="04A0"/>
      </w:tblPr>
      <w:tblGrid>
        <w:gridCol w:w="3022"/>
        <w:gridCol w:w="3022"/>
        <w:gridCol w:w="3022"/>
      </w:tblGrid>
      <w:tr>
        <w:tc>
          <w:tcPr>
            <w:tcW w:type="dxa" w:w="3022"/>
            <w:vAlign w:val="center"/>
            <w:shd w:fill="EDEDED"/>
          </w:tcPr>
          <w:p>
            <w:pPr>
              <w:jc w:val="center"/>
            </w:pPr>
            <w:r>
              <w:rPr>
                <w:rFonts w:ascii="Times New Roman" w:hAnsi="Times New Roman" w:eastAsia="黑体"/>
                <w:b/>
                <w:i w:val="0"/>
                <w:color w:val="000000"/>
                <w:sz w:val="22"/>
              </w:rPr>
              <w:t>指标</w:t>
            </w:r>
          </w:p>
        </w:tc>
        <w:tc>
          <w:tcPr>
            <w:tcW w:type="dxa" w:w="3022"/>
            <w:vAlign w:val="center"/>
            <w:shd w:fill="EDEDED"/>
          </w:tcPr>
          <w:p>
            <w:pPr>
              <w:jc w:val="center"/>
            </w:pPr>
            <w:r>
              <w:rPr>
                <w:rFonts w:ascii="Times New Roman" w:hAnsi="Times New Roman" w:eastAsia="黑体"/>
                <w:b/>
                <w:i w:val="0"/>
                <w:color w:val="000000"/>
                <w:sz w:val="22"/>
              </w:rPr>
              <w:t>IC</w:t>
            </w:r>
          </w:p>
        </w:tc>
        <w:tc>
          <w:tcPr>
            <w:tcW w:type="dxa" w:w="3022"/>
            <w:vAlign w:val="center"/>
            <w:shd w:fill="EDEDED"/>
          </w:tcPr>
          <w:p>
            <w:pPr>
              <w:jc w:val="center"/>
            </w:pPr>
            <w:r>
              <w:rPr>
                <w:rFonts w:ascii="Times New Roman" w:hAnsi="Times New Roman" w:eastAsia="黑体"/>
                <w:b/>
                <w:i w:val="0"/>
                <w:color w:val="000000"/>
                <w:sz w:val="22"/>
              </w:rPr>
              <w:t>IM</w:t>
            </w:r>
          </w:p>
        </w:tc>
      </w:tr>
      <w:tr>
        <w:tc>
          <w:tcPr>
            <w:tcW w:type="dxa" w:w="3022"/>
            <w:vAlign w:val="center"/>
          </w:tcPr>
          <w:p>
            <w:pPr>
              <w:jc w:val="left"/>
            </w:pPr>
            <w:r>
              <w:rPr>
                <w:rFonts w:ascii="Times New Roman" w:hAnsi="Times New Roman" w:eastAsia="宋体"/>
                <w:b w:val="0"/>
                <w:i w:val="0"/>
                <w:color w:val="222222"/>
                <w:sz w:val="21"/>
              </w:rPr>
              <w:t>展期段数</w:t>
            </w:r>
          </w:p>
        </w:tc>
        <w:tc>
          <w:tcPr>
            <w:tcW w:type="dxa" w:w="3022"/>
            <w:vAlign w:val="center"/>
          </w:tcPr>
          <w:p>
            <w:pPr>
              <w:jc w:val="center"/>
            </w:pPr>
            <w:r>
              <w:rPr>
                <w:rFonts w:ascii="Times New Roman" w:hAnsi="Times New Roman" w:eastAsia="宋体"/>
                <w:b w:val="0"/>
                <w:i w:val="0"/>
                <w:color w:val="222222"/>
                <w:sz w:val="21"/>
              </w:rPr>
              <w:t>131</w:t>
            </w:r>
          </w:p>
        </w:tc>
        <w:tc>
          <w:tcPr>
            <w:tcW w:type="dxa" w:w="3022"/>
            <w:vAlign w:val="center"/>
          </w:tcPr>
          <w:p>
            <w:pPr>
              <w:jc w:val="center"/>
            </w:pPr>
            <w:r>
              <w:rPr>
                <w:rFonts w:ascii="Times New Roman" w:hAnsi="Times New Roman" w:eastAsia="宋体"/>
                <w:b w:val="0"/>
                <w:i w:val="0"/>
                <w:color w:val="222222"/>
                <w:sz w:val="21"/>
              </w:rPr>
              <w:t>44</w:t>
            </w:r>
          </w:p>
        </w:tc>
      </w:tr>
      <w:tr>
        <w:tc>
          <w:tcPr>
            <w:tcW w:type="dxa" w:w="3022"/>
            <w:vAlign w:val="center"/>
            <w:shd w:fill="F7F7F7"/>
          </w:tcPr>
          <w:p>
            <w:pPr>
              <w:jc w:val="left"/>
            </w:pPr>
            <w:r>
              <w:rPr>
                <w:rFonts w:ascii="Times New Roman" w:hAnsi="Times New Roman" w:eastAsia="宋体"/>
                <w:b w:val="0"/>
                <w:i w:val="0"/>
                <w:color w:val="222222"/>
                <w:sz w:val="21"/>
              </w:rPr>
              <w:t>平均每段展期收益</w:t>
            </w:r>
          </w:p>
        </w:tc>
        <w:tc>
          <w:tcPr>
            <w:tcW w:type="dxa" w:w="3022"/>
            <w:vAlign w:val="center"/>
            <w:shd w:fill="F7F7F7"/>
          </w:tcPr>
          <w:p>
            <w:pPr>
              <w:jc w:val="center"/>
            </w:pPr>
            <w:r>
              <w:rPr>
                <w:rFonts w:ascii="Times New Roman" w:hAnsi="Times New Roman" w:eastAsia="宋体"/>
                <w:b w:val="0"/>
                <w:i w:val="0"/>
                <w:color w:val="222222"/>
                <w:sz w:val="21"/>
              </w:rPr>
              <w:t>0.19%</w:t>
            </w:r>
          </w:p>
        </w:tc>
        <w:tc>
          <w:tcPr>
            <w:tcW w:type="dxa" w:w="3022"/>
            <w:vAlign w:val="center"/>
            <w:shd w:fill="F7F7F7"/>
          </w:tcPr>
          <w:p>
            <w:pPr>
              <w:jc w:val="center"/>
            </w:pPr>
            <w:r>
              <w:rPr>
                <w:rFonts w:ascii="Times New Roman" w:hAnsi="Times New Roman" w:eastAsia="宋体"/>
                <w:b w:val="0"/>
                <w:i w:val="0"/>
                <w:color w:val="222222"/>
                <w:sz w:val="21"/>
              </w:rPr>
              <w:t>0.86%</w:t>
            </w:r>
          </w:p>
        </w:tc>
      </w:tr>
      <w:tr>
        <w:tc>
          <w:tcPr>
            <w:tcW w:type="dxa" w:w="3022"/>
            <w:vAlign w:val="center"/>
          </w:tcPr>
          <w:p>
            <w:pPr>
              <w:jc w:val="left"/>
            </w:pPr>
            <w:r>
              <w:rPr>
                <w:rFonts w:ascii="Times New Roman" w:hAnsi="Times New Roman" w:eastAsia="宋体"/>
                <w:b w:val="0"/>
                <w:i w:val="0"/>
                <w:color w:val="222222"/>
                <w:sz w:val="21"/>
              </w:rPr>
              <w:t>展期收益中位数</w:t>
            </w:r>
          </w:p>
        </w:tc>
        <w:tc>
          <w:tcPr>
            <w:tcW w:type="dxa" w:w="3022"/>
            <w:vAlign w:val="center"/>
          </w:tcPr>
          <w:p>
            <w:pPr>
              <w:jc w:val="center"/>
            </w:pPr>
            <w:r>
              <w:rPr>
                <w:rFonts w:ascii="Times New Roman" w:hAnsi="Times New Roman" w:eastAsia="宋体"/>
                <w:b w:val="0"/>
                <w:i w:val="0"/>
                <w:color w:val="222222"/>
                <w:sz w:val="21"/>
              </w:rPr>
              <w:t>0.30%</w:t>
            </w:r>
          </w:p>
        </w:tc>
        <w:tc>
          <w:tcPr>
            <w:tcW w:type="dxa" w:w="3022"/>
            <w:vAlign w:val="center"/>
          </w:tcPr>
          <w:p>
            <w:pPr>
              <w:jc w:val="center"/>
            </w:pPr>
            <w:r>
              <w:rPr>
                <w:rFonts w:ascii="Times New Roman" w:hAnsi="Times New Roman" w:eastAsia="宋体"/>
                <w:b w:val="0"/>
                <w:i w:val="0"/>
                <w:color w:val="222222"/>
                <w:sz w:val="21"/>
              </w:rPr>
              <w:t>0.52%</w:t>
            </w:r>
          </w:p>
        </w:tc>
      </w:tr>
      <w:tr>
        <w:tc>
          <w:tcPr>
            <w:tcW w:type="dxa" w:w="3022"/>
            <w:vAlign w:val="center"/>
            <w:shd w:fill="F7F7F7"/>
          </w:tcPr>
          <w:p>
            <w:pPr>
              <w:jc w:val="left"/>
            </w:pPr>
            <w:r>
              <w:rPr>
                <w:rFonts w:ascii="Times New Roman" w:hAnsi="Times New Roman" w:eastAsia="宋体"/>
                <w:b w:val="0"/>
                <w:i w:val="0"/>
                <w:color w:val="222222"/>
                <w:sz w:val="21"/>
              </w:rPr>
              <w:t>正收益占比</w:t>
            </w:r>
          </w:p>
        </w:tc>
        <w:tc>
          <w:tcPr>
            <w:tcW w:type="dxa" w:w="3022"/>
            <w:vAlign w:val="center"/>
            <w:shd w:fill="F7F7F7"/>
          </w:tcPr>
          <w:p>
            <w:pPr>
              <w:jc w:val="center"/>
            </w:pPr>
            <w:r>
              <w:rPr>
                <w:rFonts w:ascii="Times New Roman" w:hAnsi="Times New Roman" w:eastAsia="宋体"/>
                <w:b w:val="0"/>
                <w:i w:val="0"/>
                <w:color w:val="222222"/>
                <w:sz w:val="21"/>
              </w:rPr>
              <w:t>51.9%</w:t>
            </w:r>
          </w:p>
        </w:tc>
        <w:tc>
          <w:tcPr>
            <w:tcW w:type="dxa" w:w="3022"/>
            <w:vAlign w:val="center"/>
            <w:shd w:fill="F7F7F7"/>
          </w:tcPr>
          <w:p>
            <w:pPr>
              <w:jc w:val="center"/>
            </w:pPr>
            <w:r>
              <w:rPr>
                <w:rFonts w:ascii="Times New Roman" w:hAnsi="Times New Roman" w:eastAsia="宋体"/>
                <w:b w:val="0"/>
                <w:i w:val="0"/>
                <w:color w:val="222222"/>
                <w:sz w:val="21"/>
              </w:rPr>
              <w:t>54.5%</w:t>
            </w:r>
          </w:p>
        </w:tc>
      </w:tr>
    </w:tbl>
    <w:p/>
    <w:p>
      <w:pPr>
        <w:spacing w:before="80" w:after="40"/>
        <w:jc w:val="center"/>
      </w:pPr>
      <w:r>
        <w:drawing>
          <wp:inline xmlns:a="http://schemas.openxmlformats.org/drawingml/2006/main" xmlns:pic="http://schemas.openxmlformats.org/drawingml/2006/picture">
            <wp:extent cx="5328000" cy="1878363"/>
            <wp:docPr id="1" name="Picture 1"/>
            <wp:cNvGraphicFramePr>
              <a:graphicFrameLocks noChangeAspect="1"/>
            </wp:cNvGraphicFramePr>
            <a:graphic>
              <a:graphicData uri="http://schemas.openxmlformats.org/drawingml/2006/picture">
                <pic:pic>
                  <pic:nvPicPr>
                    <pic:cNvPr id="0" name="fig_roll_yield.png"/>
                    <pic:cNvPicPr/>
                  </pic:nvPicPr>
                  <pic:blipFill>
                    <a:blip r:embed="rId11"/>
                    <a:stretch>
                      <a:fillRect/>
                    </a:stretch>
                  </pic:blipFill>
                  <pic:spPr>
                    <a:xfrm>
                      <a:off x="0" y="0"/>
                      <a:ext cx="5328000" cy="1878363"/>
                    </a:xfrm>
                    <a:prstGeom prst="rect"/>
                  </pic:spPr>
                </pic:pic>
              </a:graphicData>
            </a:graphic>
          </wp:inline>
        </w:drawing>
      </w:r>
    </w:p>
    <w:p>
      <w:pPr>
        <w:spacing w:after="40"/>
        <w:jc w:val="center"/>
      </w:pPr>
      <w:r>
        <w:rPr>
          <w:rFonts w:ascii="Times New Roman" w:hAnsi="Times New Roman" w:eastAsia="宋体"/>
          <w:b/>
          <w:i w:val="0"/>
          <w:color w:val="444444"/>
          <w:sz w:val="21"/>
        </w:rPr>
        <w:t>图 1 展示每段主力持有周期的累计收益分布。IC 和 IM 的均值都为正，说明样本期内展期机制确实带来补偿。但正收益占比只是略高于一半，收益并不是每次展期都稳定出现。更准确的说法是：贴水提供了长期正期望的可能，但单次换仓仍然有很大不确定性。</w:t>
      </w:r>
    </w:p>
    <w:p>
      <w:pPr>
        <w:sectPr>
          <w:pgSz w:w="12240" w:h="15840"/>
          <w:pgMar w:top="1440" w:right="1587" w:bottom="1440" w:left="1587" w:header="720" w:footer="720" w:gutter="0"/>
          <w:cols w:space="720"/>
          <w:docGrid w:linePitch="360"/>
        </w:sectPr>
      </w:pPr>
    </w:p>
    <w:p>
      <w:pPr>
        <w:spacing w:before="240" w:after="120"/>
        <w:pBdr>
          <w:bottom w:val="single" w:sz="8" w:space="1" w:color="808080"/>
        </w:pBdr>
      </w:pPr>
      <w:r>
        <w:rPr>
          <w:rFonts w:ascii="Times New Roman" w:hAnsi="Times New Roman" w:eastAsia="黑体"/>
          <w:b/>
          <w:i w:val="0"/>
          <w:color w:val="000000"/>
          <w:sz w:val="29"/>
        </w:rPr>
        <w:t>3. 吃贴水策略回测</w:t>
      </w:r>
    </w:p>
    <w:p>
      <w:pPr>
        <w:spacing w:before="160" w:after="120"/>
      </w:pPr>
      <w:r>
        <w:rPr>
          <w:rFonts w:ascii="Times New Roman" w:hAnsi="Times New Roman" w:eastAsia="黑体"/>
          <w:b/>
          <w:i w:val="0"/>
          <w:color w:val="000000"/>
          <w:sz w:val="25"/>
        </w:rPr>
        <w:t>3.1 策略设计</w:t>
      </w:r>
    </w:p>
    <w:p>
      <w:pPr>
        <w:spacing w:lineRule="exact" w:line="400" w:after="120"/>
        <w:ind w:firstLine="420"/>
        <w:jc w:val="both"/>
      </w:pPr>
      <w:r>
        <w:rPr>
          <w:rFonts w:ascii="Times New Roman" w:hAnsi="Times New Roman" w:eastAsia="宋体"/>
          <w:b w:val="0"/>
          <w:i w:val="0"/>
          <w:color w:val="222222"/>
          <w:sz w:val="24"/>
        </w:rPr>
        <w:t>本节测试两类策略：</w:t>
      </w:r>
    </w:p>
    <w:p>
      <w:pPr>
        <w:pStyle w:val="ListNumber"/>
        <w:spacing w:lineRule="exact" w:line="400" w:after="60"/>
        <w:jc w:val="both"/>
      </w:pPr>
      <w:r>
        <w:rPr>
          <w:rFonts w:ascii="Times New Roman" w:hAnsi="Times New Roman" w:eastAsia="宋体"/>
          <w:b/>
          <w:i w:val="0"/>
          <w:color w:val="222222"/>
          <w:sz w:val="24"/>
        </w:rPr>
        <w:t>Always</w:t>
      </w:r>
      <w:r>
        <w:rPr>
          <w:rFonts w:ascii="Times New Roman" w:hAnsi="Times New Roman" w:eastAsia="宋体"/>
          <w:b w:val="0"/>
          <w:i w:val="0"/>
          <w:color w:val="222222"/>
          <w:sz w:val="24"/>
        </w:rPr>
        <w:t>：始终持有主力合约，到期前展期。</w:t>
      </w:r>
    </w:p>
    <w:p>
      <w:pPr>
        <w:pStyle w:val="ListNumber"/>
        <w:spacing w:lineRule="exact" w:line="400" w:after="60"/>
        <w:jc w:val="both"/>
      </w:pPr>
      <w:r>
        <w:rPr>
          <w:rFonts w:ascii="Times New Roman" w:hAnsi="Times New Roman" w:eastAsia="宋体"/>
          <w:b/>
          <w:i w:val="0"/>
          <w:color w:val="222222"/>
          <w:sz w:val="24"/>
        </w:rPr>
        <w:t>B&lt;-1.5%</w:t>
      </w:r>
      <w:r>
        <w:rPr>
          <w:rFonts w:ascii="Times New Roman" w:hAnsi="Times New Roman" w:eastAsia="宋体"/>
          <w:b w:val="0"/>
          <w:i w:val="0"/>
          <w:color w:val="222222"/>
          <w:sz w:val="24"/>
        </w:rPr>
        <w:t>：只有当基差率低于 -1.5% 时才做多，否则空仓。</w:t>
      </w:r>
    </w:p>
    <w:p>
      <w:pPr>
        <w:spacing w:lineRule="exact" w:line="400" w:after="120"/>
        <w:ind w:firstLine="420"/>
        <w:jc w:val="both"/>
      </w:pPr>
      <w:r>
        <w:rPr>
          <w:rFonts w:ascii="Times New Roman" w:hAnsi="Times New Roman" w:eastAsia="宋体"/>
          <w:b w:val="0"/>
          <w:i w:val="0"/>
          <w:color w:val="222222"/>
          <w:sz w:val="24"/>
        </w:rPr>
        <w:t>Always 策略更像期货版指数多头，完整承担市场涨跌；基差阈值策略试图只在贴水较深时参与，牺牲一部分上涨行情，换取更低波动和回撤。</w:t>
      </w:r>
    </w:p>
    <w:p>
      <w:pPr>
        <w:spacing w:before="160" w:after="120"/>
      </w:pPr>
      <w:r>
        <w:rPr>
          <w:rFonts w:ascii="Times New Roman" w:hAnsi="Times New Roman" w:eastAsia="黑体"/>
          <w:b/>
          <w:i w:val="0"/>
          <w:color w:val="000000"/>
          <w:sz w:val="25"/>
        </w:rPr>
        <w:t>3.2 主要绩效</w:t>
      </w:r>
    </w:p>
    <w:tbl>
      <w:tblPr>
        <w:tblStyle w:val="TableGrid"/>
        <w:tblW w:type="auto" w:w="0"/>
        <w:jc w:val="center"/>
        <w:tblLook w:firstColumn="1" w:firstRow="1" w:lastColumn="0" w:lastRow="0" w:noHBand="0" w:noVBand="1" w:val="04A0"/>
      </w:tblPr>
      <w:tblGrid>
        <w:gridCol w:w="907"/>
        <w:gridCol w:w="907"/>
        <w:gridCol w:w="907"/>
        <w:gridCol w:w="907"/>
        <w:gridCol w:w="907"/>
        <w:gridCol w:w="907"/>
        <w:gridCol w:w="907"/>
        <w:gridCol w:w="907"/>
        <w:gridCol w:w="907"/>
        <w:gridCol w:w="907"/>
      </w:tblGrid>
      <w:tr>
        <w:tc>
          <w:tcPr>
            <w:tcW w:type="dxa" w:w="907"/>
            <w:vAlign w:val="center"/>
            <w:shd w:fill="EDEDED"/>
          </w:tcPr>
          <w:p>
            <w:pPr>
              <w:jc w:val="center"/>
            </w:pPr>
            <w:r>
              <w:rPr>
                <w:rFonts w:ascii="Times New Roman" w:hAnsi="Times New Roman" w:eastAsia="黑体"/>
                <w:b/>
                <w:i w:val="0"/>
                <w:color w:val="000000"/>
                <w:sz w:val="22"/>
              </w:rPr>
              <w:t>策略</w:t>
            </w:r>
          </w:p>
        </w:tc>
        <w:tc>
          <w:tcPr>
            <w:tcW w:type="dxa" w:w="907"/>
            <w:vAlign w:val="center"/>
            <w:shd w:fill="EDEDED"/>
          </w:tcPr>
          <w:p>
            <w:pPr>
              <w:jc w:val="center"/>
            </w:pPr>
            <w:r>
              <w:rPr>
                <w:rFonts w:ascii="Times New Roman" w:hAnsi="Times New Roman" w:eastAsia="黑体"/>
                <w:b/>
                <w:i w:val="0"/>
                <w:color w:val="000000"/>
                <w:sz w:val="22"/>
              </w:rPr>
              <w:t>年化收益</w:t>
            </w:r>
          </w:p>
        </w:tc>
        <w:tc>
          <w:tcPr>
            <w:tcW w:type="dxa" w:w="907"/>
            <w:vAlign w:val="center"/>
            <w:shd w:fill="EDEDED"/>
          </w:tcPr>
          <w:p>
            <w:pPr>
              <w:jc w:val="center"/>
            </w:pPr>
            <w:r>
              <w:rPr>
                <w:rFonts w:ascii="Times New Roman" w:hAnsi="Times New Roman" w:eastAsia="黑体"/>
                <w:b/>
                <w:i w:val="0"/>
                <w:color w:val="000000"/>
                <w:sz w:val="22"/>
              </w:rPr>
              <w:t>年化波动</w:t>
            </w:r>
          </w:p>
        </w:tc>
        <w:tc>
          <w:tcPr>
            <w:tcW w:type="dxa" w:w="907"/>
            <w:vAlign w:val="center"/>
            <w:shd w:fill="EDEDED"/>
          </w:tcPr>
          <w:p>
            <w:pPr>
              <w:jc w:val="center"/>
            </w:pPr>
            <w:r>
              <w:rPr>
                <w:rFonts w:ascii="Times New Roman" w:hAnsi="Times New Roman" w:eastAsia="黑体"/>
                <w:b/>
                <w:i w:val="0"/>
                <w:color w:val="000000"/>
                <w:sz w:val="22"/>
              </w:rPr>
              <w:t>Sharpe</w:t>
            </w:r>
          </w:p>
        </w:tc>
        <w:tc>
          <w:tcPr>
            <w:tcW w:type="dxa" w:w="907"/>
            <w:vAlign w:val="center"/>
            <w:shd w:fill="EDEDED"/>
          </w:tcPr>
          <w:p>
            <w:pPr>
              <w:jc w:val="center"/>
            </w:pPr>
            <w:r>
              <w:rPr>
                <w:rFonts w:ascii="Times New Roman" w:hAnsi="Times New Roman" w:eastAsia="黑体"/>
                <w:b/>
                <w:i w:val="0"/>
                <w:color w:val="000000"/>
                <w:sz w:val="22"/>
              </w:rPr>
              <w:t>最大回撤</w:t>
            </w:r>
          </w:p>
        </w:tc>
        <w:tc>
          <w:tcPr>
            <w:tcW w:type="dxa" w:w="907"/>
            <w:vAlign w:val="center"/>
            <w:shd w:fill="EDEDED"/>
          </w:tcPr>
          <w:p>
            <w:pPr>
              <w:jc w:val="center"/>
            </w:pPr>
            <w:r>
              <w:rPr>
                <w:rFonts w:ascii="Times New Roman" w:hAnsi="Times New Roman" w:eastAsia="黑体"/>
                <w:b/>
                <w:i w:val="0"/>
                <w:color w:val="000000"/>
                <w:sz w:val="22"/>
              </w:rPr>
              <w:t>Calmar</w:t>
            </w:r>
          </w:p>
        </w:tc>
        <w:tc>
          <w:tcPr>
            <w:tcW w:type="dxa" w:w="907"/>
            <w:vAlign w:val="center"/>
            <w:shd w:fill="EDEDED"/>
          </w:tcPr>
          <w:p>
            <w:pPr>
              <w:jc w:val="center"/>
            </w:pPr>
            <w:r>
              <w:rPr>
                <w:rFonts w:ascii="Times New Roman" w:hAnsi="Times New Roman" w:eastAsia="黑体"/>
                <w:b/>
                <w:i w:val="0"/>
                <w:color w:val="000000"/>
                <w:sz w:val="22"/>
              </w:rPr>
              <w:t>胜率</w:t>
            </w:r>
          </w:p>
        </w:tc>
        <w:tc>
          <w:tcPr>
            <w:tcW w:type="dxa" w:w="907"/>
            <w:vAlign w:val="center"/>
            <w:shd w:fill="EDEDED"/>
          </w:tcPr>
          <w:p>
            <w:pPr>
              <w:jc w:val="center"/>
            </w:pPr>
            <w:r>
              <w:rPr>
                <w:rFonts w:ascii="Times New Roman" w:hAnsi="Times New Roman" w:eastAsia="黑体"/>
                <w:b/>
                <w:i w:val="0"/>
                <w:color w:val="000000"/>
                <w:sz w:val="22"/>
              </w:rPr>
              <w:t>累计收益</w:t>
            </w:r>
          </w:p>
        </w:tc>
        <w:tc>
          <w:tcPr>
            <w:tcW w:type="dxa" w:w="907"/>
            <w:vAlign w:val="center"/>
            <w:shd w:fill="EDEDED"/>
          </w:tcPr>
          <w:p>
            <w:pPr>
              <w:jc w:val="center"/>
            </w:pPr>
            <w:r>
              <w:rPr>
                <w:rFonts w:ascii="Times New Roman" w:hAnsi="Times New Roman" w:eastAsia="黑体"/>
                <w:b/>
                <w:i w:val="0"/>
                <w:color w:val="000000"/>
                <w:sz w:val="22"/>
              </w:rPr>
              <w:t>VaR95</w:t>
            </w:r>
          </w:p>
        </w:tc>
        <w:tc>
          <w:tcPr>
            <w:tcW w:type="dxa" w:w="907"/>
            <w:vAlign w:val="center"/>
            <w:shd w:fill="EDEDED"/>
          </w:tcPr>
          <w:p>
            <w:pPr>
              <w:jc w:val="center"/>
            </w:pPr>
            <w:r>
              <w:rPr>
                <w:rFonts w:ascii="Times New Roman" w:hAnsi="Times New Roman" w:eastAsia="黑体"/>
                <w:b/>
                <w:i w:val="0"/>
                <w:color w:val="000000"/>
                <w:sz w:val="22"/>
              </w:rPr>
              <w:t>交易笔数</w:t>
            </w:r>
          </w:p>
        </w:tc>
      </w:tr>
      <w:tr>
        <w:tc>
          <w:tcPr>
            <w:tcW w:type="dxa" w:w="907"/>
            <w:vAlign w:val="center"/>
          </w:tcPr>
          <w:p>
            <w:pPr>
              <w:jc w:val="left"/>
            </w:pPr>
            <w:r>
              <w:rPr>
                <w:rFonts w:ascii="Times New Roman" w:hAnsi="Times New Roman" w:eastAsia="宋体"/>
                <w:b w:val="0"/>
                <w:i w:val="0"/>
                <w:color w:val="222222"/>
                <w:sz w:val="21"/>
              </w:rPr>
              <w:t>IC Always</w:t>
            </w:r>
          </w:p>
        </w:tc>
        <w:tc>
          <w:tcPr>
            <w:tcW w:type="dxa" w:w="907"/>
            <w:vAlign w:val="center"/>
          </w:tcPr>
          <w:p>
            <w:pPr>
              <w:jc w:val="center"/>
            </w:pPr>
            <w:r>
              <w:rPr>
                <w:rFonts w:ascii="Times New Roman" w:hAnsi="Times New Roman" w:eastAsia="宋体"/>
                <w:b w:val="0"/>
                <w:i w:val="0"/>
                <w:color w:val="222222"/>
                <w:sz w:val="21"/>
              </w:rPr>
              <w:t>9.62%</w:t>
            </w:r>
          </w:p>
        </w:tc>
        <w:tc>
          <w:tcPr>
            <w:tcW w:type="dxa" w:w="907"/>
            <w:vAlign w:val="center"/>
          </w:tcPr>
          <w:p>
            <w:pPr>
              <w:jc w:val="center"/>
            </w:pPr>
            <w:r>
              <w:rPr>
                <w:rFonts w:ascii="Times New Roman" w:hAnsi="Times New Roman" w:eastAsia="宋体"/>
                <w:b w:val="0"/>
                <w:i w:val="0"/>
                <w:color w:val="222222"/>
                <w:sz w:val="21"/>
              </w:rPr>
              <w:t>30.05%</w:t>
            </w:r>
          </w:p>
        </w:tc>
        <w:tc>
          <w:tcPr>
            <w:tcW w:type="dxa" w:w="907"/>
            <w:vAlign w:val="center"/>
          </w:tcPr>
          <w:p>
            <w:pPr>
              <w:jc w:val="center"/>
            </w:pPr>
            <w:r>
              <w:rPr>
                <w:rFonts w:ascii="Times New Roman" w:hAnsi="Times New Roman" w:eastAsia="宋体"/>
                <w:b w:val="0"/>
                <w:i w:val="0"/>
                <w:color w:val="222222"/>
                <w:sz w:val="21"/>
              </w:rPr>
              <w:t>0.22</w:t>
            </w:r>
          </w:p>
        </w:tc>
        <w:tc>
          <w:tcPr>
            <w:tcW w:type="dxa" w:w="907"/>
            <w:vAlign w:val="center"/>
          </w:tcPr>
          <w:p>
            <w:pPr>
              <w:jc w:val="center"/>
            </w:pPr>
            <w:r>
              <w:rPr>
                <w:rFonts w:ascii="Times New Roman" w:hAnsi="Times New Roman" w:eastAsia="宋体"/>
                <w:b w:val="0"/>
                <w:i w:val="0"/>
                <w:color w:val="222222"/>
                <w:sz w:val="21"/>
              </w:rPr>
              <w:t>-61.38%</w:t>
            </w:r>
          </w:p>
        </w:tc>
        <w:tc>
          <w:tcPr>
            <w:tcW w:type="dxa" w:w="907"/>
            <w:vAlign w:val="center"/>
          </w:tcPr>
          <w:p>
            <w:pPr>
              <w:jc w:val="center"/>
            </w:pPr>
            <w:r>
              <w:rPr>
                <w:rFonts w:ascii="Times New Roman" w:hAnsi="Times New Roman" w:eastAsia="宋体"/>
                <w:b w:val="0"/>
                <w:i w:val="0"/>
                <w:color w:val="222222"/>
                <w:sz w:val="21"/>
              </w:rPr>
              <w:t>0.16</w:t>
            </w:r>
          </w:p>
        </w:tc>
        <w:tc>
          <w:tcPr>
            <w:tcW w:type="dxa" w:w="907"/>
            <w:vAlign w:val="center"/>
          </w:tcPr>
          <w:p>
            <w:pPr>
              <w:jc w:val="center"/>
            </w:pPr>
            <w:r>
              <w:rPr>
                <w:rFonts w:ascii="Times New Roman" w:hAnsi="Times New Roman" w:eastAsia="宋体"/>
                <w:b w:val="0"/>
                <w:i w:val="0"/>
                <w:color w:val="222222"/>
                <w:sz w:val="21"/>
              </w:rPr>
              <w:t>52.6%</w:t>
            </w:r>
          </w:p>
        </w:tc>
        <w:tc>
          <w:tcPr>
            <w:tcW w:type="dxa" w:w="907"/>
            <w:vAlign w:val="center"/>
          </w:tcPr>
          <w:p>
            <w:pPr>
              <w:jc w:val="center"/>
            </w:pPr>
            <w:r>
              <w:rPr>
                <w:rFonts w:ascii="Times New Roman" w:hAnsi="Times New Roman" w:eastAsia="宋体"/>
                <w:b w:val="0"/>
                <w:i w:val="0"/>
                <w:color w:val="222222"/>
                <w:sz w:val="21"/>
              </w:rPr>
              <w:t>172.49%</w:t>
            </w:r>
          </w:p>
        </w:tc>
        <w:tc>
          <w:tcPr>
            <w:tcW w:type="dxa" w:w="907"/>
            <w:vAlign w:val="center"/>
          </w:tcPr>
          <w:p>
            <w:pPr>
              <w:jc w:val="center"/>
            </w:pPr>
            <w:r>
              <w:rPr>
                <w:rFonts w:ascii="Times New Roman" w:hAnsi="Times New Roman" w:eastAsia="宋体"/>
                <w:b w:val="0"/>
                <w:i w:val="0"/>
                <w:color w:val="222222"/>
                <w:sz w:val="21"/>
              </w:rPr>
              <w:t>-1.78%</w:t>
            </w:r>
          </w:p>
        </w:tc>
        <w:tc>
          <w:tcPr>
            <w:tcW w:type="dxa" w:w="907"/>
            <w:vAlign w:val="center"/>
          </w:tcPr>
          <w:p>
            <w:pPr>
              <w:jc w:val="center"/>
            </w:pPr>
            <w:r>
              <w:rPr>
                <w:rFonts w:ascii="Times New Roman" w:hAnsi="Times New Roman" w:eastAsia="宋体"/>
                <w:b w:val="0"/>
                <w:i w:val="0"/>
                <w:color w:val="222222"/>
                <w:sz w:val="21"/>
              </w:rPr>
              <w:t>132</w:t>
            </w:r>
          </w:p>
        </w:tc>
      </w:tr>
      <w:tr>
        <w:tc>
          <w:tcPr>
            <w:tcW w:type="dxa" w:w="907"/>
            <w:vAlign w:val="center"/>
            <w:shd w:fill="F7F7F7"/>
          </w:tcPr>
          <w:p>
            <w:pPr>
              <w:jc w:val="left"/>
            </w:pPr>
            <w:r>
              <w:rPr>
                <w:rFonts w:ascii="Times New Roman" w:hAnsi="Times New Roman" w:eastAsia="宋体"/>
                <w:b w:val="0"/>
                <w:i w:val="0"/>
                <w:color w:val="222222"/>
                <w:sz w:val="21"/>
              </w:rPr>
              <w:t>IC B&lt;-1.5%</w:t>
            </w:r>
          </w:p>
        </w:tc>
        <w:tc>
          <w:tcPr>
            <w:tcW w:type="dxa" w:w="907"/>
            <w:vAlign w:val="center"/>
            <w:shd w:fill="F7F7F7"/>
          </w:tcPr>
          <w:p>
            <w:pPr>
              <w:jc w:val="center"/>
            </w:pPr>
            <w:r>
              <w:rPr>
                <w:rFonts w:ascii="Times New Roman" w:hAnsi="Times New Roman" w:eastAsia="宋体"/>
                <w:b w:val="0"/>
                <w:i w:val="0"/>
                <w:color w:val="222222"/>
                <w:sz w:val="21"/>
              </w:rPr>
              <w:t>7.04%</w:t>
            </w:r>
          </w:p>
        </w:tc>
        <w:tc>
          <w:tcPr>
            <w:tcW w:type="dxa" w:w="907"/>
            <w:vAlign w:val="center"/>
            <w:shd w:fill="F7F7F7"/>
          </w:tcPr>
          <w:p>
            <w:pPr>
              <w:jc w:val="center"/>
            </w:pPr>
            <w:r>
              <w:rPr>
                <w:rFonts w:ascii="Times New Roman" w:hAnsi="Times New Roman" w:eastAsia="宋体"/>
                <w:b w:val="0"/>
                <w:i w:val="0"/>
                <w:color w:val="222222"/>
                <w:sz w:val="21"/>
              </w:rPr>
              <w:t>17.81%</w:t>
            </w:r>
          </w:p>
        </w:tc>
        <w:tc>
          <w:tcPr>
            <w:tcW w:type="dxa" w:w="907"/>
            <w:vAlign w:val="center"/>
            <w:shd w:fill="F7F7F7"/>
          </w:tcPr>
          <w:p>
            <w:pPr>
              <w:jc w:val="center"/>
            </w:pPr>
            <w:r>
              <w:rPr>
                <w:rFonts w:ascii="Times New Roman" w:hAnsi="Times New Roman" w:eastAsia="宋体"/>
                <w:b w:val="0"/>
                <w:i w:val="0"/>
                <w:color w:val="222222"/>
                <w:sz w:val="21"/>
              </w:rPr>
              <w:t>0.23</w:t>
            </w:r>
          </w:p>
        </w:tc>
        <w:tc>
          <w:tcPr>
            <w:tcW w:type="dxa" w:w="907"/>
            <w:vAlign w:val="center"/>
            <w:shd w:fill="F7F7F7"/>
          </w:tcPr>
          <w:p>
            <w:pPr>
              <w:jc w:val="center"/>
            </w:pPr>
            <w:r>
              <w:rPr>
                <w:rFonts w:ascii="Times New Roman" w:hAnsi="Times New Roman" w:eastAsia="宋体"/>
                <w:b w:val="0"/>
                <w:i w:val="0"/>
                <w:color w:val="222222"/>
                <w:sz w:val="21"/>
              </w:rPr>
              <w:t>-34.85%</w:t>
            </w:r>
          </w:p>
        </w:tc>
        <w:tc>
          <w:tcPr>
            <w:tcW w:type="dxa" w:w="907"/>
            <w:vAlign w:val="center"/>
            <w:shd w:fill="F7F7F7"/>
          </w:tcPr>
          <w:p>
            <w:pPr>
              <w:jc w:val="center"/>
            </w:pPr>
            <w:r>
              <w:rPr>
                <w:rFonts w:ascii="Times New Roman" w:hAnsi="Times New Roman" w:eastAsia="宋体"/>
                <w:b w:val="0"/>
                <w:i w:val="0"/>
                <w:color w:val="222222"/>
                <w:sz w:val="21"/>
              </w:rPr>
              <w:t>0.20</w:t>
            </w:r>
          </w:p>
        </w:tc>
        <w:tc>
          <w:tcPr>
            <w:tcW w:type="dxa" w:w="907"/>
            <w:vAlign w:val="center"/>
            <w:shd w:fill="F7F7F7"/>
          </w:tcPr>
          <w:p>
            <w:pPr>
              <w:jc w:val="center"/>
            </w:pPr>
            <w:r>
              <w:rPr>
                <w:rFonts w:ascii="Times New Roman" w:hAnsi="Times New Roman" w:eastAsia="宋体"/>
                <w:b w:val="0"/>
                <w:i w:val="0"/>
                <w:color w:val="222222"/>
                <w:sz w:val="21"/>
              </w:rPr>
              <w:t>33.2%</w:t>
            </w:r>
          </w:p>
        </w:tc>
        <w:tc>
          <w:tcPr>
            <w:tcW w:type="dxa" w:w="907"/>
            <w:vAlign w:val="center"/>
            <w:shd w:fill="F7F7F7"/>
          </w:tcPr>
          <w:p>
            <w:pPr>
              <w:jc w:val="center"/>
            </w:pPr>
            <w:r>
              <w:rPr>
                <w:rFonts w:ascii="Times New Roman" w:hAnsi="Times New Roman" w:eastAsia="宋体"/>
                <w:b w:val="0"/>
                <w:i w:val="0"/>
                <w:color w:val="222222"/>
                <w:sz w:val="21"/>
              </w:rPr>
              <w:t>110.21%</w:t>
            </w:r>
          </w:p>
        </w:tc>
        <w:tc>
          <w:tcPr>
            <w:tcW w:type="dxa" w:w="907"/>
            <w:vAlign w:val="center"/>
            <w:shd w:fill="F7F7F7"/>
          </w:tcPr>
          <w:p>
            <w:pPr>
              <w:jc w:val="center"/>
            </w:pPr>
            <w:r>
              <w:rPr>
                <w:rFonts w:ascii="Times New Roman" w:hAnsi="Times New Roman" w:eastAsia="宋体"/>
                <w:b w:val="0"/>
                <w:i w:val="0"/>
                <w:color w:val="222222"/>
                <w:sz w:val="21"/>
              </w:rPr>
              <w:t>-1.67%</w:t>
            </w:r>
          </w:p>
        </w:tc>
        <w:tc>
          <w:tcPr>
            <w:tcW w:type="dxa" w:w="907"/>
            <w:vAlign w:val="center"/>
            <w:shd w:fill="F7F7F7"/>
          </w:tcPr>
          <w:p>
            <w:pPr>
              <w:jc w:val="center"/>
            </w:pPr>
            <w:r>
              <w:rPr>
                <w:rFonts w:ascii="Times New Roman" w:hAnsi="Times New Roman" w:eastAsia="宋体"/>
                <w:b w:val="0"/>
                <w:i w:val="0"/>
                <w:color w:val="222222"/>
                <w:sz w:val="21"/>
              </w:rPr>
              <w:t>846</w:t>
            </w:r>
          </w:p>
        </w:tc>
      </w:tr>
      <w:tr>
        <w:tc>
          <w:tcPr>
            <w:tcW w:type="dxa" w:w="907"/>
            <w:vAlign w:val="center"/>
          </w:tcPr>
          <w:p>
            <w:pPr>
              <w:jc w:val="left"/>
            </w:pPr>
            <w:r>
              <w:rPr>
                <w:rFonts w:ascii="Times New Roman" w:hAnsi="Times New Roman" w:eastAsia="宋体"/>
                <w:b w:val="0"/>
                <w:i w:val="0"/>
                <w:color w:val="222222"/>
                <w:sz w:val="21"/>
              </w:rPr>
              <w:t>IC 指数</w:t>
            </w:r>
          </w:p>
        </w:tc>
        <w:tc>
          <w:tcPr>
            <w:tcW w:type="dxa" w:w="907"/>
            <w:vAlign w:val="center"/>
          </w:tcPr>
          <w:p>
            <w:pPr>
              <w:jc w:val="center"/>
            </w:pPr>
            <w:r>
              <w:rPr>
                <w:rFonts w:ascii="Times New Roman" w:hAnsi="Times New Roman" w:eastAsia="宋体"/>
                <w:b w:val="0"/>
                <w:i w:val="0"/>
                <w:color w:val="222222"/>
                <w:sz w:val="21"/>
              </w:rPr>
              <w:t>0.83%</w:t>
            </w:r>
          </w:p>
        </w:tc>
        <w:tc>
          <w:tcPr>
            <w:tcW w:type="dxa" w:w="907"/>
            <w:vAlign w:val="center"/>
          </w:tcPr>
          <w:p>
            <w:pPr>
              <w:jc w:val="center"/>
            </w:pPr>
            <w:r>
              <w:rPr>
                <w:rFonts w:ascii="Times New Roman" w:hAnsi="Times New Roman" w:eastAsia="宋体"/>
                <w:b w:val="0"/>
                <w:i w:val="0"/>
                <w:color w:val="222222"/>
                <w:sz w:val="21"/>
              </w:rPr>
              <w:t>24.83%</w:t>
            </w:r>
          </w:p>
        </w:tc>
        <w:tc>
          <w:tcPr>
            <w:tcW w:type="dxa" w:w="907"/>
            <w:vAlign w:val="center"/>
          </w:tcPr>
          <w:p>
            <w:pPr>
              <w:jc w:val="center"/>
            </w:pPr>
            <w:r>
              <w:rPr>
                <w:rFonts w:ascii="Times New Roman" w:hAnsi="Times New Roman" w:eastAsia="宋体"/>
                <w:b w:val="0"/>
                <w:i w:val="0"/>
                <w:color w:val="222222"/>
                <w:sz w:val="21"/>
              </w:rPr>
              <w:t>-0.09</w:t>
            </w:r>
          </w:p>
        </w:tc>
        <w:tc>
          <w:tcPr>
            <w:tcW w:type="dxa" w:w="907"/>
            <w:vAlign w:val="center"/>
          </w:tcPr>
          <w:p>
            <w:pPr>
              <w:jc w:val="center"/>
            </w:pPr>
            <w:r>
              <w:rPr>
                <w:rFonts w:ascii="Times New Roman" w:hAnsi="Times New Roman" w:eastAsia="宋体"/>
                <w:b w:val="0"/>
                <w:i w:val="0"/>
                <w:color w:val="222222"/>
                <w:sz w:val="21"/>
              </w:rPr>
              <w:t>-65.20%</w:t>
            </w:r>
          </w:p>
        </w:tc>
        <w:tc>
          <w:tcPr>
            <w:tcW w:type="dxa" w:w="907"/>
            <w:vAlign w:val="center"/>
          </w:tcPr>
          <w:p>
            <w:pPr>
              <w:jc w:val="center"/>
            </w:pPr>
            <w:r>
              <w:rPr>
                <w:rFonts w:ascii="Times New Roman" w:hAnsi="Times New Roman" w:eastAsia="宋体"/>
                <w:b w:val="0"/>
                <w:i w:val="0"/>
                <w:color w:val="222222"/>
                <w:sz w:val="21"/>
              </w:rPr>
              <w:t>0.01</w:t>
            </w:r>
          </w:p>
        </w:tc>
        <w:tc>
          <w:tcPr>
            <w:tcW w:type="dxa" w:w="907"/>
            <w:vAlign w:val="center"/>
          </w:tcPr>
          <w:p>
            <w:pPr>
              <w:jc w:val="center"/>
            </w:pPr>
            <w:r>
              <w:rPr>
                <w:rFonts w:ascii="Times New Roman" w:hAnsi="Times New Roman" w:eastAsia="宋体"/>
                <w:b w:val="0"/>
                <w:i w:val="0"/>
                <w:color w:val="222222"/>
                <w:sz w:val="21"/>
              </w:rPr>
              <w:t>52.6%</w:t>
            </w:r>
          </w:p>
        </w:tc>
        <w:tc>
          <w:tcPr>
            <w:tcW w:type="dxa" w:w="907"/>
            <w:vAlign w:val="center"/>
          </w:tcPr>
          <w:p>
            <w:pPr>
              <w:jc w:val="center"/>
            </w:pPr>
            <w:r>
              <w:rPr>
                <w:rFonts w:ascii="Times New Roman" w:hAnsi="Times New Roman" w:eastAsia="宋体"/>
                <w:b w:val="0"/>
                <w:i w:val="0"/>
                <w:color w:val="222222"/>
                <w:sz w:val="21"/>
              </w:rPr>
              <w:t>9.43%</w:t>
            </w:r>
          </w:p>
        </w:tc>
        <w:tc>
          <w:tcPr>
            <w:tcW w:type="dxa" w:w="907"/>
            <w:vAlign w:val="center"/>
          </w:tcPr>
          <w:p>
            <w:pPr>
              <w:jc w:val="center"/>
            </w:pPr>
            <w:r>
              <w:rPr>
                <w:rFonts w:ascii="Times New Roman" w:hAnsi="Times New Roman" w:eastAsia="宋体"/>
                <w:b w:val="0"/>
                <w:i w:val="0"/>
                <w:color w:val="222222"/>
                <w:sz w:val="21"/>
              </w:rPr>
              <w:t>-2.34%</w:t>
            </w:r>
          </w:p>
        </w:tc>
        <w:tc>
          <w:tcPr>
            <w:tcW w:type="dxa" w:w="907"/>
            <w:vAlign w:val="center"/>
          </w:tcPr>
          <w:p>
            <w:pPr>
              <w:jc w:val="center"/>
            </w:pPr>
            <w:r>
              <w:rPr>
                <w:rFonts w:ascii="Times New Roman" w:hAnsi="Times New Roman" w:eastAsia="宋体"/>
                <w:b w:val="0"/>
                <w:i w:val="0"/>
                <w:color w:val="222222"/>
                <w:sz w:val="21"/>
              </w:rPr>
              <w:t>-</w:t>
            </w:r>
          </w:p>
        </w:tc>
      </w:tr>
      <w:tr>
        <w:tc>
          <w:tcPr>
            <w:tcW w:type="dxa" w:w="907"/>
            <w:vAlign w:val="center"/>
            <w:shd w:fill="F7F7F7"/>
          </w:tcPr>
          <w:p>
            <w:pPr>
              <w:jc w:val="left"/>
            </w:pPr>
            <w:r>
              <w:rPr>
                <w:rFonts w:ascii="Times New Roman" w:hAnsi="Times New Roman" w:eastAsia="宋体"/>
                <w:b w:val="0"/>
                <w:i w:val="0"/>
                <w:color w:val="222222"/>
                <w:sz w:val="21"/>
              </w:rPr>
              <w:t>IM Always</w:t>
            </w:r>
          </w:p>
        </w:tc>
        <w:tc>
          <w:tcPr>
            <w:tcW w:type="dxa" w:w="907"/>
            <w:vAlign w:val="center"/>
            <w:shd w:fill="F7F7F7"/>
          </w:tcPr>
          <w:p>
            <w:pPr>
              <w:jc w:val="center"/>
            </w:pPr>
            <w:r>
              <w:rPr>
                <w:rFonts w:ascii="Times New Roman" w:hAnsi="Times New Roman" w:eastAsia="宋体"/>
                <w:b w:val="0"/>
                <w:i w:val="0"/>
                <w:color w:val="222222"/>
                <w:sz w:val="21"/>
              </w:rPr>
              <w:t>15.88%</w:t>
            </w:r>
          </w:p>
        </w:tc>
        <w:tc>
          <w:tcPr>
            <w:tcW w:type="dxa" w:w="907"/>
            <w:vAlign w:val="center"/>
            <w:shd w:fill="F7F7F7"/>
          </w:tcPr>
          <w:p>
            <w:pPr>
              <w:jc w:val="center"/>
            </w:pPr>
            <w:r>
              <w:rPr>
                <w:rFonts w:ascii="Times New Roman" w:hAnsi="Times New Roman" w:eastAsia="宋体"/>
                <w:b w:val="0"/>
                <w:i w:val="0"/>
                <w:color w:val="222222"/>
                <w:sz w:val="21"/>
              </w:rPr>
              <w:t>32.71%</w:t>
            </w:r>
          </w:p>
        </w:tc>
        <w:tc>
          <w:tcPr>
            <w:tcW w:type="dxa" w:w="907"/>
            <w:vAlign w:val="center"/>
            <w:shd w:fill="F7F7F7"/>
          </w:tcPr>
          <w:p>
            <w:pPr>
              <w:jc w:val="center"/>
            </w:pPr>
            <w:r>
              <w:rPr>
                <w:rFonts w:ascii="Times New Roman" w:hAnsi="Times New Roman" w:eastAsia="宋体"/>
                <w:b w:val="0"/>
                <w:i w:val="0"/>
                <w:color w:val="222222"/>
                <w:sz w:val="21"/>
              </w:rPr>
              <w:t>0.39</w:t>
            </w:r>
          </w:p>
        </w:tc>
        <w:tc>
          <w:tcPr>
            <w:tcW w:type="dxa" w:w="907"/>
            <w:vAlign w:val="center"/>
            <w:shd w:fill="F7F7F7"/>
          </w:tcPr>
          <w:p>
            <w:pPr>
              <w:jc w:val="center"/>
            </w:pPr>
            <w:r>
              <w:rPr>
                <w:rFonts w:ascii="Times New Roman" w:hAnsi="Times New Roman" w:eastAsia="宋体"/>
                <w:b w:val="0"/>
                <w:i w:val="0"/>
                <w:color w:val="222222"/>
                <w:sz w:val="21"/>
              </w:rPr>
              <w:t>-50.81%</w:t>
            </w:r>
          </w:p>
        </w:tc>
        <w:tc>
          <w:tcPr>
            <w:tcW w:type="dxa" w:w="907"/>
            <w:vAlign w:val="center"/>
            <w:shd w:fill="F7F7F7"/>
          </w:tcPr>
          <w:p>
            <w:pPr>
              <w:jc w:val="center"/>
            </w:pPr>
            <w:r>
              <w:rPr>
                <w:rFonts w:ascii="Times New Roman" w:hAnsi="Times New Roman" w:eastAsia="宋体"/>
                <w:b w:val="0"/>
                <w:i w:val="0"/>
                <w:color w:val="222222"/>
                <w:sz w:val="21"/>
              </w:rPr>
              <w:t>0.31</w:t>
            </w:r>
          </w:p>
        </w:tc>
        <w:tc>
          <w:tcPr>
            <w:tcW w:type="dxa" w:w="907"/>
            <w:vAlign w:val="center"/>
            <w:shd w:fill="F7F7F7"/>
          </w:tcPr>
          <w:p>
            <w:pPr>
              <w:jc w:val="center"/>
            </w:pPr>
            <w:r>
              <w:rPr>
                <w:rFonts w:ascii="Times New Roman" w:hAnsi="Times New Roman" w:eastAsia="宋体"/>
                <w:b w:val="0"/>
                <w:i w:val="0"/>
                <w:color w:val="222222"/>
                <w:sz w:val="21"/>
              </w:rPr>
              <w:t>53.0%</w:t>
            </w:r>
          </w:p>
        </w:tc>
        <w:tc>
          <w:tcPr>
            <w:tcW w:type="dxa" w:w="907"/>
            <w:vAlign w:val="center"/>
            <w:shd w:fill="F7F7F7"/>
          </w:tcPr>
          <w:p>
            <w:pPr>
              <w:jc w:val="center"/>
            </w:pPr>
            <w:r>
              <w:rPr>
                <w:rFonts w:ascii="Times New Roman" w:hAnsi="Times New Roman" w:eastAsia="宋体"/>
                <w:b w:val="0"/>
                <w:i w:val="0"/>
                <w:color w:val="222222"/>
                <w:sz w:val="21"/>
              </w:rPr>
              <w:t>70.08%</w:t>
            </w:r>
          </w:p>
        </w:tc>
        <w:tc>
          <w:tcPr>
            <w:tcW w:type="dxa" w:w="907"/>
            <w:vAlign w:val="center"/>
            <w:shd w:fill="F7F7F7"/>
          </w:tcPr>
          <w:p>
            <w:pPr>
              <w:jc w:val="center"/>
            </w:pPr>
            <w:r>
              <w:rPr>
                <w:rFonts w:ascii="Times New Roman" w:hAnsi="Times New Roman" w:eastAsia="宋体"/>
                <w:b w:val="0"/>
                <w:i w:val="0"/>
                <w:color w:val="222222"/>
                <w:sz w:val="21"/>
              </w:rPr>
              <w:t>-2.90%</w:t>
            </w:r>
          </w:p>
        </w:tc>
        <w:tc>
          <w:tcPr>
            <w:tcW w:type="dxa" w:w="907"/>
            <w:vAlign w:val="center"/>
            <w:shd w:fill="F7F7F7"/>
          </w:tcPr>
          <w:p>
            <w:pPr>
              <w:jc w:val="center"/>
            </w:pPr>
            <w:r>
              <w:rPr>
                <w:rFonts w:ascii="Times New Roman" w:hAnsi="Times New Roman" w:eastAsia="宋体"/>
                <w:b w:val="0"/>
                <w:i w:val="0"/>
                <w:color w:val="222222"/>
                <w:sz w:val="21"/>
              </w:rPr>
              <w:t>45</w:t>
            </w:r>
          </w:p>
        </w:tc>
      </w:tr>
      <w:tr>
        <w:tc>
          <w:tcPr>
            <w:tcW w:type="dxa" w:w="907"/>
            <w:vAlign w:val="center"/>
          </w:tcPr>
          <w:p>
            <w:pPr>
              <w:jc w:val="left"/>
            </w:pPr>
            <w:r>
              <w:rPr>
                <w:rFonts w:ascii="Times New Roman" w:hAnsi="Times New Roman" w:eastAsia="宋体"/>
                <w:b w:val="0"/>
                <w:i w:val="0"/>
                <w:color w:val="222222"/>
                <w:sz w:val="21"/>
              </w:rPr>
              <w:t>IM B&lt;-1.5%</w:t>
            </w:r>
          </w:p>
        </w:tc>
        <w:tc>
          <w:tcPr>
            <w:tcW w:type="dxa" w:w="907"/>
            <w:vAlign w:val="center"/>
          </w:tcPr>
          <w:p>
            <w:pPr>
              <w:jc w:val="center"/>
            </w:pPr>
            <w:r>
              <w:rPr>
                <w:rFonts w:ascii="Times New Roman" w:hAnsi="Times New Roman" w:eastAsia="宋体"/>
                <w:b w:val="0"/>
                <w:i w:val="0"/>
                <w:color w:val="222222"/>
                <w:sz w:val="21"/>
              </w:rPr>
              <w:t>10.83%</w:t>
            </w:r>
          </w:p>
        </w:tc>
        <w:tc>
          <w:tcPr>
            <w:tcW w:type="dxa" w:w="907"/>
            <w:vAlign w:val="center"/>
          </w:tcPr>
          <w:p>
            <w:pPr>
              <w:jc w:val="center"/>
            </w:pPr>
            <w:r>
              <w:rPr>
                <w:rFonts w:ascii="Times New Roman" w:hAnsi="Times New Roman" w:eastAsia="宋体"/>
                <w:b w:val="0"/>
                <w:i w:val="0"/>
                <w:color w:val="222222"/>
                <w:sz w:val="21"/>
              </w:rPr>
              <w:t>12.74%</w:t>
            </w:r>
          </w:p>
        </w:tc>
        <w:tc>
          <w:tcPr>
            <w:tcW w:type="dxa" w:w="907"/>
            <w:vAlign w:val="center"/>
          </w:tcPr>
          <w:p>
            <w:pPr>
              <w:jc w:val="center"/>
            </w:pPr>
            <w:r>
              <w:rPr>
                <w:rFonts w:ascii="Times New Roman" w:hAnsi="Times New Roman" w:eastAsia="宋体"/>
                <w:b w:val="0"/>
                <w:i w:val="0"/>
                <w:color w:val="222222"/>
                <w:sz w:val="21"/>
              </w:rPr>
              <w:t>0.61</w:t>
            </w:r>
          </w:p>
        </w:tc>
        <w:tc>
          <w:tcPr>
            <w:tcW w:type="dxa" w:w="907"/>
            <w:vAlign w:val="center"/>
          </w:tcPr>
          <w:p>
            <w:pPr>
              <w:jc w:val="center"/>
            </w:pPr>
            <w:r>
              <w:rPr>
                <w:rFonts w:ascii="Times New Roman" w:hAnsi="Times New Roman" w:eastAsia="宋体"/>
                <w:b w:val="0"/>
                <w:i w:val="0"/>
                <w:color w:val="222222"/>
                <w:sz w:val="21"/>
              </w:rPr>
              <w:t>-12.82%</w:t>
            </w:r>
          </w:p>
        </w:tc>
        <w:tc>
          <w:tcPr>
            <w:tcW w:type="dxa" w:w="907"/>
            <w:vAlign w:val="center"/>
          </w:tcPr>
          <w:p>
            <w:pPr>
              <w:jc w:val="center"/>
            </w:pPr>
            <w:r>
              <w:rPr>
                <w:rFonts w:ascii="Times New Roman" w:hAnsi="Times New Roman" w:eastAsia="宋体"/>
                <w:b w:val="0"/>
                <w:i w:val="0"/>
                <w:color w:val="222222"/>
                <w:sz w:val="21"/>
              </w:rPr>
              <w:t>0.84</w:t>
            </w:r>
          </w:p>
        </w:tc>
        <w:tc>
          <w:tcPr>
            <w:tcW w:type="dxa" w:w="907"/>
            <w:vAlign w:val="center"/>
          </w:tcPr>
          <w:p>
            <w:pPr>
              <w:jc w:val="center"/>
            </w:pPr>
            <w:r>
              <w:rPr>
                <w:rFonts w:ascii="Times New Roman" w:hAnsi="Times New Roman" w:eastAsia="宋体"/>
                <w:b w:val="0"/>
                <w:i w:val="0"/>
                <w:color w:val="222222"/>
                <w:sz w:val="21"/>
              </w:rPr>
              <w:t>31.3%</w:t>
            </w:r>
          </w:p>
        </w:tc>
        <w:tc>
          <w:tcPr>
            <w:tcW w:type="dxa" w:w="907"/>
            <w:vAlign w:val="center"/>
          </w:tcPr>
          <w:p>
            <w:pPr>
              <w:jc w:val="center"/>
            </w:pPr>
            <w:r>
              <w:rPr>
                <w:rFonts w:ascii="Times New Roman" w:hAnsi="Times New Roman" w:eastAsia="宋体"/>
                <w:b w:val="0"/>
                <w:i w:val="0"/>
                <w:color w:val="222222"/>
                <w:sz w:val="21"/>
              </w:rPr>
              <w:t>44.84%</w:t>
            </w:r>
          </w:p>
        </w:tc>
        <w:tc>
          <w:tcPr>
            <w:tcW w:type="dxa" w:w="907"/>
            <w:vAlign w:val="center"/>
          </w:tcPr>
          <w:p>
            <w:pPr>
              <w:jc w:val="center"/>
            </w:pPr>
            <w:r>
              <w:rPr>
                <w:rFonts w:ascii="Times New Roman" w:hAnsi="Times New Roman" w:eastAsia="宋体"/>
                <w:b w:val="0"/>
                <w:i w:val="0"/>
                <w:color w:val="222222"/>
                <w:sz w:val="21"/>
              </w:rPr>
              <w:t>-1.49%</w:t>
            </w:r>
          </w:p>
        </w:tc>
        <w:tc>
          <w:tcPr>
            <w:tcW w:type="dxa" w:w="907"/>
            <w:vAlign w:val="center"/>
          </w:tcPr>
          <w:p>
            <w:pPr>
              <w:jc w:val="center"/>
            </w:pPr>
            <w:r>
              <w:rPr>
                <w:rFonts w:ascii="Times New Roman" w:hAnsi="Times New Roman" w:eastAsia="宋体"/>
                <w:b w:val="0"/>
                <w:i w:val="0"/>
                <w:color w:val="222222"/>
                <w:sz w:val="21"/>
              </w:rPr>
              <w:t>282</w:t>
            </w:r>
          </w:p>
        </w:tc>
      </w:tr>
      <w:tr>
        <w:tc>
          <w:tcPr>
            <w:tcW w:type="dxa" w:w="907"/>
            <w:vAlign w:val="center"/>
            <w:shd w:fill="F7F7F7"/>
          </w:tcPr>
          <w:p>
            <w:pPr>
              <w:jc w:val="left"/>
            </w:pPr>
            <w:r>
              <w:rPr>
                <w:rFonts w:ascii="Times New Roman" w:hAnsi="Times New Roman" w:eastAsia="宋体"/>
                <w:b w:val="0"/>
                <w:i w:val="0"/>
                <w:color w:val="222222"/>
                <w:sz w:val="21"/>
              </w:rPr>
              <w:t>IM 指数</w:t>
            </w:r>
          </w:p>
        </w:tc>
        <w:tc>
          <w:tcPr>
            <w:tcW w:type="dxa" w:w="907"/>
            <w:vAlign w:val="center"/>
            <w:shd w:fill="F7F7F7"/>
          </w:tcPr>
          <w:p>
            <w:pPr>
              <w:jc w:val="center"/>
            </w:pPr>
            <w:r>
              <w:rPr>
                <w:rFonts w:ascii="Times New Roman" w:hAnsi="Times New Roman" w:eastAsia="宋体"/>
                <w:b w:val="0"/>
                <w:i w:val="0"/>
                <w:color w:val="222222"/>
                <w:sz w:val="21"/>
              </w:rPr>
              <w:t>5.31%</w:t>
            </w:r>
          </w:p>
        </w:tc>
        <w:tc>
          <w:tcPr>
            <w:tcW w:type="dxa" w:w="907"/>
            <w:vAlign w:val="center"/>
            <w:shd w:fill="F7F7F7"/>
          </w:tcPr>
          <w:p>
            <w:pPr>
              <w:jc w:val="center"/>
            </w:pPr>
            <w:r>
              <w:rPr>
                <w:rFonts w:ascii="Times New Roman" w:hAnsi="Times New Roman" w:eastAsia="宋体"/>
                <w:b w:val="0"/>
                <w:i w:val="0"/>
                <w:color w:val="222222"/>
                <w:sz w:val="21"/>
              </w:rPr>
              <w:t>23.74%</w:t>
            </w:r>
          </w:p>
        </w:tc>
        <w:tc>
          <w:tcPr>
            <w:tcW w:type="dxa" w:w="907"/>
            <w:vAlign w:val="center"/>
            <w:shd w:fill="F7F7F7"/>
          </w:tcPr>
          <w:p>
            <w:pPr>
              <w:jc w:val="center"/>
            </w:pPr>
            <w:r>
              <w:rPr>
                <w:rFonts w:ascii="Times New Roman" w:hAnsi="Times New Roman" w:eastAsia="宋体"/>
                <w:b w:val="0"/>
                <w:i w:val="0"/>
                <w:color w:val="222222"/>
                <w:sz w:val="21"/>
              </w:rPr>
              <w:t>0.10</w:t>
            </w:r>
          </w:p>
        </w:tc>
        <w:tc>
          <w:tcPr>
            <w:tcW w:type="dxa" w:w="907"/>
            <w:vAlign w:val="center"/>
            <w:shd w:fill="F7F7F7"/>
          </w:tcPr>
          <w:p>
            <w:pPr>
              <w:jc w:val="center"/>
            </w:pPr>
            <w:r>
              <w:rPr>
                <w:rFonts w:ascii="Times New Roman" w:hAnsi="Times New Roman" w:eastAsia="宋体"/>
                <w:b w:val="0"/>
                <w:i w:val="0"/>
                <w:color w:val="222222"/>
                <w:sz w:val="21"/>
              </w:rPr>
              <w:t>-41.60%</w:t>
            </w:r>
          </w:p>
        </w:tc>
        <w:tc>
          <w:tcPr>
            <w:tcW w:type="dxa" w:w="907"/>
            <w:vAlign w:val="center"/>
            <w:shd w:fill="F7F7F7"/>
          </w:tcPr>
          <w:p>
            <w:pPr>
              <w:jc w:val="center"/>
            </w:pPr>
            <w:r>
              <w:rPr>
                <w:rFonts w:ascii="Times New Roman" w:hAnsi="Times New Roman" w:eastAsia="宋体"/>
                <w:b w:val="0"/>
                <w:i w:val="0"/>
                <w:color w:val="222222"/>
                <w:sz w:val="21"/>
              </w:rPr>
              <w:t>0.13</w:t>
            </w:r>
          </w:p>
        </w:tc>
        <w:tc>
          <w:tcPr>
            <w:tcW w:type="dxa" w:w="907"/>
            <w:vAlign w:val="center"/>
            <w:shd w:fill="F7F7F7"/>
          </w:tcPr>
          <w:p>
            <w:pPr>
              <w:jc w:val="center"/>
            </w:pPr>
            <w:r>
              <w:rPr>
                <w:rFonts w:ascii="Times New Roman" w:hAnsi="Times New Roman" w:eastAsia="宋体"/>
                <w:b w:val="0"/>
                <w:i w:val="0"/>
                <w:color w:val="222222"/>
                <w:sz w:val="21"/>
              </w:rPr>
              <w:t>53.4%</w:t>
            </w:r>
          </w:p>
        </w:tc>
        <w:tc>
          <w:tcPr>
            <w:tcW w:type="dxa" w:w="907"/>
            <w:vAlign w:val="center"/>
            <w:shd w:fill="F7F7F7"/>
          </w:tcPr>
          <w:p>
            <w:pPr>
              <w:jc w:val="center"/>
            </w:pPr>
            <w:r>
              <w:rPr>
                <w:rFonts w:ascii="Times New Roman" w:hAnsi="Times New Roman" w:eastAsia="宋体"/>
                <w:b w:val="0"/>
                <w:i w:val="0"/>
                <w:color w:val="222222"/>
                <w:sz w:val="21"/>
              </w:rPr>
              <w:t>20.50%</w:t>
            </w:r>
          </w:p>
        </w:tc>
        <w:tc>
          <w:tcPr>
            <w:tcW w:type="dxa" w:w="907"/>
            <w:vAlign w:val="center"/>
            <w:shd w:fill="F7F7F7"/>
          </w:tcPr>
          <w:p>
            <w:pPr>
              <w:jc w:val="center"/>
            </w:pPr>
            <w:r>
              <w:rPr>
                <w:rFonts w:ascii="Times New Roman" w:hAnsi="Times New Roman" w:eastAsia="宋体"/>
                <w:b w:val="0"/>
                <w:i w:val="0"/>
                <w:color w:val="222222"/>
                <w:sz w:val="21"/>
              </w:rPr>
              <w:t>-2.29%</w:t>
            </w:r>
          </w:p>
        </w:tc>
        <w:tc>
          <w:tcPr>
            <w:tcW w:type="dxa" w:w="907"/>
            <w:vAlign w:val="center"/>
            <w:shd w:fill="F7F7F7"/>
          </w:tcPr>
          <w:p>
            <w:pPr>
              <w:jc w:val="center"/>
            </w:pPr>
            <w:r>
              <w:rPr>
                <w:rFonts w:ascii="Times New Roman" w:hAnsi="Times New Roman" w:eastAsia="宋体"/>
                <w:b w:val="0"/>
                <w:i w:val="0"/>
                <w:color w:val="222222"/>
                <w:sz w:val="21"/>
              </w:rPr>
              <w:t>-</w:t>
            </w:r>
          </w:p>
        </w:tc>
      </w:tr>
    </w:tbl>
    <w:p/>
    <w:p>
      <w:pPr>
        <w:spacing w:before="80" w:after="40"/>
        <w:jc w:val="center"/>
      </w:pPr>
      <w:r>
        <w:drawing>
          <wp:inline xmlns:a="http://schemas.openxmlformats.org/drawingml/2006/main" xmlns:pic="http://schemas.openxmlformats.org/drawingml/2006/picture">
            <wp:extent cx="5328000" cy="1878216"/>
            <wp:docPr id="2" name="Picture 2"/>
            <wp:cNvGraphicFramePr>
              <a:graphicFrameLocks noChangeAspect="1"/>
            </wp:cNvGraphicFramePr>
            <a:graphic>
              <a:graphicData uri="http://schemas.openxmlformats.org/drawingml/2006/picture">
                <pic:pic>
                  <pic:nvPicPr>
                    <pic:cNvPr id="0" name="fig_nav.png"/>
                    <pic:cNvPicPr/>
                  </pic:nvPicPr>
                  <pic:blipFill>
                    <a:blip r:embed="rId12"/>
                    <a:stretch>
                      <a:fillRect/>
                    </a:stretch>
                  </pic:blipFill>
                  <pic:spPr>
                    <a:xfrm>
                      <a:off x="0" y="0"/>
                      <a:ext cx="5328000" cy="1878216"/>
                    </a:xfrm>
                    <a:prstGeom prst="rect"/>
                  </pic:spPr>
                </pic:pic>
              </a:graphicData>
            </a:graphic>
          </wp:inline>
        </w:drawing>
      </w:r>
    </w:p>
    <w:p>
      <w:pPr>
        <w:spacing w:after="40"/>
        <w:jc w:val="center"/>
      </w:pPr>
      <w:r>
        <w:rPr>
          <w:rFonts w:ascii="Times New Roman" w:hAnsi="Times New Roman" w:eastAsia="宋体"/>
          <w:b/>
          <w:i w:val="0"/>
          <w:color w:val="444444"/>
          <w:sz w:val="21"/>
        </w:rPr>
        <w:t>图 2 显示，Always 策略在 IC 和 IM 上都明显高于对应指数基准。这个结果支持“贴水结构有长期补偿”的判断。不过净值曲线也很直观地说明，它不是平滑套利曲线，而是跟随市场波动的大幅起伏。</w:t>
      </w:r>
    </w:p>
    <w:p>
      <w:pPr>
        <w:spacing w:before="80" w:after="40"/>
        <w:jc w:val="center"/>
      </w:pPr>
      <w:r>
        <w:drawing>
          <wp:inline xmlns:a="http://schemas.openxmlformats.org/drawingml/2006/main" xmlns:pic="http://schemas.openxmlformats.org/drawingml/2006/picture">
            <wp:extent cx="5328000" cy="1876560"/>
            <wp:docPr id="3" name="Picture 3"/>
            <wp:cNvGraphicFramePr>
              <a:graphicFrameLocks noChangeAspect="1"/>
            </wp:cNvGraphicFramePr>
            <a:graphic>
              <a:graphicData uri="http://schemas.openxmlformats.org/drawingml/2006/picture">
                <pic:pic>
                  <pic:nvPicPr>
                    <pic:cNvPr id="0" name="fig_annual.png"/>
                    <pic:cNvPicPr/>
                  </pic:nvPicPr>
                  <pic:blipFill>
                    <a:blip r:embed="rId13"/>
                    <a:stretch>
                      <a:fillRect/>
                    </a:stretch>
                  </pic:blipFill>
                  <pic:spPr>
                    <a:xfrm>
                      <a:off x="0" y="0"/>
                      <a:ext cx="5328000" cy="1876560"/>
                    </a:xfrm>
                    <a:prstGeom prst="rect"/>
                  </pic:spPr>
                </pic:pic>
              </a:graphicData>
            </a:graphic>
          </wp:inline>
        </w:drawing>
      </w:r>
    </w:p>
    <w:p>
      <w:pPr>
        <w:spacing w:after="40"/>
        <w:jc w:val="center"/>
      </w:pPr>
      <w:r>
        <w:rPr>
          <w:rFonts w:ascii="Times New Roman" w:hAnsi="Times New Roman" w:eastAsia="宋体"/>
          <w:b/>
          <w:i w:val="0"/>
          <w:color w:val="444444"/>
          <w:sz w:val="21"/>
        </w:rPr>
        <w:t>图 3 可以看到，年度收益波动很大。IC 样本中，策略经历过明显的亏损年份，也经历过反弹行情中的较高收益。基差阈值策略在某些下跌阶段有帮助，但它并不是免费保护：空仓会降低回撤，也会错过一部分上涨。</w:t>
      </w:r>
    </w:p>
    <w:p>
      <w:pPr>
        <w:spacing w:before="80" w:after="40"/>
        <w:jc w:val="center"/>
      </w:pPr>
      <w:r>
        <w:drawing>
          <wp:inline xmlns:a="http://schemas.openxmlformats.org/drawingml/2006/main" xmlns:pic="http://schemas.openxmlformats.org/drawingml/2006/picture">
            <wp:extent cx="5328000" cy="1879117"/>
            <wp:docPr id="4" name="Picture 4"/>
            <wp:cNvGraphicFramePr>
              <a:graphicFrameLocks noChangeAspect="1"/>
            </wp:cNvGraphicFramePr>
            <a:graphic>
              <a:graphicData uri="http://schemas.openxmlformats.org/drawingml/2006/picture">
                <pic:pic>
                  <pic:nvPicPr>
                    <pic:cNvPr id="0" name="fig_drawdown.png"/>
                    <pic:cNvPicPr/>
                  </pic:nvPicPr>
                  <pic:blipFill>
                    <a:blip r:embed="rId14"/>
                    <a:stretch>
                      <a:fillRect/>
                    </a:stretch>
                  </pic:blipFill>
                  <pic:spPr>
                    <a:xfrm>
                      <a:off x="0" y="0"/>
                      <a:ext cx="5328000" cy="1879117"/>
                    </a:xfrm>
                    <a:prstGeom prst="rect"/>
                  </pic:spPr>
                </pic:pic>
              </a:graphicData>
            </a:graphic>
          </wp:inline>
        </w:drawing>
      </w:r>
    </w:p>
    <w:p>
      <w:pPr>
        <w:spacing w:after="40"/>
        <w:jc w:val="center"/>
      </w:pPr>
      <w:r>
        <w:rPr>
          <w:rFonts w:ascii="Times New Roman" w:hAnsi="Times New Roman" w:eastAsia="宋体"/>
          <w:b/>
          <w:i w:val="0"/>
          <w:color w:val="444444"/>
          <w:sz w:val="21"/>
        </w:rPr>
        <w:t>图 4 是本策略最需要重视的部分。IC Always 最大回撤 -61.38%，IM Always 最大回撤 -50.81%，这已经超过多数绝对收益资金可以接受的范围。因此它更适合作为指数增强或方向性配置工具，而不是独立的低波动策略。</w:t>
      </w:r>
    </w:p>
    <w:p>
      <w:pPr>
        <w:spacing w:before="80" w:after="40"/>
        <w:jc w:val="center"/>
      </w:pPr>
      <w:r>
        <w:drawing>
          <wp:inline xmlns:a="http://schemas.openxmlformats.org/drawingml/2006/main" xmlns:pic="http://schemas.openxmlformats.org/drawingml/2006/picture">
            <wp:extent cx="5328000" cy="4525277"/>
            <wp:docPr id="5" name="Picture 5"/>
            <wp:cNvGraphicFramePr>
              <a:graphicFrameLocks noChangeAspect="1"/>
            </wp:cNvGraphicFramePr>
            <a:graphic>
              <a:graphicData uri="http://schemas.openxmlformats.org/drawingml/2006/picture">
                <pic:pic>
                  <pic:nvPicPr>
                    <pic:cNvPr id="0" name="fig_heatmap.png"/>
                    <pic:cNvPicPr/>
                  </pic:nvPicPr>
                  <pic:blipFill>
                    <a:blip r:embed="rId15"/>
                    <a:stretch>
                      <a:fillRect/>
                    </a:stretch>
                  </pic:blipFill>
                  <pic:spPr>
                    <a:xfrm>
                      <a:off x="0" y="0"/>
                      <a:ext cx="5328000" cy="4525277"/>
                    </a:xfrm>
                    <a:prstGeom prst="rect"/>
                  </pic:spPr>
                </pic:pic>
              </a:graphicData>
            </a:graphic>
          </wp:inline>
        </w:drawing>
      </w:r>
    </w:p>
    <w:p>
      <w:pPr>
        <w:spacing w:after="40"/>
        <w:jc w:val="center"/>
      </w:pPr>
      <w:r>
        <w:rPr>
          <w:rFonts w:ascii="Times New Roman" w:hAnsi="Times New Roman" w:eastAsia="宋体"/>
          <w:b/>
          <w:i w:val="0"/>
          <w:color w:val="444444"/>
          <w:sz w:val="21"/>
        </w:rPr>
        <w:t>图 5 展示基差阈值和展期窗口的参数扫描。整体看，展期窗口从 1 天改到 3 天、5 天，对结果影响不大；基差阈值影响更明显。尤其是 IM 的 B&lt;-1.5% 在样本内表现较好，但 IM 样本期短，不能把这个阈值当作稳定最优参数。</w:t>
      </w:r>
    </w:p>
    <w:p>
      <w:pPr>
        <w:spacing w:before="160" w:after="120"/>
      </w:pPr>
      <w:r>
        <w:rPr>
          <w:rFonts w:ascii="Times New Roman" w:hAnsi="Times New Roman" w:eastAsia="黑体"/>
          <w:b/>
          <w:i w:val="0"/>
          <w:color w:val="000000"/>
          <w:sz w:val="25"/>
        </w:rPr>
        <w:t>3.3 交易可执行性</w:t>
      </w:r>
    </w:p>
    <w:p>
      <w:pPr>
        <w:spacing w:lineRule="exact" w:line="400" w:after="120"/>
        <w:ind w:firstLine="420"/>
        <w:jc w:val="both"/>
      </w:pPr>
      <w:r>
        <w:rPr>
          <w:rFonts w:ascii="Times New Roman" w:hAnsi="Times New Roman" w:eastAsia="宋体"/>
          <w:b w:val="0"/>
          <w:i w:val="0"/>
          <w:color w:val="222222"/>
          <w:sz w:val="24"/>
        </w:rPr>
        <w:t>全策略扫描覆盖 5 个基差阈值、3 个展期窗口和 2 个品种。所有展期记录中，同合约换仓次数为 0。这说明策略实际按不同合约完成展期，没有把连续合约的价格跳变误当作可交易收益。</w:t>
      </w:r>
    </w:p>
    <w:p>
      <w:pPr>
        <w:sectPr>
          <w:pgSz w:w="12240" w:h="15840"/>
          <w:pgMar w:top="1440" w:right="1587" w:bottom="1440" w:left="1587" w:header="720" w:footer="720" w:gutter="0"/>
          <w:cols w:space="720"/>
          <w:docGrid w:linePitch="360"/>
        </w:sectPr>
      </w:pPr>
    </w:p>
    <w:p>
      <w:pPr>
        <w:spacing w:before="240" w:after="120"/>
        <w:pBdr>
          <w:bottom w:val="single" w:sz="8" w:space="1" w:color="808080"/>
        </w:pBdr>
      </w:pPr>
      <w:r>
        <w:rPr>
          <w:rFonts w:ascii="Times New Roman" w:hAnsi="Times New Roman" w:eastAsia="黑体"/>
          <w:b/>
          <w:i w:val="0"/>
          <w:color w:val="000000"/>
          <w:sz w:val="29"/>
        </w:rPr>
        <w:t>4. 跨期套利策略</w:t>
      </w:r>
    </w:p>
    <w:p>
      <w:pPr>
        <w:spacing w:before="160" w:after="120"/>
      </w:pPr>
      <w:r>
        <w:rPr>
          <w:rFonts w:ascii="Times New Roman" w:hAnsi="Times New Roman" w:eastAsia="黑体"/>
          <w:b/>
          <w:i w:val="0"/>
          <w:color w:val="000000"/>
          <w:sz w:val="25"/>
        </w:rPr>
        <w:t>4.1 策略逻辑</w:t>
      </w:r>
    </w:p>
    <w:p>
      <w:pPr>
        <w:spacing w:lineRule="exact" w:line="400" w:after="120"/>
        <w:ind w:firstLine="420"/>
        <w:jc w:val="both"/>
      </w:pPr>
      <w:r>
        <w:rPr>
          <w:rFonts w:ascii="Times New Roman" w:hAnsi="Times New Roman" w:eastAsia="宋体"/>
          <w:b w:val="0"/>
          <w:i w:val="0"/>
          <w:color w:val="222222"/>
          <w:sz w:val="24"/>
        </w:rPr>
        <w:t>跨期套利使用近月与次近月价差，核心想法是：当价差偏离滚动均值超过一定倍数标准差时开仓，等待价差回归后平仓。参数空间为 K ∈ {1.0, 1.5, 2.0, 2.5}、lookback ∈ {30, 60, 90, 120}，共 16 组。</w:t>
      </w:r>
    </w:p>
    <w:p>
      <w:pPr>
        <w:spacing w:before="80" w:after="40"/>
        <w:jc w:val="center"/>
      </w:pPr>
      <w:r>
        <w:drawing>
          <wp:inline xmlns:a="http://schemas.openxmlformats.org/drawingml/2006/main" xmlns:pic="http://schemas.openxmlformats.org/drawingml/2006/picture">
            <wp:extent cx="5328000" cy="1876560"/>
            <wp:docPr id="6" name="Picture 6"/>
            <wp:cNvGraphicFramePr>
              <a:graphicFrameLocks noChangeAspect="1"/>
            </wp:cNvGraphicFramePr>
            <a:graphic>
              <a:graphicData uri="http://schemas.openxmlformats.org/drawingml/2006/picture">
                <pic:pic>
                  <pic:nvPicPr>
                    <pic:cNvPr id="0" name="fig_spread.png"/>
                    <pic:cNvPicPr/>
                  </pic:nvPicPr>
                  <pic:blipFill>
                    <a:blip r:embed="rId16"/>
                    <a:stretch>
                      <a:fillRect/>
                    </a:stretch>
                  </pic:blipFill>
                  <pic:spPr>
                    <a:xfrm>
                      <a:off x="0" y="0"/>
                      <a:ext cx="5328000" cy="1876560"/>
                    </a:xfrm>
                    <a:prstGeom prst="rect"/>
                  </pic:spPr>
                </pic:pic>
              </a:graphicData>
            </a:graphic>
          </wp:inline>
        </w:drawing>
      </w:r>
    </w:p>
    <w:p>
      <w:pPr>
        <w:spacing w:after="40"/>
        <w:jc w:val="center"/>
      </w:pPr>
      <w:r>
        <w:rPr>
          <w:rFonts w:ascii="Times New Roman" w:hAnsi="Times New Roman" w:eastAsia="宋体"/>
          <w:b/>
          <w:i w:val="0"/>
          <w:color w:val="444444"/>
          <w:sz w:val="21"/>
        </w:rPr>
        <w:t>图 6 显示价差确实围绕均值波动，但突破布林带后并不总是快速回归。日频数据下，价差回归幅度较小，扣除双边成本后很难留下足够利润。</w:t>
      </w:r>
    </w:p>
    <w:p>
      <w:pPr>
        <w:spacing w:before="160" w:after="120"/>
      </w:pPr>
      <w:r>
        <w:rPr>
          <w:rFonts w:ascii="Times New Roman" w:hAnsi="Times New Roman" w:eastAsia="黑体"/>
          <w:b/>
          <w:i w:val="0"/>
          <w:color w:val="000000"/>
          <w:sz w:val="25"/>
        </w:rPr>
        <w:t>4.2 回测结果</w:t>
      </w:r>
    </w:p>
    <w:p>
      <w:pPr>
        <w:spacing w:lineRule="exact" w:line="400" w:after="120"/>
        <w:ind w:firstLine="420"/>
        <w:jc w:val="both"/>
      </w:pPr>
      <w:r>
        <w:rPr>
          <w:rFonts w:ascii="Times New Roman" w:hAnsi="Times New Roman" w:eastAsia="宋体"/>
          <w:b w:val="0"/>
          <w:i w:val="0"/>
          <w:color w:val="222222"/>
          <w:sz w:val="24"/>
        </w:rPr>
        <w:t>在 T+1 执行下，IC 和 IM 均为 0/16 组参数取得正 Sharpe。部分参数有交易触发，但收益统计不是负值就是接近零；更多参数没有形成有效交易。这个结果说明，当前日频布林带规则不适合作为独立跨期套利策略。</w:t>
      </w:r>
    </w:p>
    <w:p>
      <w:pPr>
        <w:spacing w:lineRule="exact" w:line="400" w:after="120"/>
        <w:ind w:firstLine="420"/>
        <w:jc w:val="both"/>
      </w:pPr>
      <w:r>
        <w:rPr>
          <w:rFonts w:ascii="Times New Roman" w:hAnsi="Times New Roman" w:eastAsia="宋体"/>
          <w:b w:val="0"/>
          <w:i w:val="0"/>
          <w:color w:val="222222"/>
          <w:sz w:val="24"/>
        </w:rPr>
        <w:t>更进一步看，这个失败本身有信息含量。跨期价差的均值回复如果要变成可交易收益，需要更高频的数据、更好的成交假设，或者更强的合约选择规则。仅用日频收盘价做 T+1 执行，机会已经被成本和执行滞后吃掉。</w:t>
      </w:r>
    </w:p>
    <w:p>
      <w:pPr>
        <w:sectPr>
          <w:pgSz w:w="12240" w:h="15840"/>
          <w:pgMar w:top="1440" w:right="1587" w:bottom="1440" w:left="1587" w:header="720" w:footer="720" w:gutter="0"/>
          <w:cols w:space="720"/>
          <w:docGrid w:linePitch="360"/>
        </w:sectPr>
      </w:pPr>
    </w:p>
    <w:p>
      <w:pPr>
        <w:spacing w:before="240" w:after="120"/>
        <w:pBdr>
          <w:bottom w:val="single" w:sz="8" w:space="1" w:color="808080"/>
        </w:pBdr>
      </w:pPr>
      <w:r>
        <w:rPr>
          <w:rFonts w:ascii="Times New Roman" w:hAnsi="Times New Roman" w:eastAsia="黑体"/>
          <w:b/>
          <w:i w:val="0"/>
          <w:color w:val="000000"/>
          <w:sz w:val="29"/>
        </w:rPr>
        <w:t>5. 统计验证与收益归因</w:t>
      </w:r>
    </w:p>
    <w:p>
      <w:pPr>
        <w:spacing w:before="160" w:after="120"/>
      </w:pPr>
      <w:r>
        <w:rPr>
          <w:rFonts w:ascii="Times New Roman" w:hAnsi="Times New Roman" w:eastAsia="黑体"/>
          <w:b/>
          <w:i w:val="0"/>
          <w:color w:val="000000"/>
          <w:sz w:val="25"/>
        </w:rPr>
        <w:t>5.1 Bootstrap 检验</w:t>
      </w:r>
    </w:p>
    <w:tbl>
      <w:tblPr>
        <w:tblStyle w:val="TableGrid"/>
        <w:tblW w:type="auto" w:w="0"/>
        <w:jc w:val="center"/>
        <w:tblLook w:firstColumn="1" w:firstRow="1" w:lastColumn="0" w:lastRow="0" w:noHBand="0" w:noVBand="1" w:val="04A0"/>
      </w:tblPr>
      <w:tblGrid>
        <w:gridCol w:w="1511"/>
        <w:gridCol w:w="1511"/>
        <w:gridCol w:w="1511"/>
        <w:gridCol w:w="1511"/>
        <w:gridCol w:w="1511"/>
        <w:gridCol w:w="1511"/>
      </w:tblGrid>
      <w:tr>
        <w:tc>
          <w:tcPr>
            <w:tcW w:type="dxa" w:w="1511"/>
            <w:vAlign w:val="center"/>
            <w:shd w:fill="EDEDED"/>
          </w:tcPr>
          <w:p>
            <w:pPr>
              <w:jc w:val="center"/>
            </w:pPr>
            <w:r>
              <w:rPr>
                <w:rFonts w:ascii="Times New Roman" w:hAnsi="Times New Roman" w:eastAsia="黑体"/>
                <w:b/>
                <w:i w:val="0"/>
                <w:color w:val="000000"/>
                <w:sz w:val="22"/>
              </w:rPr>
              <w:t>品种</w:t>
            </w:r>
          </w:p>
        </w:tc>
        <w:tc>
          <w:tcPr>
            <w:tcW w:type="dxa" w:w="1511"/>
            <w:vAlign w:val="center"/>
            <w:shd w:fill="EDEDED"/>
          </w:tcPr>
          <w:p>
            <w:pPr>
              <w:jc w:val="center"/>
            </w:pPr>
            <w:r>
              <w:rPr>
                <w:rFonts w:ascii="Times New Roman" w:hAnsi="Times New Roman" w:eastAsia="黑体"/>
                <w:b/>
                <w:i w:val="0"/>
                <w:color w:val="000000"/>
                <w:sz w:val="22"/>
              </w:rPr>
              <w:t>观测 Sharpe 差异</w:t>
            </w:r>
          </w:p>
        </w:tc>
        <w:tc>
          <w:tcPr>
            <w:tcW w:type="dxa" w:w="1511"/>
            <w:vAlign w:val="center"/>
            <w:shd w:fill="EDEDED"/>
          </w:tcPr>
          <w:p>
            <w:pPr>
              <w:jc w:val="center"/>
            </w:pPr>
            <w:r>
              <w:rPr>
                <w:rFonts w:ascii="Times New Roman" w:hAnsi="Times New Roman" w:eastAsia="黑体"/>
                <w:b/>
                <w:i w:val="0"/>
                <w:color w:val="000000"/>
                <w:sz w:val="22"/>
              </w:rPr>
              <w:t>95% CI 下限</w:t>
            </w:r>
          </w:p>
        </w:tc>
        <w:tc>
          <w:tcPr>
            <w:tcW w:type="dxa" w:w="1511"/>
            <w:vAlign w:val="center"/>
            <w:shd w:fill="EDEDED"/>
          </w:tcPr>
          <w:p>
            <w:pPr>
              <w:jc w:val="center"/>
            </w:pPr>
            <w:r>
              <w:rPr>
                <w:rFonts w:ascii="Times New Roman" w:hAnsi="Times New Roman" w:eastAsia="黑体"/>
                <w:b/>
                <w:i w:val="0"/>
                <w:color w:val="000000"/>
                <w:sz w:val="22"/>
              </w:rPr>
              <w:t>95% CI 上限</w:t>
            </w:r>
          </w:p>
        </w:tc>
        <w:tc>
          <w:tcPr>
            <w:tcW w:type="dxa" w:w="1511"/>
            <w:vAlign w:val="center"/>
            <w:shd w:fill="EDEDED"/>
          </w:tcPr>
          <w:p>
            <w:pPr>
              <w:jc w:val="center"/>
            </w:pPr>
            <w:r>
              <w:rPr>
                <w:rFonts w:ascii="Times New Roman" w:hAnsi="Times New Roman" w:eastAsia="黑体"/>
                <w:b/>
                <w:i w:val="0"/>
                <w:color w:val="000000"/>
                <w:sz w:val="22"/>
              </w:rPr>
              <w:t>p 值</w:t>
            </w:r>
          </w:p>
        </w:tc>
        <w:tc>
          <w:tcPr>
            <w:tcW w:type="dxa" w:w="1511"/>
            <w:vAlign w:val="center"/>
            <w:shd w:fill="EDEDED"/>
          </w:tcPr>
          <w:p>
            <w:pPr>
              <w:jc w:val="center"/>
            </w:pPr>
            <w:r>
              <w:rPr>
                <w:rFonts w:ascii="Times New Roman" w:hAnsi="Times New Roman" w:eastAsia="黑体"/>
                <w:b/>
                <w:i w:val="0"/>
                <w:color w:val="000000"/>
                <w:sz w:val="22"/>
              </w:rPr>
              <w:t>是否覆盖 0</w:t>
            </w:r>
          </w:p>
        </w:tc>
      </w:tr>
      <w:tr>
        <w:tc>
          <w:tcPr>
            <w:tcW w:type="dxa" w:w="1511"/>
            <w:vAlign w:val="center"/>
          </w:tcPr>
          <w:p>
            <w:pPr>
              <w:jc w:val="left"/>
            </w:pPr>
            <w:r>
              <w:rPr>
                <w:rFonts w:ascii="Times New Roman" w:hAnsi="Times New Roman" w:eastAsia="宋体"/>
                <w:b w:val="0"/>
                <w:i w:val="0"/>
                <w:color w:val="222222"/>
                <w:sz w:val="21"/>
              </w:rPr>
              <w:t>IC</w:t>
            </w:r>
          </w:p>
        </w:tc>
        <w:tc>
          <w:tcPr>
            <w:tcW w:type="dxa" w:w="1511"/>
            <w:vAlign w:val="center"/>
          </w:tcPr>
          <w:p>
            <w:pPr>
              <w:jc w:val="center"/>
            </w:pPr>
            <w:r>
              <w:rPr>
                <w:rFonts w:ascii="Times New Roman" w:hAnsi="Times New Roman" w:eastAsia="宋体"/>
                <w:b w:val="0"/>
                <w:i w:val="0"/>
                <w:color w:val="222222"/>
                <w:sz w:val="21"/>
              </w:rPr>
              <w:t>0.3051</w:t>
            </w:r>
          </w:p>
        </w:tc>
        <w:tc>
          <w:tcPr>
            <w:tcW w:type="dxa" w:w="1511"/>
            <w:vAlign w:val="center"/>
          </w:tcPr>
          <w:p>
            <w:pPr>
              <w:jc w:val="center"/>
            </w:pPr>
            <w:r>
              <w:rPr>
                <w:rFonts w:ascii="Times New Roman" w:hAnsi="Times New Roman" w:eastAsia="宋体"/>
                <w:b w:val="0"/>
                <w:i w:val="0"/>
                <w:color w:val="222222"/>
                <w:sz w:val="21"/>
              </w:rPr>
              <w:t>-0.1669</w:t>
            </w:r>
          </w:p>
        </w:tc>
        <w:tc>
          <w:tcPr>
            <w:tcW w:type="dxa" w:w="1511"/>
            <w:vAlign w:val="center"/>
          </w:tcPr>
          <w:p>
            <w:pPr>
              <w:jc w:val="center"/>
            </w:pPr>
            <w:r>
              <w:rPr>
                <w:rFonts w:ascii="Times New Roman" w:hAnsi="Times New Roman" w:eastAsia="宋体"/>
                <w:b w:val="0"/>
                <w:i w:val="0"/>
                <w:color w:val="222222"/>
                <w:sz w:val="21"/>
              </w:rPr>
              <w:t>0.8246</w:t>
            </w:r>
          </w:p>
        </w:tc>
        <w:tc>
          <w:tcPr>
            <w:tcW w:type="dxa" w:w="1511"/>
            <w:vAlign w:val="center"/>
          </w:tcPr>
          <w:p>
            <w:pPr>
              <w:jc w:val="center"/>
            </w:pPr>
            <w:r>
              <w:rPr>
                <w:rFonts w:ascii="Times New Roman" w:hAnsi="Times New Roman" w:eastAsia="宋体"/>
                <w:b w:val="0"/>
                <w:i w:val="0"/>
                <w:color w:val="222222"/>
                <w:sz w:val="21"/>
              </w:rPr>
              <w:t>0.1980</w:t>
            </w:r>
          </w:p>
        </w:tc>
        <w:tc>
          <w:tcPr>
            <w:tcW w:type="dxa" w:w="1511"/>
            <w:vAlign w:val="center"/>
          </w:tcPr>
          <w:p>
            <w:pPr>
              <w:jc w:val="center"/>
            </w:pPr>
            <w:r>
              <w:rPr>
                <w:rFonts w:ascii="Times New Roman" w:hAnsi="Times New Roman" w:eastAsia="宋体"/>
                <w:b w:val="0"/>
                <w:i w:val="0"/>
                <w:color w:val="222222"/>
                <w:sz w:val="21"/>
              </w:rPr>
              <w:t>是</w:t>
            </w:r>
          </w:p>
        </w:tc>
      </w:tr>
      <w:tr>
        <w:tc>
          <w:tcPr>
            <w:tcW w:type="dxa" w:w="1511"/>
            <w:vAlign w:val="center"/>
            <w:shd w:fill="F7F7F7"/>
          </w:tcPr>
          <w:p>
            <w:pPr>
              <w:jc w:val="left"/>
            </w:pPr>
            <w:r>
              <w:rPr>
                <w:rFonts w:ascii="Times New Roman" w:hAnsi="Times New Roman" w:eastAsia="宋体"/>
                <w:b w:val="0"/>
                <w:i w:val="0"/>
                <w:color w:val="222222"/>
                <w:sz w:val="21"/>
              </w:rPr>
              <w:t>IM</w:t>
            </w:r>
          </w:p>
        </w:tc>
        <w:tc>
          <w:tcPr>
            <w:tcW w:type="dxa" w:w="1511"/>
            <w:vAlign w:val="center"/>
            <w:shd w:fill="F7F7F7"/>
          </w:tcPr>
          <w:p>
            <w:pPr>
              <w:jc w:val="center"/>
            </w:pPr>
            <w:r>
              <w:rPr>
                <w:rFonts w:ascii="Times New Roman" w:hAnsi="Times New Roman" w:eastAsia="宋体"/>
                <w:b w:val="0"/>
                <w:i w:val="0"/>
                <w:color w:val="222222"/>
                <w:sz w:val="21"/>
              </w:rPr>
              <w:t>0.2864</w:t>
            </w:r>
          </w:p>
        </w:tc>
        <w:tc>
          <w:tcPr>
            <w:tcW w:type="dxa" w:w="1511"/>
            <w:vAlign w:val="center"/>
            <w:shd w:fill="F7F7F7"/>
          </w:tcPr>
          <w:p>
            <w:pPr>
              <w:jc w:val="center"/>
            </w:pPr>
            <w:r>
              <w:rPr>
                <w:rFonts w:ascii="Times New Roman" w:hAnsi="Times New Roman" w:eastAsia="宋体"/>
                <w:b w:val="0"/>
                <w:i w:val="0"/>
                <w:color w:val="222222"/>
                <w:sz w:val="21"/>
              </w:rPr>
              <w:t>-0.4077</w:t>
            </w:r>
          </w:p>
        </w:tc>
        <w:tc>
          <w:tcPr>
            <w:tcW w:type="dxa" w:w="1511"/>
            <w:vAlign w:val="center"/>
            <w:shd w:fill="F7F7F7"/>
          </w:tcPr>
          <w:p>
            <w:pPr>
              <w:jc w:val="center"/>
            </w:pPr>
            <w:r>
              <w:rPr>
                <w:rFonts w:ascii="Times New Roman" w:hAnsi="Times New Roman" w:eastAsia="宋体"/>
                <w:b w:val="0"/>
                <w:i w:val="0"/>
                <w:color w:val="222222"/>
                <w:sz w:val="21"/>
              </w:rPr>
              <w:t>1.0583</w:t>
            </w:r>
          </w:p>
        </w:tc>
        <w:tc>
          <w:tcPr>
            <w:tcW w:type="dxa" w:w="1511"/>
            <w:vAlign w:val="center"/>
            <w:shd w:fill="F7F7F7"/>
          </w:tcPr>
          <w:p>
            <w:pPr>
              <w:jc w:val="center"/>
            </w:pPr>
            <w:r>
              <w:rPr>
                <w:rFonts w:ascii="Times New Roman" w:hAnsi="Times New Roman" w:eastAsia="宋体"/>
                <w:b w:val="0"/>
                <w:i w:val="0"/>
                <w:color w:val="222222"/>
                <w:sz w:val="21"/>
              </w:rPr>
              <w:t>0.4100</w:t>
            </w:r>
          </w:p>
        </w:tc>
        <w:tc>
          <w:tcPr>
            <w:tcW w:type="dxa" w:w="1511"/>
            <w:vAlign w:val="center"/>
            <w:shd w:fill="F7F7F7"/>
          </w:tcPr>
          <w:p>
            <w:pPr>
              <w:jc w:val="center"/>
            </w:pPr>
            <w:r>
              <w:rPr>
                <w:rFonts w:ascii="Times New Roman" w:hAnsi="Times New Roman" w:eastAsia="宋体"/>
                <w:b w:val="0"/>
                <w:i w:val="0"/>
                <w:color w:val="222222"/>
                <w:sz w:val="21"/>
              </w:rPr>
              <w:t>是</w:t>
            </w:r>
          </w:p>
        </w:tc>
      </w:tr>
    </w:tbl>
    <w:p/>
    <w:p>
      <w:pPr>
        <w:spacing w:before="80" w:after="40"/>
        <w:jc w:val="center"/>
      </w:pPr>
      <w:r>
        <w:drawing>
          <wp:inline xmlns:a="http://schemas.openxmlformats.org/drawingml/2006/main" xmlns:pic="http://schemas.openxmlformats.org/drawingml/2006/picture">
            <wp:extent cx="5328000" cy="1879117"/>
            <wp:docPr id="7" name="Picture 7"/>
            <wp:cNvGraphicFramePr>
              <a:graphicFrameLocks noChangeAspect="1"/>
            </wp:cNvGraphicFramePr>
            <a:graphic>
              <a:graphicData uri="http://schemas.openxmlformats.org/drawingml/2006/picture">
                <pic:pic>
                  <pic:nvPicPr>
                    <pic:cNvPr id="0" name="fig_bootstrap.png"/>
                    <pic:cNvPicPr/>
                  </pic:nvPicPr>
                  <pic:blipFill>
                    <a:blip r:embed="rId17"/>
                    <a:stretch>
                      <a:fillRect/>
                    </a:stretch>
                  </pic:blipFill>
                  <pic:spPr>
                    <a:xfrm>
                      <a:off x="0" y="0"/>
                      <a:ext cx="5328000" cy="1879117"/>
                    </a:xfrm>
                    <a:prstGeom prst="rect"/>
                  </pic:spPr>
                </pic:pic>
              </a:graphicData>
            </a:graphic>
          </wp:inline>
        </w:drawing>
      </w:r>
    </w:p>
    <w:p>
      <w:pPr>
        <w:spacing w:lineRule="exact" w:line="400" w:after="120"/>
        <w:ind w:firstLine="420"/>
        <w:jc w:val="both"/>
      </w:pPr>
      <w:r>
        <w:rPr>
          <w:rFonts w:ascii="Times New Roman" w:hAnsi="Times New Roman" w:eastAsia="宋体"/>
          <w:b w:val="0"/>
          <w:i w:val="0"/>
          <w:color w:val="222222"/>
          <w:sz w:val="24"/>
        </w:rPr>
        <w:t>Bootstrap 的结果比较关键。策略相对指数的 Sharpe 差异为正，但置信区间覆盖 0。换句话说，历史样本中看到了超额，但从统计角度还不能排除“这只是样本波动”的可能。IM 的区间更宽，原因是样本更短。</w:t>
      </w:r>
    </w:p>
    <w:p>
      <w:pPr>
        <w:spacing w:before="160" w:after="120"/>
      </w:pPr>
      <w:r>
        <w:rPr>
          <w:rFonts w:ascii="Times New Roman" w:hAnsi="Times New Roman" w:eastAsia="黑体"/>
          <w:b/>
          <w:i w:val="0"/>
          <w:color w:val="000000"/>
          <w:sz w:val="25"/>
        </w:rPr>
        <w:t>5.2 收益归因</w:t>
      </w:r>
    </w:p>
    <w:p>
      <w:pPr>
        <w:spacing w:lineRule="exact" w:line="400" w:after="120"/>
        <w:ind w:firstLine="420"/>
        <w:jc w:val="both"/>
      </w:pPr>
      <w:r>
        <w:rPr>
          <w:rFonts w:ascii="Times New Roman" w:hAnsi="Times New Roman" w:eastAsia="宋体"/>
          <w:b w:val="0"/>
          <w:i w:val="0"/>
          <w:color w:val="222222"/>
          <w:sz w:val="24"/>
        </w:rPr>
        <w:t>当前归因采用无截距回归：策略收益 = β × 指数收益 + 残差。结果如下：</w:t>
      </w:r>
    </w:p>
    <w:tbl>
      <w:tblPr>
        <w:tblStyle w:val="TableGrid"/>
        <w:tblW w:type="auto" w:w="0"/>
        <w:jc w:val="center"/>
        <w:tblLook w:firstColumn="1" w:firstRow="1" w:lastColumn="0" w:lastRow="0" w:noHBand="0" w:noVBand="1" w:val="04A0"/>
      </w:tblPr>
      <w:tblGrid>
        <w:gridCol w:w="1133"/>
        <w:gridCol w:w="1133"/>
        <w:gridCol w:w="1133"/>
        <w:gridCol w:w="1133"/>
        <w:gridCol w:w="1133"/>
        <w:gridCol w:w="1133"/>
        <w:gridCol w:w="1133"/>
        <w:gridCol w:w="1133"/>
      </w:tblGrid>
      <w:tr>
        <w:tc>
          <w:tcPr>
            <w:tcW w:type="dxa" w:w="1133"/>
            <w:vAlign w:val="center"/>
            <w:shd w:fill="EDEDED"/>
          </w:tcPr>
          <w:p>
            <w:pPr>
              <w:jc w:val="center"/>
            </w:pPr>
            <w:r>
              <w:rPr>
                <w:rFonts w:ascii="Times New Roman" w:hAnsi="Times New Roman" w:eastAsia="黑体"/>
                <w:b/>
                <w:i w:val="0"/>
                <w:color w:val="000000"/>
                <w:sz w:val="22"/>
              </w:rPr>
              <w:t>品种</w:t>
            </w:r>
          </w:p>
        </w:tc>
        <w:tc>
          <w:tcPr>
            <w:tcW w:type="dxa" w:w="1133"/>
            <w:vAlign w:val="center"/>
            <w:shd w:fill="EDEDED"/>
          </w:tcPr>
          <w:p>
            <w:pPr>
              <w:jc w:val="center"/>
            </w:pPr>
            <w:r>
              <w:rPr>
                <w:rFonts w:ascii="Times New Roman" w:hAnsi="Times New Roman" w:eastAsia="黑体"/>
                <w:b/>
                <w:i w:val="0"/>
                <w:color w:val="000000"/>
                <w:sz w:val="22"/>
              </w:rPr>
              <w:t>策略</w:t>
            </w:r>
          </w:p>
        </w:tc>
        <w:tc>
          <w:tcPr>
            <w:tcW w:type="dxa" w:w="1133"/>
            <w:vAlign w:val="center"/>
            <w:shd w:fill="EDEDED"/>
          </w:tcPr>
          <w:p>
            <w:pPr>
              <w:jc w:val="center"/>
            </w:pPr>
            <w:r>
              <w:rPr>
                <w:rFonts w:ascii="Times New Roman" w:hAnsi="Times New Roman" w:eastAsia="黑体"/>
                <w:b/>
                <w:i w:val="0"/>
                <w:color w:val="000000"/>
                <w:sz w:val="22"/>
              </w:rPr>
              <w:t>Beta</w:t>
            </w:r>
          </w:p>
        </w:tc>
        <w:tc>
          <w:tcPr>
            <w:tcW w:type="dxa" w:w="1133"/>
            <w:vAlign w:val="center"/>
            <w:shd w:fill="EDEDED"/>
          </w:tcPr>
          <w:p>
            <w:pPr>
              <w:jc w:val="center"/>
            </w:pPr>
            <w:r>
              <w:rPr>
                <w:rFonts w:ascii="Times New Roman" w:hAnsi="Times New Roman" w:eastAsia="黑体"/>
                <w:b/>
                <w:i w:val="0"/>
                <w:color w:val="000000"/>
                <w:sz w:val="22"/>
              </w:rPr>
              <w:t>残差年化</w:t>
            </w:r>
          </w:p>
        </w:tc>
        <w:tc>
          <w:tcPr>
            <w:tcW w:type="dxa" w:w="1133"/>
            <w:vAlign w:val="center"/>
            <w:shd w:fill="EDEDED"/>
          </w:tcPr>
          <w:p>
            <w:pPr>
              <w:jc w:val="center"/>
            </w:pPr>
            <w:r>
              <w:rPr>
                <w:rFonts w:ascii="Times New Roman" w:hAnsi="Times New Roman" w:eastAsia="黑体"/>
                <w:b/>
                <w:i w:val="0"/>
                <w:color w:val="000000"/>
                <w:sz w:val="22"/>
              </w:rPr>
              <w:t>Newey-West t 值</w:t>
            </w:r>
          </w:p>
        </w:tc>
        <w:tc>
          <w:tcPr>
            <w:tcW w:type="dxa" w:w="1133"/>
            <w:vAlign w:val="center"/>
            <w:shd w:fill="EDEDED"/>
          </w:tcPr>
          <w:p>
            <w:pPr>
              <w:jc w:val="center"/>
            </w:pPr>
            <w:r>
              <w:rPr>
                <w:rFonts w:ascii="Times New Roman" w:hAnsi="Times New Roman" w:eastAsia="黑体"/>
                <w:b/>
                <w:i w:val="0"/>
                <w:color w:val="000000"/>
                <w:sz w:val="22"/>
              </w:rPr>
              <w:t>R²</w:t>
            </w:r>
          </w:p>
        </w:tc>
        <w:tc>
          <w:tcPr>
            <w:tcW w:type="dxa" w:w="1133"/>
            <w:vAlign w:val="center"/>
            <w:shd w:fill="EDEDED"/>
          </w:tcPr>
          <w:p>
            <w:pPr>
              <w:jc w:val="center"/>
            </w:pPr>
            <w:r>
              <w:rPr>
                <w:rFonts w:ascii="Times New Roman" w:hAnsi="Times New Roman" w:eastAsia="黑体"/>
                <w:b/>
                <w:i w:val="0"/>
                <w:color w:val="000000"/>
                <w:sz w:val="22"/>
              </w:rPr>
              <w:t>跟踪误差</w:t>
            </w:r>
          </w:p>
        </w:tc>
        <w:tc>
          <w:tcPr>
            <w:tcW w:type="dxa" w:w="1133"/>
            <w:vAlign w:val="center"/>
            <w:shd w:fill="EDEDED"/>
          </w:tcPr>
          <w:p>
            <w:pPr>
              <w:jc w:val="center"/>
            </w:pPr>
            <w:r>
              <w:rPr>
                <w:rFonts w:ascii="Times New Roman" w:hAnsi="Times New Roman" w:eastAsia="黑体"/>
                <w:b/>
                <w:i w:val="0"/>
                <w:color w:val="000000"/>
                <w:sz w:val="22"/>
              </w:rPr>
              <w:t>信息比率</w:t>
            </w:r>
          </w:p>
        </w:tc>
      </w:tr>
      <w:tr>
        <w:tc>
          <w:tcPr>
            <w:tcW w:type="dxa" w:w="1133"/>
            <w:vAlign w:val="center"/>
          </w:tcPr>
          <w:p>
            <w:pPr>
              <w:jc w:val="left"/>
            </w:pPr>
            <w:r>
              <w:rPr>
                <w:rFonts w:ascii="Times New Roman" w:hAnsi="Times New Roman" w:eastAsia="宋体"/>
                <w:b w:val="0"/>
                <w:i w:val="0"/>
                <w:color w:val="222222"/>
                <w:sz w:val="21"/>
              </w:rPr>
              <w:t>IC</w:t>
            </w:r>
          </w:p>
        </w:tc>
        <w:tc>
          <w:tcPr>
            <w:tcW w:type="dxa" w:w="1133"/>
            <w:vAlign w:val="center"/>
          </w:tcPr>
          <w:p>
            <w:pPr>
              <w:jc w:val="center"/>
            </w:pPr>
            <w:r>
              <w:rPr>
                <w:rFonts w:ascii="Times New Roman" w:hAnsi="Times New Roman" w:eastAsia="宋体"/>
                <w:b w:val="0"/>
                <w:i w:val="0"/>
                <w:color w:val="222222"/>
                <w:sz w:val="21"/>
              </w:rPr>
              <w:t>Always</w:t>
            </w:r>
          </w:p>
        </w:tc>
        <w:tc>
          <w:tcPr>
            <w:tcW w:type="dxa" w:w="1133"/>
            <w:vAlign w:val="center"/>
          </w:tcPr>
          <w:p>
            <w:pPr>
              <w:jc w:val="center"/>
            </w:pPr>
            <w:r>
              <w:rPr>
                <w:rFonts w:ascii="Times New Roman" w:hAnsi="Times New Roman" w:eastAsia="宋体"/>
                <w:b w:val="0"/>
                <w:i w:val="0"/>
                <w:color w:val="222222"/>
                <w:sz w:val="21"/>
              </w:rPr>
              <w:t>-0.03</w:t>
            </w:r>
          </w:p>
        </w:tc>
        <w:tc>
          <w:tcPr>
            <w:tcW w:type="dxa" w:w="1133"/>
            <w:vAlign w:val="center"/>
          </w:tcPr>
          <w:p>
            <w:pPr>
              <w:jc w:val="center"/>
            </w:pPr>
            <w:r>
              <w:rPr>
                <w:rFonts w:ascii="Times New Roman" w:hAnsi="Times New Roman" w:eastAsia="宋体"/>
                <w:b w:val="0"/>
                <w:i w:val="0"/>
                <w:color w:val="222222"/>
                <w:sz w:val="21"/>
              </w:rPr>
              <w:t>13.79%</w:t>
            </w:r>
          </w:p>
        </w:tc>
        <w:tc>
          <w:tcPr>
            <w:tcW w:type="dxa" w:w="1133"/>
            <w:vAlign w:val="center"/>
          </w:tcPr>
          <w:p>
            <w:pPr>
              <w:jc w:val="center"/>
            </w:pPr>
            <w:r>
              <w:rPr>
                <w:rFonts w:ascii="Times New Roman" w:hAnsi="Times New Roman" w:eastAsia="宋体"/>
                <w:b w:val="0"/>
                <w:i w:val="0"/>
                <w:color w:val="222222"/>
                <w:sz w:val="21"/>
              </w:rPr>
              <w:t>-0.71</w:t>
            </w:r>
          </w:p>
        </w:tc>
        <w:tc>
          <w:tcPr>
            <w:tcW w:type="dxa" w:w="1133"/>
            <w:vAlign w:val="center"/>
          </w:tcPr>
          <w:p>
            <w:pPr>
              <w:jc w:val="center"/>
            </w:pPr>
            <w:r>
              <w:rPr>
                <w:rFonts w:ascii="Times New Roman" w:hAnsi="Times New Roman" w:eastAsia="宋体"/>
                <w:b w:val="0"/>
                <w:i w:val="0"/>
                <w:color w:val="222222"/>
                <w:sz w:val="21"/>
              </w:rPr>
              <w:t>0.001</w:t>
            </w:r>
          </w:p>
        </w:tc>
        <w:tc>
          <w:tcPr>
            <w:tcW w:type="dxa" w:w="1133"/>
            <w:vAlign w:val="center"/>
          </w:tcPr>
          <w:p>
            <w:pPr>
              <w:jc w:val="center"/>
            </w:pPr>
            <w:r>
              <w:rPr>
                <w:rFonts w:ascii="Times New Roman" w:hAnsi="Times New Roman" w:eastAsia="宋体"/>
                <w:b w:val="0"/>
                <w:i w:val="0"/>
                <w:color w:val="222222"/>
                <w:sz w:val="21"/>
              </w:rPr>
              <w:t>30.04%</w:t>
            </w:r>
          </w:p>
        </w:tc>
        <w:tc>
          <w:tcPr>
            <w:tcW w:type="dxa" w:w="1133"/>
            <w:vAlign w:val="center"/>
          </w:tcPr>
          <w:p>
            <w:pPr>
              <w:jc w:val="center"/>
            </w:pPr>
            <w:r>
              <w:rPr>
                <w:rFonts w:ascii="Times New Roman" w:hAnsi="Times New Roman" w:eastAsia="宋体"/>
                <w:b w:val="0"/>
                <w:i w:val="0"/>
                <w:color w:val="222222"/>
                <w:sz w:val="21"/>
              </w:rPr>
              <w:t>0.46</w:t>
            </w:r>
          </w:p>
        </w:tc>
      </w:tr>
      <w:tr>
        <w:tc>
          <w:tcPr>
            <w:tcW w:type="dxa" w:w="1133"/>
            <w:vAlign w:val="center"/>
            <w:shd w:fill="F7F7F7"/>
          </w:tcPr>
          <w:p>
            <w:pPr>
              <w:jc w:val="left"/>
            </w:pPr>
            <w:r>
              <w:rPr>
                <w:rFonts w:ascii="Times New Roman" w:hAnsi="Times New Roman" w:eastAsia="宋体"/>
                <w:b w:val="0"/>
                <w:i w:val="0"/>
                <w:color w:val="222222"/>
                <w:sz w:val="21"/>
              </w:rPr>
              <w:t>IC</w:t>
            </w:r>
          </w:p>
        </w:tc>
        <w:tc>
          <w:tcPr>
            <w:tcW w:type="dxa" w:w="1133"/>
            <w:vAlign w:val="center"/>
            <w:shd w:fill="F7F7F7"/>
          </w:tcPr>
          <w:p>
            <w:pPr>
              <w:jc w:val="center"/>
            </w:pPr>
            <w:r>
              <w:rPr>
                <w:rFonts w:ascii="Times New Roman" w:hAnsi="Times New Roman" w:eastAsia="宋体"/>
                <w:b w:val="0"/>
                <w:i w:val="0"/>
                <w:color w:val="222222"/>
                <w:sz w:val="21"/>
              </w:rPr>
              <w:t>B&lt;-1.5%</w:t>
            </w:r>
          </w:p>
        </w:tc>
        <w:tc>
          <w:tcPr>
            <w:tcW w:type="dxa" w:w="1133"/>
            <w:vAlign w:val="center"/>
            <w:shd w:fill="F7F7F7"/>
          </w:tcPr>
          <w:p>
            <w:pPr>
              <w:jc w:val="center"/>
            </w:pPr>
            <w:r>
              <w:rPr>
                <w:rFonts w:ascii="Times New Roman" w:hAnsi="Times New Roman" w:eastAsia="宋体"/>
                <w:b w:val="0"/>
                <w:i w:val="0"/>
                <w:color w:val="222222"/>
                <w:sz w:val="21"/>
              </w:rPr>
              <w:t>0.02</w:t>
            </w:r>
          </w:p>
        </w:tc>
        <w:tc>
          <w:tcPr>
            <w:tcW w:type="dxa" w:w="1133"/>
            <w:vAlign w:val="center"/>
            <w:shd w:fill="F7F7F7"/>
          </w:tcPr>
          <w:p>
            <w:pPr>
              <w:jc w:val="center"/>
            </w:pPr>
            <w:r>
              <w:rPr>
                <w:rFonts w:ascii="Times New Roman" w:hAnsi="Times New Roman" w:eastAsia="宋体"/>
                <w:b w:val="0"/>
                <w:i w:val="0"/>
                <w:color w:val="222222"/>
                <w:sz w:val="21"/>
              </w:rPr>
              <w:t>8.33%</w:t>
            </w:r>
          </w:p>
        </w:tc>
        <w:tc>
          <w:tcPr>
            <w:tcW w:type="dxa" w:w="1133"/>
            <w:vAlign w:val="center"/>
            <w:shd w:fill="F7F7F7"/>
          </w:tcPr>
          <w:p>
            <w:pPr>
              <w:jc w:val="center"/>
            </w:pPr>
            <w:r>
              <w:rPr>
                <w:rFonts w:ascii="Times New Roman" w:hAnsi="Times New Roman" w:eastAsia="宋体"/>
                <w:b w:val="0"/>
                <w:i w:val="0"/>
                <w:color w:val="222222"/>
                <w:sz w:val="21"/>
              </w:rPr>
              <w:t>0.48</w:t>
            </w:r>
          </w:p>
        </w:tc>
        <w:tc>
          <w:tcPr>
            <w:tcW w:type="dxa" w:w="1133"/>
            <w:vAlign w:val="center"/>
            <w:shd w:fill="F7F7F7"/>
          </w:tcPr>
          <w:p>
            <w:pPr>
              <w:jc w:val="center"/>
            </w:pPr>
            <w:r>
              <w:rPr>
                <w:rFonts w:ascii="Times New Roman" w:hAnsi="Times New Roman" w:eastAsia="宋体"/>
                <w:b w:val="0"/>
                <w:i w:val="0"/>
                <w:color w:val="222222"/>
                <w:sz w:val="21"/>
              </w:rPr>
              <w:t>0.000</w:t>
            </w:r>
          </w:p>
        </w:tc>
        <w:tc>
          <w:tcPr>
            <w:tcW w:type="dxa" w:w="1133"/>
            <w:vAlign w:val="center"/>
            <w:shd w:fill="F7F7F7"/>
          </w:tcPr>
          <w:p>
            <w:pPr>
              <w:jc w:val="center"/>
            </w:pPr>
            <w:r>
              <w:rPr>
                <w:rFonts w:ascii="Times New Roman" w:hAnsi="Times New Roman" w:eastAsia="宋体"/>
                <w:b w:val="0"/>
                <w:i w:val="0"/>
                <w:color w:val="222222"/>
                <w:sz w:val="21"/>
              </w:rPr>
              <w:t>17.80%</w:t>
            </w:r>
          </w:p>
        </w:tc>
        <w:tc>
          <w:tcPr>
            <w:tcW w:type="dxa" w:w="1133"/>
            <w:vAlign w:val="center"/>
            <w:shd w:fill="F7F7F7"/>
          </w:tcPr>
          <w:p>
            <w:pPr>
              <w:jc w:val="center"/>
            </w:pPr>
            <w:r>
              <w:rPr>
                <w:rFonts w:ascii="Times New Roman" w:hAnsi="Times New Roman" w:eastAsia="宋体"/>
                <w:b w:val="0"/>
                <w:i w:val="0"/>
                <w:color w:val="222222"/>
                <w:sz w:val="21"/>
              </w:rPr>
              <w:t>0.47</w:t>
            </w:r>
          </w:p>
        </w:tc>
      </w:tr>
      <w:tr>
        <w:tc>
          <w:tcPr>
            <w:tcW w:type="dxa" w:w="1133"/>
            <w:vAlign w:val="center"/>
          </w:tcPr>
          <w:p>
            <w:pPr>
              <w:jc w:val="left"/>
            </w:pPr>
            <w:r>
              <w:rPr>
                <w:rFonts w:ascii="Times New Roman" w:hAnsi="Times New Roman" w:eastAsia="宋体"/>
                <w:b w:val="0"/>
                <w:i w:val="0"/>
                <w:color w:val="222222"/>
                <w:sz w:val="21"/>
              </w:rPr>
              <w:t>IM</w:t>
            </w:r>
          </w:p>
        </w:tc>
        <w:tc>
          <w:tcPr>
            <w:tcW w:type="dxa" w:w="1133"/>
            <w:vAlign w:val="center"/>
          </w:tcPr>
          <w:p>
            <w:pPr>
              <w:jc w:val="center"/>
            </w:pPr>
            <w:r>
              <w:rPr>
                <w:rFonts w:ascii="Times New Roman" w:hAnsi="Times New Roman" w:eastAsia="宋体"/>
                <w:b w:val="0"/>
                <w:i w:val="0"/>
                <w:color w:val="222222"/>
                <w:sz w:val="21"/>
              </w:rPr>
              <w:t>Always</w:t>
            </w:r>
          </w:p>
        </w:tc>
        <w:tc>
          <w:tcPr>
            <w:tcW w:type="dxa" w:w="1133"/>
            <w:vAlign w:val="center"/>
          </w:tcPr>
          <w:p>
            <w:pPr>
              <w:jc w:val="center"/>
            </w:pPr>
            <w:r>
              <w:rPr>
                <w:rFonts w:ascii="Times New Roman" w:hAnsi="Times New Roman" w:eastAsia="宋体"/>
                <w:b w:val="0"/>
                <w:i w:val="0"/>
                <w:color w:val="222222"/>
                <w:sz w:val="21"/>
              </w:rPr>
              <w:t>0.08</w:t>
            </w:r>
          </w:p>
        </w:tc>
        <w:tc>
          <w:tcPr>
            <w:tcW w:type="dxa" w:w="1133"/>
            <w:vAlign w:val="center"/>
          </w:tcPr>
          <w:p>
            <w:pPr>
              <w:jc w:val="center"/>
            </w:pPr>
            <w:r>
              <w:rPr>
                <w:rFonts w:ascii="Times New Roman" w:hAnsi="Times New Roman" w:eastAsia="宋体"/>
                <w:b w:val="0"/>
                <w:i w:val="0"/>
                <w:color w:val="222222"/>
                <w:sz w:val="21"/>
              </w:rPr>
              <w:t>19.11%</w:t>
            </w:r>
          </w:p>
        </w:tc>
        <w:tc>
          <w:tcPr>
            <w:tcW w:type="dxa" w:w="1133"/>
            <w:vAlign w:val="center"/>
          </w:tcPr>
          <w:p>
            <w:pPr>
              <w:jc w:val="center"/>
            </w:pPr>
            <w:r>
              <w:rPr>
                <w:rFonts w:ascii="Times New Roman" w:hAnsi="Times New Roman" w:eastAsia="宋体"/>
                <w:b w:val="0"/>
                <w:i w:val="0"/>
                <w:color w:val="222222"/>
                <w:sz w:val="21"/>
              </w:rPr>
              <w:t>1.18</w:t>
            </w:r>
          </w:p>
        </w:tc>
        <w:tc>
          <w:tcPr>
            <w:tcW w:type="dxa" w:w="1133"/>
            <w:vAlign w:val="center"/>
          </w:tcPr>
          <w:p>
            <w:pPr>
              <w:jc w:val="center"/>
            </w:pPr>
            <w:r>
              <w:rPr>
                <w:rFonts w:ascii="Times New Roman" w:hAnsi="Times New Roman" w:eastAsia="宋体"/>
                <w:b w:val="0"/>
                <w:i w:val="0"/>
                <w:color w:val="222222"/>
                <w:sz w:val="21"/>
              </w:rPr>
              <w:t>0.004</w:t>
            </w:r>
          </w:p>
        </w:tc>
        <w:tc>
          <w:tcPr>
            <w:tcW w:type="dxa" w:w="1133"/>
            <w:vAlign w:val="center"/>
          </w:tcPr>
          <w:p>
            <w:pPr>
              <w:jc w:val="center"/>
            </w:pPr>
            <w:r>
              <w:rPr>
                <w:rFonts w:ascii="Times New Roman" w:hAnsi="Times New Roman" w:eastAsia="宋体"/>
                <w:b w:val="0"/>
                <w:i w:val="0"/>
                <w:color w:val="222222"/>
                <w:sz w:val="21"/>
              </w:rPr>
              <w:t>32.67%</w:t>
            </w:r>
          </w:p>
        </w:tc>
        <w:tc>
          <w:tcPr>
            <w:tcW w:type="dxa" w:w="1133"/>
            <w:vAlign w:val="center"/>
          </w:tcPr>
          <w:p>
            <w:pPr>
              <w:jc w:val="center"/>
            </w:pPr>
            <w:r>
              <w:rPr>
                <w:rFonts w:ascii="Times New Roman" w:hAnsi="Times New Roman" w:eastAsia="宋体"/>
                <w:b w:val="0"/>
                <w:i w:val="0"/>
                <w:color w:val="222222"/>
                <w:sz w:val="21"/>
              </w:rPr>
              <w:t>0.59</w:t>
            </w:r>
          </w:p>
        </w:tc>
      </w:tr>
      <w:tr>
        <w:tc>
          <w:tcPr>
            <w:tcW w:type="dxa" w:w="1133"/>
            <w:vAlign w:val="center"/>
            <w:shd w:fill="F7F7F7"/>
          </w:tcPr>
          <w:p>
            <w:pPr>
              <w:jc w:val="left"/>
            </w:pPr>
            <w:r>
              <w:rPr>
                <w:rFonts w:ascii="Times New Roman" w:hAnsi="Times New Roman" w:eastAsia="宋体"/>
                <w:b w:val="0"/>
                <w:i w:val="0"/>
                <w:color w:val="222222"/>
                <w:sz w:val="21"/>
              </w:rPr>
              <w:t>IM</w:t>
            </w:r>
          </w:p>
        </w:tc>
        <w:tc>
          <w:tcPr>
            <w:tcW w:type="dxa" w:w="1133"/>
            <w:vAlign w:val="center"/>
            <w:shd w:fill="F7F7F7"/>
          </w:tcPr>
          <w:p>
            <w:pPr>
              <w:jc w:val="center"/>
            </w:pPr>
            <w:r>
              <w:rPr>
                <w:rFonts w:ascii="Times New Roman" w:hAnsi="Times New Roman" w:eastAsia="宋体"/>
                <w:b w:val="0"/>
                <w:i w:val="0"/>
                <w:color w:val="222222"/>
                <w:sz w:val="21"/>
              </w:rPr>
              <w:t>B&lt;-1.5%</w:t>
            </w:r>
          </w:p>
        </w:tc>
        <w:tc>
          <w:tcPr>
            <w:tcW w:type="dxa" w:w="1133"/>
            <w:vAlign w:val="center"/>
            <w:shd w:fill="F7F7F7"/>
          </w:tcPr>
          <w:p>
            <w:pPr>
              <w:jc w:val="center"/>
            </w:pPr>
            <w:r>
              <w:rPr>
                <w:rFonts w:ascii="Times New Roman" w:hAnsi="Times New Roman" w:eastAsia="宋体"/>
                <w:b w:val="0"/>
                <w:i w:val="0"/>
                <w:color w:val="222222"/>
                <w:sz w:val="21"/>
              </w:rPr>
              <w:t>0.01</w:t>
            </w:r>
          </w:p>
        </w:tc>
        <w:tc>
          <w:tcPr>
            <w:tcW w:type="dxa" w:w="1133"/>
            <w:vAlign w:val="center"/>
            <w:shd w:fill="F7F7F7"/>
          </w:tcPr>
          <w:p>
            <w:pPr>
              <w:jc w:val="center"/>
            </w:pPr>
            <w:r>
              <w:rPr>
                <w:rFonts w:ascii="Times New Roman" w:hAnsi="Times New Roman" w:eastAsia="宋体"/>
                <w:b w:val="0"/>
                <w:i w:val="0"/>
                <w:color w:val="222222"/>
                <w:sz w:val="21"/>
              </w:rPr>
              <w:t>11.03%</w:t>
            </w:r>
          </w:p>
        </w:tc>
        <w:tc>
          <w:tcPr>
            <w:tcW w:type="dxa" w:w="1133"/>
            <w:vAlign w:val="center"/>
            <w:shd w:fill="F7F7F7"/>
          </w:tcPr>
          <w:p>
            <w:pPr>
              <w:jc w:val="center"/>
            </w:pPr>
            <w:r>
              <w:rPr>
                <w:rFonts w:ascii="Times New Roman" w:hAnsi="Times New Roman" w:eastAsia="宋体"/>
                <w:b w:val="0"/>
                <w:i w:val="0"/>
                <w:color w:val="222222"/>
                <w:sz w:val="21"/>
              </w:rPr>
              <w:t>0.37</w:t>
            </w:r>
          </w:p>
        </w:tc>
        <w:tc>
          <w:tcPr>
            <w:tcW w:type="dxa" w:w="1133"/>
            <w:vAlign w:val="center"/>
            <w:shd w:fill="F7F7F7"/>
          </w:tcPr>
          <w:p>
            <w:pPr>
              <w:jc w:val="center"/>
            </w:pPr>
            <w:r>
              <w:rPr>
                <w:rFonts w:ascii="Times New Roman" w:hAnsi="Times New Roman" w:eastAsia="宋体"/>
                <w:b w:val="0"/>
                <w:i w:val="0"/>
                <w:color w:val="222222"/>
                <w:sz w:val="21"/>
              </w:rPr>
              <w:t>0.000</w:t>
            </w:r>
          </w:p>
        </w:tc>
        <w:tc>
          <w:tcPr>
            <w:tcW w:type="dxa" w:w="1133"/>
            <w:vAlign w:val="center"/>
            <w:shd w:fill="F7F7F7"/>
          </w:tcPr>
          <w:p>
            <w:pPr>
              <w:jc w:val="center"/>
            </w:pPr>
            <w:r>
              <w:rPr>
                <w:rFonts w:ascii="Times New Roman" w:hAnsi="Times New Roman" w:eastAsia="宋体"/>
                <w:b w:val="0"/>
                <w:i w:val="0"/>
                <w:color w:val="222222"/>
                <w:sz w:val="21"/>
              </w:rPr>
              <w:t>12.74%</w:t>
            </w:r>
          </w:p>
        </w:tc>
        <w:tc>
          <w:tcPr>
            <w:tcW w:type="dxa" w:w="1133"/>
            <w:vAlign w:val="center"/>
            <w:shd w:fill="F7F7F7"/>
          </w:tcPr>
          <w:p>
            <w:pPr>
              <w:jc w:val="center"/>
            </w:pPr>
            <w:r>
              <w:rPr>
                <w:rFonts w:ascii="Times New Roman" w:hAnsi="Times New Roman" w:eastAsia="宋体"/>
                <w:b w:val="0"/>
                <w:i w:val="0"/>
                <w:color w:val="222222"/>
                <w:sz w:val="21"/>
              </w:rPr>
              <w:t>0.87</w:t>
            </w:r>
          </w:p>
        </w:tc>
      </w:tr>
    </w:tbl>
    <w:p/>
    <w:p>
      <w:pPr>
        <w:spacing w:before="80" w:after="40"/>
        <w:jc w:val="center"/>
      </w:pPr>
      <w:r>
        <w:drawing>
          <wp:inline xmlns:a="http://schemas.openxmlformats.org/drawingml/2006/main" xmlns:pic="http://schemas.openxmlformats.org/drawingml/2006/picture">
            <wp:extent cx="5328000" cy="3163051"/>
            <wp:docPr id="8" name="Picture 8"/>
            <wp:cNvGraphicFramePr>
              <a:graphicFrameLocks noChangeAspect="1"/>
            </wp:cNvGraphicFramePr>
            <a:graphic>
              <a:graphicData uri="http://schemas.openxmlformats.org/drawingml/2006/picture">
                <pic:pic>
                  <pic:nvPicPr>
                    <pic:cNvPr id="0" name="fig_attribution.png"/>
                    <pic:cNvPicPr/>
                  </pic:nvPicPr>
                  <pic:blipFill>
                    <a:blip r:embed="rId18"/>
                    <a:stretch>
                      <a:fillRect/>
                    </a:stretch>
                  </pic:blipFill>
                  <pic:spPr>
                    <a:xfrm>
                      <a:off x="0" y="0"/>
                      <a:ext cx="5328000" cy="3163051"/>
                    </a:xfrm>
                    <a:prstGeom prst="rect"/>
                  </pic:spPr>
                </pic:pic>
              </a:graphicData>
            </a:graphic>
          </wp:inline>
        </w:drawing>
      </w:r>
    </w:p>
    <w:p>
      <w:pPr>
        <w:spacing w:lineRule="exact" w:line="400" w:after="120"/>
        <w:ind w:firstLine="420"/>
        <w:jc w:val="both"/>
      </w:pPr>
      <w:r>
        <w:rPr>
          <w:rFonts w:ascii="Times New Roman" w:hAnsi="Times New Roman" w:eastAsia="宋体"/>
          <w:b w:val="0"/>
          <w:i w:val="0"/>
          <w:color w:val="222222"/>
          <w:sz w:val="24"/>
        </w:rPr>
        <w:t>这组归因结果不宜过度解读。Beta 很低，R² 也接近 0，说明用同期指数日收益解释策略日收益并不充分。原因在于策略收益里有大量换仓、贴水收敛和期货自身价格路径影响，简单的一元回归无法完整拆出风险来源。</w:t>
      </w:r>
    </w:p>
    <w:p>
      <w:pPr>
        <w:spacing w:lineRule="exact" w:line="400" w:after="120"/>
        <w:ind w:firstLine="420"/>
        <w:jc w:val="both"/>
      </w:pPr>
      <w:r>
        <w:rPr>
          <w:rFonts w:ascii="Times New Roman" w:hAnsi="Times New Roman" w:eastAsia="宋体"/>
          <w:b w:val="0"/>
          <w:i w:val="0"/>
          <w:color w:val="222222"/>
          <w:sz w:val="24"/>
        </w:rPr>
        <w:t>因此，我更倾向于把这张表看作“指数日收益不能充分解释策略收益”的证据，而不是把残差直接当作稳定 alpha。残差项为正，说明期货贴水结构在样本内贡献明显；但 t 值不高、Bootstrap 不显著，仍然不能把它包装成确定性套利。</w:t>
      </w:r>
    </w:p>
    <w:p>
      <w:pPr>
        <w:sectPr>
          <w:pgSz w:w="12240" w:h="15840"/>
          <w:pgMar w:top="1440" w:right="1587" w:bottom="1440" w:left="1587" w:header="720" w:footer="720" w:gutter="0"/>
          <w:cols w:space="720"/>
          <w:docGrid w:linePitch="360"/>
        </w:sectPr>
      </w:pPr>
    </w:p>
    <w:p>
      <w:pPr>
        <w:spacing w:before="240" w:after="120"/>
        <w:pBdr>
          <w:bottom w:val="single" w:sz="8" w:space="1" w:color="808080"/>
        </w:pBdr>
      </w:pPr>
      <w:r>
        <w:rPr>
          <w:rFonts w:ascii="Times New Roman" w:hAnsi="Times New Roman" w:eastAsia="黑体"/>
          <w:b/>
          <w:i w:val="0"/>
          <w:color w:val="000000"/>
          <w:sz w:val="29"/>
        </w:rPr>
        <w:t>6. 补充分析</w:t>
      </w:r>
    </w:p>
    <w:p>
      <w:pPr>
        <w:spacing w:before="160" w:after="120"/>
      </w:pPr>
      <w:r>
        <w:rPr>
          <w:rFonts w:ascii="Times New Roman" w:hAnsi="Times New Roman" w:eastAsia="黑体"/>
          <w:b/>
          <w:i w:val="0"/>
          <w:color w:val="000000"/>
          <w:sz w:val="25"/>
        </w:rPr>
        <w:t>6.1 成本压力</w:t>
      </w:r>
    </w:p>
    <w:p>
      <w:pPr>
        <w:spacing w:before="80" w:after="40"/>
        <w:jc w:val="center"/>
      </w:pPr>
      <w:r>
        <w:drawing>
          <wp:inline xmlns:a="http://schemas.openxmlformats.org/drawingml/2006/main" xmlns:pic="http://schemas.openxmlformats.org/drawingml/2006/picture">
            <wp:extent cx="5328000" cy="2631687"/>
            <wp:docPr id="9" name="Picture 9"/>
            <wp:cNvGraphicFramePr>
              <a:graphicFrameLocks noChangeAspect="1"/>
            </wp:cNvGraphicFramePr>
            <a:graphic>
              <a:graphicData uri="http://schemas.openxmlformats.org/drawingml/2006/picture">
                <pic:pic>
                  <pic:nvPicPr>
                    <pic:cNvPr id="0" name="fig_cost_stress.png"/>
                    <pic:cNvPicPr/>
                  </pic:nvPicPr>
                  <pic:blipFill>
                    <a:blip r:embed="rId19"/>
                    <a:stretch>
                      <a:fillRect/>
                    </a:stretch>
                  </pic:blipFill>
                  <pic:spPr>
                    <a:xfrm>
                      <a:off x="0" y="0"/>
                      <a:ext cx="5328000" cy="2631687"/>
                    </a:xfrm>
                    <a:prstGeom prst="rect"/>
                  </pic:spPr>
                </pic:pic>
              </a:graphicData>
            </a:graphic>
          </wp:inline>
        </w:drawing>
      </w:r>
    </w:p>
    <w:p>
      <w:pPr>
        <w:spacing w:lineRule="exact" w:line="400" w:after="120"/>
        <w:ind w:firstLine="420"/>
        <w:jc w:val="both"/>
      </w:pPr>
      <w:r>
        <w:rPr>
          <w:rFonts w:ascii="Times New Roman" w:hAnsi="Times New Roman" w:eastAsia="宋体"/>
          <w:b w:val="0"/>
          <w:i w:val="0"/>
          <w:color w:val="222222"/>
          <w:sz w:val="24"/>
        </w:rPr>
        <w:t>成本压力测试显示，IC Always 对交易成本并不敏感。原因很直接：策略换手低，主要交易发生在展期时，期货手续费相对名义本金很小。即便成本提高到基准的 10 倍，年化收益下降也有限。</w:t>
      </w:r>
    </w:p>
    <w:p>
      <w:pPr>
        <w:spacing w:lineRule="exact" w:line="400" w:after="120"/>
        <w:ind w:firstLine="420"/>
        <w:jc w:val="both"/>
      </w:pPr>
      <w:r>
        <w:rPr>
          <w:rFonts w:ascii="Times New Roman" w:hAnsi="Times New Roman" w:eastAsia="宋体"/>
          <w:b w:val="0"/>
          <w:i w:val="0"/>
          <w:color w:val="222222"/>
          <w:sz w:val="24"/>
        </w:rPr>
        <w:t>这并不等于策略稳健。成本不是主要矛盾，主要矛盾是市场方向风险和贴水结构能否持续。如果未来股指期货贴水明显收窄，或转入长期升水，策略的收益来源会变弱。</w:t>
      </w:r>
    </w:p>
    <w:p>
      <w:pPr>
        <w:spacing w:before="160" w:after="120"/>
      </w:pPr>
      <w:r>
        <w:rPr>
          <w:rFonts w:ascii="Times New Roman" w:hAnsi="Times New Roman" w:eastAsia="黑体"/>
          <w:b/>
          <w:i w:val="0"/>
          <w:color w:val="000000"/>
          <w:sz w:val="25"/>
        </w:rPr>
        <w:t>6.2 IC 与 IM 的组合价值</w:t>
      </w:r>
    </w:p>
    <w:p>
      <w:pPr>
        <w:spacing w:before="80" w:after="40"/>
        <w:jc w:val="center"/>
      </w:pPr>
      <w:r>
        <w:drawing>
          <wp:inline xmlns:a="http://schemas.openxmlformats.org/drawingml/2006/main" xmlns:pic="http://schemas.openxmlformats.org/drawingml/2006/picture">
            <wp:extent cx="5328000" cy="5322842"/>
            <wp:docPr id="10" name="Picture 10"/>
            <wp:cNvGraphicFramePr>
              <a:graphicFrameLocks noChangeAspect="1"/>
            </wp:cNvGraphicFramePr>
            <a:graphic>
              <a:graphicData uri="http://schemas.openxmlformats.org/drawingml/2006/picture">
                <pic:pic>
                  <pic:nvPicPr>
                    <pic:cNvPr id="0" name="fig_correlation.png"/>
                    <pic:cNvPicPr/>
                  </pic:nvPicPr>
                  <pic:blipFill>
                    <a:blip r:embed="rId20"/>
                    <a:stretch>
                      <a:fillRect/>
                    </a:stretch>
                  </pic:blipFill>
                  <pic:spPr>
                    <a:xfrm>
                      <a:off x="0" y="0"/>
                      <a:ext cx="5328000" cy="5322842"/>
                    </a:xfrm>
                    <a:prstGeom prst="rect"/>
                  </pic:spPr>
                </pic:pic>
              </a:graphicData>
            </a:graphic>
          </wp:inline>
        </w:drawing>
      </w:r>
    </w:p>
    <w:p>
      <w:pPr>
        <w:spacing w:lineRule="exact" w:line="400" w:after="120"/>
        <w:ind w:firstLine="420"/>
        <w:jc w:val="both"/>
      </w:pPr>
      <w:r>
        <w:rPr>
          <w:rFonts w:ascii="Times New Roman" w:hAnsi="Times New Roman" w:eastAsia="宋体"/>
          <w:b w:val="0"/>
          <w:i w:val="0"/>
          <w:color w:val="222222"/>
          <w:sz w:val="24"/>
        </w:rPr>
        <w:t>IC 和 IM 日收益相关性约为 0.95，说明二者高度同涨同跌。把两个品种简单组合，并不能形成有效分散。对私募组合管理而言，IC 和 IM 更像同一类权益 beta 暴露的不同载体，而不是两条独立收益曲线。</w:t>
      </w:r>
    </w:p>
    <w:p>
      <w:pPr>
        <w:sectPr>
          <w:pgSz w:w="12240" w:h="15840"/>
          <w:pgMar w:top="1440" w:right="1587" w:bottom="1440" w:left="1587" w:header="720" w:footer="720" w:gutter="0"/>
          <w:cols w:space="720"/>
          <w:docGrid w:linePitch="360"/>
        </w:sectPr>
      </w:pPr>
    </w:p>
    <w:p>
      <w:pPr>
        <w:spacing w:before="240" w:after="120"/>
        <w:pBdr>
          <w:bottom w:val="single" w:sz="8" w:space="1" w:color="808080"/>
        </w:pBdr>
      </w:pPr>
      <w:r>
        <w:rPr>
          <w:rFonts w:ascii="Times New Roman" w:hAnsi="Times New Roman" w:eastAsia="黑体"/>
          <w:b/>
          <w:i w:val="0"/>
          <w:color w:val="000000"/>
          <w:sz w:val="29"/>
        </w:rPr>
        <w:t>7. 风险与局限</w:t>
      </w:r>
    </w:p>
    <w:p>
      <w:pPr>
        <w:pStyle w:val="ListNumber"/>
        <w:spacing w:lineRule="exact" w:line="400" w:after="60"/>
        <w:jc w:val="both"/>
      </w:pPr>
      <w:r>
        <w:rPr>
          <w:rFonts w:ascii="Times New Roman" w:hAnsi="Times New Roman" w:eastAsia="宋体"/>
          <w:b/>
          <w:i w:val="0"/>
          <w:color w:val="222222"/>
          <w:sz w:val="24"/>
        </w:rPr>
        <w:t>方向风险很重</w:t>
      </w:r>
      <w:r>
        <w:rPr>
          <w:rFonts w:ascii="Times New Roman" w:hAnsi="Times New Roman" w:eastAsia="宋体"/>
          <w:b w:val="0"/>
          <w:i w:val="0"/>
          <w:color w:val="222222"/>
          <w:sz w:val="24"/>
        </w:rPr>
        <w:t>。吃贴水策略表面上是期货展期策略，实际仍然高度依赖股票指数走势。历史最大回撤超过 50%，不适合低回撤目标。</w:t>
      </w:r>
    </w:p>
    <w:p>
      <w:pPr>
        <w:pStyle w:val="ListNumber"/>
        <w:spacing w:lineRule="exact" w:line="400" w:after="60"/>
        <w:jc w:val="both"/>
      </w:pPr>
      <w:r>
        <w:rPr>
          <w:rFonts w:ascii="Times New Roman" w:hAnsi="Times New Roman" w:eastAsia="宋体"/>
          <w:b/>
          <w:i w:val="0"/>
          <w:color w:val="222222"/>
          <w:sz w:val="24"/>
        </w:rPr>
        <w:t>统计显著性不足</w:t>
      </w:r>
      <w:r>
        <w:rPr>
          <w:rFonts w:ascii="Times New Roman" w:hAnsi="Times New Roman" w:eastAsia="宋体"/>
          <w:b w:val="0"/>
          <w:i w:val="0"/>
          <w:color w:val="222222"/>
          <w:sz w:val="24"/>
        </w:rPr>
        <w:t>。Bootstrap 检验未拒绝 Sharpe 差异为 0 的假设，不能把样本内超额直接推成稳定收益来源。</w:t>
      </w:r>
    </w:p>
    <w:p>
      <w:pPr>
        <w:pStyle w:val="ListNumber"/>
        <w:spacing w:lineRule="exact" w:line="400" w:after="60"/>
        <w:jc w:val="both"/>
      </w:pPr>
      <w:r>
        <w:rPr>
          <w:rFonts w:ascii="Times New Roman" w:hAnsi="Times New Roman" w:eastAsia="宋体"/>
          <w:b/>
          <w:i w:val="0"/>
          <w:color w:val="222222"/>
          <w:sz w:val="24"/>
        </w:rPr>
        <w:t>IM 样本较短</w:t>
      </w:r>
      <w:r>
        <w:rPr>
          <w:rFonts w:ascii="Times New Roman" w:hAnsi="Times New Roman" w:eastAsia="宋体"/>
          <w:b w:val="0"/>
          <w:i w:val="0"/>
          <w:color w:val="222222"/>
          <w:sz w:val="24"/>
        </w:rPr>
        <w:t>。IM 只有 872 个主力样本交易日，经历的完整市场周期有限，结论稳定性低于 IC。</w:t>
      </w:r>
    </w:p>
    <w:p>
      <w:pPr>
        <w:pStyle w:val="ListNumber"/>
        <w:spacing w:lineRule="exact" w:line="400" w:after="60"/>
        <w:jc w:val="both"/>
      </w:pPr>
      <w:r>
        <w:rPr>
          <w:rFonts w:ascii="Times New Roman" w:hAnsi="Times New Roman" w:eastAsia="宋体"/>
          <w:b/>
          <w:i w:val="0"/>
          <w:color w:val="222222"/>
          <w:sz w:val="24"/>
        </w:rPr>
        <w:t>阈值策略有样本内优化风险</w:t>
      </w:r>
      <w:r>
        <w:rPr>
          <w:rFonts w:ascii="Times New Roman" w:hAnsi="Times New Roman" w:eastAsia="宋体"/>
          <w:b w:val="0"/>
          <w:i w:val="0"/>
          <w:color w:val="222222"/>
          <w:sz w:val="24"/>
        </w:rPr>
        <w:t>。B&lt;-1.5% 在部分指标上更好，但阈值来自样本观察，不代表未来仍然最优。</w:t>
      </w:r>
    </w:p>
    <w:p>
      <w:pPr>
        <w:pStyle w:val="ListNumber"/>
        <w:spacing w:lineRule="exact" w:line="400" w:after="60"/>
        <w:jc w:val="both"/>
      </w:pPr>
      <w:r>
        <w:rPr>
          <w:rFonts w:ascii="Times New Roman" w:hAnsi="Times New Roman" w:eastAsia="宋体"/>
          <w:b/>
          <w:i w:val="0"/>
          <w:color w:val="222222"/>
          <w:sz w:val="24"/>
        </w:rPr>
        <w:t>跨期套利需要更高频数据验证</w:t>
      </w:r>
      <w:r>
        <w:rPr>
          <w:rFonts w:ascii="Times New Roman" w:hAnsi="Times New Roman" w:eastAsia="宋体"/>
          <w:b w:val="0"/>
          <w:i w:val="0"/>
          <w:color w:val="222222"/>
          <w:sz w:val="24"/>
        </w:rPr>
        <w:t>。日频、T+1 执行下没有可交易结果，不排除更高频或更精细合约选择下存在机会。</w:t>
      </w:r>
    </w:p>
    <w:p>
      <w:pPr>
        <w:pStyle w:val="ListNumber"/>
        <w:spacing w:lineRule="exact" w:line="400" w:after="60"/>
        <w:jc w:val="both"/>
      </w:pPr>
      <w:r>
        <w:rPr>
          <w:rFonts w:ascii="Times New Roman" w:hAnsi="Times New Roman" w:eastAsia="宋体"/>
          <w:b/>
          <w:i w:val="0"/>
          <w:color w:val="222222"/>
          <w:sz w:val="24"/>
        </w:rPr>
        <w:t>制度风险不能忽略</w:t>
      </w:r>
      <w:r>
        <w:rPr>
          <w:rFonts w:ascii="Times New Roman" w:hAnsi="Times New Roman" w:eastAsia="宋体"/>
          <w:b w:val="0"/>
          <w:i w:val="0"/>
          <w:color w:val="222222"/>
          <w:sz w:val="24"/>
        </w:rPr>
        <w:t>。股指期货历史上经历过手续费、保证金、开平仓限制等规则变化，策略实盘表现会受交易制度影响。</w:t>
      </w:r>
    </w:p>
    <w:p>
      <w:pPr>
        <w:sectPr>
          <w:pgSz w:w="12240" w:h="15840"/>
          <w:pgMar w:top="1440" w:right="1587" w:bottom="1440" w:left="1587" w:header="720" w:footer="720" w:gutter="0"/>
          <w:cols w:space="720"/>
          <w:docGrid w:linePitch="360"/>
        </w:sectPr>
      </w:pPr>
    </w:p>
    <w:p>
      <w:pPr>
        <w:spacing w:before="240" w:after="120"/>
        <w:pBdr>
          <w:bottom w:val="single" w:sz="8" w:space="1" w:color="808080"/>
        </w:pBdr>
      </w:pPr>
      <w:r>
        <w:rPr>
          <w:rFonts w:ascii="Times New Roman" w:hAnsi="Times New Roman" w:eastAsia="黑体"/>
          <w:b/>
          <w:i w:val="0"/>
          <w:color w:val="000000"/>
          <w:sz w:val="29"/>
        </w:rPr>
        <w:t>8. 结论</w:t>
      </w:r>
    </w:p>
    <w:p>
      <w:pPr>
        <w:spacing w:lineRule="exact" w:line="400" w:after="120"/>
        <w:ind w:firstLine="420"/>
        <w:jc w:val="both"/>
      </w:pPr>
      <w:r>
        <w:rPr>
          <w:rFonts w:ascii="Times New Roman" w:hAnsi="Times New Roman" w:eastAsia="宋体"/>
          <w:b w:val="0"/>
          <w:i w:val="0"/>
          <w:color w:val="222222"/>
          <w:sz w:val="24"/>
        </w:rPr>
        <w:t>吃贴水策略的优点很清楚：逻辑简单、交易频率低、成本可控，样本内相对现货指数有明显收益提升。IC Always 年化 9.62%，IM Always 年化 15.88%，都高于对应指数。</w:t>
      </w:r>
    </w:p>
    <w:p>
      <w:pPr>
        <w:spacing w:lineRule="exact" w:line="400" w:after="120"/>
        <w:ind w:firstLine="420"/>
        <w:jc w:val="both"/>
      </w:pPr>
      <w:r>
        <w:rPr>
          <w:rFonts w:ascii="Times New Roman" w:hAnsi="Times New Roman" w:eastAsia="宋体"/>
          <w:b w:val="0"/>
          <w:i w:val="0"/>
          <w:color w:val="222222"/>
          <w:sz w:val="24"/>
        </w:rPr>
        <w:t>但它的缺点也同样明显：回撤很深，统计显著性不足，收益来源并不稳定。策略更适合被定位为“带有展期补偿的股指期货多头”，而不是“市场中性套利”或“稳定 alpha”。如果私募产品本身可以承受权益方向风险，可以把它作为指数增强模块；如果产品目标是绝对收益或低回撤，这个策略需要严格降杠杆，并与其他低相关策略组合使用。</w:t>
      </w:r>
    </w:p>
    <w:p>
      <w:pPr>
        <w:spacing w:lineRule="exact" w:line="400" w:after="120"/>
        <w:ind w:firstLine="420"/>
        <w:jc w:val="both"/>
      </w:pPr>
      <w:r>
        <w:rPr>
          <w:rFonts w:ascii="Times New Roman" w:hAnsi="Times New Roman" w:eastAsia="宋体"/>
          <w:b w:val="0"/>
          <w:i w:val="0"/>
          <w:color w:val="222222"/>
          <w:sz w:val="24"/>
        </w:rPr>
        <w:t>跨期套利部分给出的结论偏负面：在当前数据频率和执行假设下，近月-次近月价差没有形成有效交易收益。这个结果并不失败，反而说明简单的布林带均值回复规则不足以覆盖期货双边交易成本和执行滞后。</w:t>
      </w:r>
    </w:p>
    <w:p>
      <w:pPr>
        <w:spacing w:lineRule="exact" w:line="400" w:after="120"/>
        <w:ind w:firstLine="420"/>
        <w:jc w:val="both"/>
      </w:pPr>
      <w:r>
        <w:rPr>
          <w:rFonts w:ascii="Times New Roman" w:hAnsi="Times New Roman" w:eastAsia="宋体"/>
          <w:b w:val="0"/>
          <w:i w:val="0"/>
          <w:color w:val="222222"/>
          <w:sz w:val="24"/>
        </w:rPr>
        <w:t>最终建议是：保留吃贴水策略作为研究框架和指数增强备选，不建议单独依赖跨期套利；后续若继续推进，应优先做两个方向：一是加入更严格的样本外验证，二是引入更细粒度的成交数据检验跨期价差是否真的存在可执行空间。</w:t>
      </w:r>
    </w:p>
    <w:p>
      <w:pPr>
        <w:spacing w:before="240" w:after="120"/>
        <w:pBdr>
          <w:bottom w:val="single" w:sz="8" w:space="1" w:color="808080"/>
        </w:pBdr>
      </w:pPr>
      <w:r>
        <w:rPr>
          <w:rFonts w:ascii="Times New Roman" w:hAnsi="Times New Roman" w:eastAsia="黑体"/>
          <w:b/>
          <w:i w:val="0"/>
          <w:color w:val="000000"/>
          <w:sz w:val="29"/>
        </w:rPr>
        <w:t>附录：图表清单</w:t>
      </w:r>
    </w:p>
    <w:tbl>
      <w:tblPr>
        <w:tblStyle w:val="TableGrid"/>
        <w:tblW w:type="auto" w:w="0"/>
        <w:jc w:val="center"/>
        <w:tblLook w:firstColumn="1" w:firstRow="1" w:lastColumn="0" w:lastRow="0" w:noHBand="0" w:noVBand="1" w:val="04A0"/>
      </w:tblPr>
      <w:tblGrid>
        <w:gridCol w:w="3022"/>
        <w:gridCol w:w="3022"/>
        <w:gridCol w:w="3022"/>
      </w:tblGrid>
      <w:tr>
        <w:tc>
          <w:tcPr>
            <w:tcW w:type="dxa" w:w="3022"/>
            <w:vAlign w:val="center"/>
            <w:shd w:fill="EDEDED"/>
          </w:tcPr>
          <w:p>
            <w:pPr>
              <w:jc w:val="center"/>
            </w:pPr>
            <w:r>
              <w:rPr>
                <w:rFonts w:ascii="Times New Roman" w:hAnsi="Times New Roman" w:eastAsia="黑体"/>
                <w:b/>
                <w:i w:val="0"/>
                <w:color w:val="000000"/>
                <w:sz w:val="22"/>
              </w:rPr>
              <w:t>图号</w:t>
            </w:r>
          </w:p>
        </w:tc>
        <w:tc>
          <w:tcPr>
            <w:tcW w:type="dxa" w:w="3022"/>
            <w:vAlign w:val="center"/>
            <w:shd w:fill="EDEDED"/>
          </w:tcPr>
          <w:p>
            <w:pPr>
              <w:jc w:val="center"/>
            </w:pPr>
            <w:r>
              <w:rPr>
                <w:rFonts w:ascii="Times New Roman" w:hAnsi="Times New Roman" w:eastAsia="黑体"/>
                <w:b/>
                <w:i w:val="0"/>
                <w:color w:val="000000"/>
                <w:sz w:val="22"/>
              </w:rPr>
              <w:t>文件</w:t>
            </w:r>
          </w:p>
        </w:tc>
        <w:tc>
          <w:tcPr>
            <w:tcW w:type="dxa" w:w="3022"/>
            <w:vAlign w:val="center"/>
            <w:shd w:fill="EDEDED"/>
          </w:tcPr>
          <w:p>
            <w:pPr>
              <w:jc w:val="center"/>
            </w:pPr>
            <w:r>
              <w:rPr>
                <w:rFonts w:ascii="Times New Roman" w:hAnsi="Times New Roman" w:eastAsia="黑体"/>
                <w:b/>
                <w:i w:val="0"/>
                <w:color w:val="000000"/>
                <w:sz w:val="22"/>
              </w:rPr>
              <w:t>内容</w:t>
            </w:r>
          </w:p>
        </w:tc>
      </w:tr>
      <w:tr>
        <w:tc>
          <w:tcPr>
            <w:tcW w:type="dxa" w:w="3022"/>
            <w:vAlign w:val="center"/>
          </w:tcPr>
          <w:p>
            <w:pPr>
              <w:jc w:val="left"/>
            </w:pPr>
            <w:r>
              <w:rPr>
                <w:rFonts w:ascii="Times New Roman" w:hAnsi="Times New Roman" w:eastAsia="宋体"/>
                <w:b w:val="0"/>
                <w:i w:val="0"/>
                <w:color w:val="222222"/>
                <w:sz w:val="21"/>
              </w:rPr>
              <w:t>图 1</w:t>
            </w:r>
          </w:p>
        </w:tc>
        <w:tc>
          <w:tcPr>
            <w:tcW w:type="dxa" w:w="3022"/>
            <w:vAlign w:val="center"/>
          </w:tcPr>
          <w:p>
            <w:pPr>
              <w:jc w:val="center"/>
            </w:pPr>
            <w:r>
              <w:rPr>
                <w:rFonts w:ascii="Times New Roman" w:hAnsi="Times New Roman" w:eastAsia="宋体"/>
                <w:b w:val="0"/>
                <w:i w:val="0"/>
                <w:color w:val="222222"/>
                <w:sz w:val="21"/>
              </w:rPr>
              <w:t>fig_roll_yield.png</w:t>
            </w:r>
          </w:p>
        </w:tc>
        <w:tc>
          <w:tcPr>
            <w:tcW w:type="dxa" w:w="3022"/>
            <w:vAlign w:val="center"/>
          </w:tcPr>
          <w:p>
            <w:pPr>
              <w:jc w:val="center"/>
            </w:pPr>
            <w:r>
              <w:rPr>
                <w:rFonts w:ascii="Times New Roman" w:hAnsi="Times New Roman" w:eastAsia="宋体"/>
                <w:b w:val="0"/>
                <w:i w:val="0"/>
                <w:color w:val="222222"/>
                <w:sz w:val="21"/>
              </w:rPr>
              <w:t>展期收益分布</w:t>
            </w:r>
          </w:p>
        </w:tc>
      </w:tr>
      <w:tr>
        <w:tc>
          <w:tcPr>
            <w:tcW w:type="dxa" w:w="3022"/>
            <w:vAlign w:val="center"/>
            <w:shd w:fill="F7F7F7"/>
          </w:tcPr>
          <w:p>
            <w:pPr>
              <w:jc w:val="left"/>
            </w:pPr>
            <w:r>
              <w:rPr>
                <w:rFonts w:ascii="Times New Roman" w:hAnsi="Times New Roman" w:eastAsia="宋体"/>
                <w:b w:val="0"/>
                <w:i w:val="0"/>
                <w:color w:val="222222"/>
                <w:sz w:val="21"/>
              </w:rPr>
              <w:t>图 2</w:t>
            </w:r>
          </w:p>
        </w:tc>
        <w:tc>
          <w:tcPr>
            <w:tcW w:type="dxa" w:w="3022"/>
            <w:vAlign w:val="center"/>
            <w:shd w:fill="F7F7F7"/>
          </w:tcPr>
          <w:p>
            <w:pPr>
              <w:jc w:val="center"/>
            </w:pPr>
            <w:r>
              <w:rPr>
                <w:rFonts w:ascii="Times New Roman" w:hAnsi="Times New Roman" w:eastAsia="宋体"/>
                <w:b w:val="0"/>
                <w:i w:val="0"/>
                <w:color w:val="222222"/>
                <w:sz w:val="21"/>
              </w:rPr>
              <w:t>fig_nav.png</w:t>
            </w:r>
          </w:p>
        </w:tc>
        <w:tc>
          <w:tcPr>
            <w:tcW w:type="dxa" w:w="3022"/>
            <w:vAlign w:val="center"/>
            <w:shd w:fill="F7F7F7"/>
          </w:tcPr>
          <w:p>
            <w:pPr>
              <w:jc w:val="center"/>
            </w:pPr>
            <w:r>
              <w:rPr>
                <w:rFonts w:ascii="Times New Roman" w:hAnsi="Times New Roman" w:eastAsia="宋体"/>
                <w:b w:val="0"/>
                <w:i w:val="0"/>
                <w:color w:val="222222"/>
                <w:sz w:val="21"/>
              </w:rPr>
              <w:t>策略净值曲线</w:t>
            </w:r>
          </w:p>
        </w:tc>
      </w:tr>
      <w:tr>
        <w:tc>
          <w:tcPr>
            <w:tcW w:type="dxa" w:w="3022"/>
            <w:vAlign w:val="center"/>
          </w:tcPr>
          <w:p>
            <w:pPr>
              <w:jc w:val="left"/>
            </w:pPr>
            <w:r>
              <w:rPr>
                <w:rFonts w:ascii="Times New Roman" w:hAnsi="Times New Roman" w:eastAsia="宋体"/>
                <w:b w:val="0"/>
                <w:i w:val="0"/>
                <w:color w:val="222222"/>
                <w:sz w:val="21"/>
              </w:rPr>
              <w:t>图 3</w:t>
            </w:r>
          </w:p>
        </w:tc>
        <w:tc>
          <w:tcPr>
            <w:tcW w:type="dxa" w:w="3022"/>
            <w:vAlign w:val="center"/>
          </w:tcPr>
          <w:p>
            <w:pPr>
              <w:jc w:val="center"/>
            </w:pPr>
            <w:r>
              <w:rPr>
                <w:rFonts w:ascii="Times New Roman" w:hAnsi="Times New Roman" w:eastAsia="宋体"/>
                <w:b w:val="0"/>
                <w:i w:val="0"/>
                <w:color w:val="222222"/>
                <w:sz w:val="21"/>
              </w:rPr>
              <w:t>fig_annual.png</w:t>
            </w:r>
          </w:p>
        </w:tc>
        <w:tc>
          <w:tcPr>
            <w:tcW w:type="dxa" w:w="3022"/>
            <w:vAlign w:val="center"/>
          </w:tcPr>
          <w:p>
            <w:pPr>
              <w:jc w:val="center"/>
            </w:pPr>
            <w:r>
              <w:rPr>
                <w:rFonts w:ascii="Times New Roman" w:hAnsi="Times New Roman" w:eastAsia="宋体"/>
                <w:b w:val="0"/>
                <w:i w:val="0"/>
                <w:color w:val="222222"/>
                <w:sz w:val="21"/>
              </w:rPr>
              <w:t>年度收益</w:t>
            </w:r>
          </w:p>
        </w:tc>
      </w:tr>
      <w:tr>
        <w:tc>
          <w:tcPr>
            <w:tcW w:type="dxa" w:w="3022"/>
            <w:vAlign w:val="center"/>
            <w:shd w:fill="F7F7F7"/>
          </w:tcPr>
          <w:p>
            <w:pPr>
              <w:jc w:val="left"/>
            </w:pPr>
            <w:r>
              <w:rPr>
                <w:rFonts w:ascii="Times New Roman" w:hAnsi="Times New Roman" w:eastAsia="宋体"/>
                <w:b w:val="0"/>
                <w:i w:val="0"/>
                <w:color w:val="222222"/>
                <w:sz w:val="21"/>
              </w:rPr>
              <w:t>图 4</w:t>
            </w:r>
          </w:p>
        </w:tc>
        <w:tc>
          <w:tcPr>
            <w:tcW w:type="dxa" w:w="3022"/>
            <w:vAlign w:val="center"/>
            <w:shd w:fill="F7F7F7"/>
          </w:tcPr>
          <w:p>
            <w:pPr>
              <w:jc w:val="center"/>
            </w:pPr>
            <w:r>
              <w:rPr>
                <w:rFonts w:ascii="Times New Roman" w:hAnsi="Times New Roman" w:eastAsia="宋体"/>
                <w:b w:val="0"/>
                <w:i w:val="0"/>
                <w:color w:val="222222"/>
                <w:sz w:val="21"/>
              </w:rPr>
              <w:t>fig_drawdown.png</w:t>
            </w:r>
          </w:p>
        </w:tc>
        <w:tc>
          <w:tcPr>
            <w:tcW w:type="dxa" w:w="3022"/>
            <w:vAlign w:val="center"/>
            <w:shd w:fill="F7F7F7"/>
          </w:tcPr>
          <w:p>
            <w:pPr>
              <w:jc w:val="center"/>
            </w:pPr>
            <w:r>
              <w:rPr>
                <w:rFonts w:ascii="Times New Roman" w:hAnsi="Times New Roman" w:eastAsia="宋体"/>
                <w:b w:val="0"/>
                <w:i w:val="0"/>
                <w:color w:val="222222"/>
                <w:sz w:val="21"/>
              </w:rPr>
              <w:t>回撤曲线</w:t>
            </w:r>
          </w:p>
        </w:tc>
      </w:tr>
      <w:tr>
        <w:tc>
          <w:tcPr>
            <w:tcW w:type="dxa" w:w="3022"/>
            <w:vAlign w:val="center"/>
          </w:tcPr>
          <w:p>
            <w:pPr>
              <w:jc w:val="left"/>
            </w:pPr>
            <w:r>
              <w:rPr>
                <w:rFonts w:ascii="Times New Roman" w:hAnsi="Times New Roman" w:eastAsia="宋体"/>
                <w:b w:val="0"/>
                <w:i w:val="0"/>
                <w:color w:val="222222"/>
                <w:sz w:val="21"/>
              </w:rPr>
              <w:t>图 5</w:t>
            </w:r>
          </w:p>
        </w:tc>
        <w:tc>
          <w:tcPr>
            <w:tcW w:type="dxa" w:w="3022"/>
            <w:vAlign w:val="center"/>
          </w:tcPr>
          <w:p>
            <w:pPr>
              <w:jc w:val="center"/>
            </w:pPr>
            <w:r>
              <w:rPr>
                <w:rFonts w:ascii="Times New Roman" w:hAnsi="Times New Roman" w:eastAsia="宋体"/>
                <w:b w:val="0"/>
                <w:i w:val="0"/>
                <w:color w:val="222222"/>
                <w:sz w:val="21"/>
              </w:rPr>
              <w:t>fig_heatmap.png</w:t>
            </w:r>
          </w:p>
        </w:tc>
        <w:tc>
          <w:tcPr>
            <w:tcW w:type="dxa" w:w="3022"/>
            <w:vAlign w:val="center"/>
          </w:tcPr>
          <w:p>
            <w:pPr>
              <w:jc w:val="center"/>
            </w:pPr>
            <w:r>
              <w:rPr>
                <w:rFonts w:ascii="Times New Roman" w:hAnsi="Times New Roman" w:eastAsia="宋体"/>
                <w:b w:val="0"/>
                <w:i w:val="0"/>
                <w:color w:val="222222"/>
                <w:sz w:val="21"/>
              </w:rPr>
              <w:t>参数敏感性</w:t>
            </w:r>
          </w:p>
        </w:tc>
      </w:tr>
      <w:tr>
        <w:tc>
          <w:tcPr>
            <w:tcW w:type="dxa" w:w="3022"/>
            <w:vAlign w:val="center"/>
            <w:shd w:fill="F7F7F7"/>
          </w:tcPr>
          <w:p>
            <w:pPr>
              <w:jc w:val="left"/>
            </w:pPr>
            <w:r>
              <w:rPr>
                <w:rFonts w:ascii="Times New Roman" w:hAnsi="Times New Roman" w:eastAsia="宋体"/>
                <w:b w:val="0"/>
                <w:i w:val="0"/>
                <w:color w:val="222222"/>
                <w:sz w:val="21"/>
              </w:rPr>
              <w:t>图 6</w:t>
            </w:r>
          </w:p>
        </w:tc>
        <w:tc>
          <w:tcPr>
            <w:tcW w:type="dxa" w:w="3022"/>
            <w:vAlign w:val="center"/>
            <w:shd w:fill="F7F7F7"/>
          </w:tcPr>
          <w:p>
            <w:pPr>
              <w:jc w:val="center"/>
            </w:pPr>
            <w:r>
              <w:rPr>
                <w:rFonts w:ascii="Times New Roman" w:hAnsi="Times New Roman" w:eastAsia="宋体"/>
                <w:b w:val="0"/>
                <w:i w:val="0"/>
                <w:color w:val="222222"/>
                <w:sz w:val="21"/>
              </w:rPr>
              <w:t>fig_spread.png</w:t>
            </w:r>
          </w:p>
        </w:tc>
        <w:tc>
          <w:tcPr>
            <w:tcW w:type="dxa" w:w="3022"/>
            <w:vAlign w:val="center"/>
            <w:shd w:fill="F7F7F7"/>
          </w:tcPr>
          <w:p>
            <w:pPr>
              <w:jc w:val="center"/>
            </w:pPr>
            <w:r>
              <w:rPr>
                <w:rFonts w:ascii="Times New Roman" w:hAnsi="Times New Roman" w:eastAsia="宋体"/>
                <w:b w:val="0"/>
                <w:i w:val="0"/>
                <w:color w:val="222222"/>
                <w:sz w:val="21"/>
              </w:rPr>
              <w:t>跨期价差与布林带</w:t>
            </w:r>
          </w:p>
        </w:tc>
      </w:tr>
      <w:tr>
        <w:tc>
          <w:tcPr>
            <w:tcW w:type="dxa" w:w="3022"/>
            <w:vAlign w:val="center"/>
          </w:tcPr>
          <w:p>
            <w:pPr>
              <w:jc w:val="left"/>
            </w:pPr>
            <w:r>
              <w:rPr>
                <w:rFonts w:ascii="Times New Roman" w:hAnsi="Times New Roman" w:eastAsia="宋体"/>
                <w:b w:val="0"/>
                <w:i w:val="0"/>
                <w:color w:val="222222"/>
                <w:sz w:val="21"/>
              </w:rPr>
              <w:t>图 7</w:t>
            </w:r>
          </w:p>
        </w:tc>
        <w:tc>
          <w:tcPr>
            <w:tcW w:type="dxa" w:w="3022"/>
            <w:vAlign w:val="center"/>
          </w:tcPr>
          <w:p>
            <w:pPr>
              <w:jc w:val="center"/>
            </w:pPr>
            <w:r>
              <w:rPr>
                <w:rFonts w:ascii="Times New Roman" w:hAnsi="Times New Roman" w:eastAsia="宋体"/>
                <w:b w:val="0"/>
                <w:i w:val="0"/>
                <w:color w:val="222222"/>
                <w:sz w:val="21"/>
              </w:rPr>
              <w:t>fig_bootstrap.png</w:t>
            </w:r>
          </w:p>
        </w:tc>
        <w:tc>
          <w:tcPr>
            <w:tcW w:type="dxa" w:w="3022"/>
            <w:vAlign w:val="center"/>
          </w:tcPr>
          <w:p>
            <w:pPr>
              <w:jc w:val="center"/>
            </w:pPr>
            <w:r>
              <w:rPr>
                <w:rFonts w:ascii="Times New Roman" w:hAnsi="Times New Roman" w:eastAsia="宋体"/>
                <w:b w:val="0"/>
                <w:i w:val="0"/>
                <w:color w:val="222222"/>
                <w:sz w:val="21"/>
              </w:rPr>
              <w:t>Bootstrap 检验</w:t>
            </w:r>
          </w:p>
        </w:tc>
      </w:tr>
      <w:tr>
        <w:tc>
          <w:tcPr>
            <w:tcW w:type="dxa" w:w="3022"/>
            <w:vAlign w:val="center"/>
            <w:shd w:fill="F7F7F7"/>
          </w:tcPr>
          <w:p>
            <w:pPr>
              <w:jc w:val="left"/>
            </w:pPr>
            <w:r>
              <w:rPr>
                <w:rFonts w:ascii="Times New Roman" w:hAnsi="Times New Roman" w:eastAsia="宋体"/>
                <w:b w:val="0"/>
                <w:i w:val="0"/>
                <w:color w:val="222222"/>
                <w:sz w:val="21"/>
              </w:rPr>
              <w:t>图 8</w:t>
            </w:r>
          </w:p>
        </w:tc>
        <w:tc>
          <w:tcPr>
            <w:tcW w:type="dxa" w:w="3022"/>
            <w:vAlign w:val="center"/>
            <w:shd w:fill="F7F7F7"/>
          </w:tcPr>
          <w:p>
            <w:pPr>
              <w:jc w:val="center"/>
            </w:pPr>
            <w:r>
              <w:rPr>
                <w:rFonts w:ascii="Times New Roman" w:hAnsi="Times New Roman" w:eastAsia="宋体"/>
                <w:b w:val="0"/>
                <w:i w:val="0"/>
                <w:color w:val="222222"/>
                <w:sz w:val="21"/>
              </w:rPr>
              <w:t>fig_attribution.png</w:t>
            </w:r>
          </w:p>
        </w:tc>
        <w:tc>
          <w:tcPr>
            <w:tcW w:type="dxa" w:w="3022"/>
            <w:vAlign w:val="center"/>
            <w:shd w:fill="F7F7F7"/>
          </w:tcPr>
          <w:p>
            <w:pPr>
              <w:jc w:val="center"/>
            </w:pPr>
            <w:r>
              <w:rPr>
                <w:rFonts w:ascii="Times New Roman" w:hAnsi="Times New Roman" w:eastAsia="宋体"/>
                <w:b w:val="0"/>
                <w:i w:val="0"/>
                <w:color w:val="222222"/>
                <w:sz w:val="21"/>
              </w:rPr>
              <w:t>收益归因</w:t>
            </w:r>
          </w:p>
        </w:tc>
      </w:tr>
      <w:tr>
        <w:tc>
          <w:tcPr>
            <w:tcW w:type="dxa" w:w="3022"/>
            <w:vAlign w:val="center"/>
          </w:tcPr>
          <w:p>
            <w:pPr>
              <w:jc w:val="left"/>
            </w:pPr>
            <w:r>
              <w:rPr>
                <w:rFonts w:ascii="Times New Roman" w:hAnsi="Times New Roman" w:eastAsia="宋体"/>
                <w:b w:val="0"/>
                <w:i w:val="0"/>
                <w:color w:val="222222"/>
                <w:sz w:val="21"/>
              </w:rPr>
              <w:t>图 9</w:t>
            </w:r>
          </w:p>
        </w:tc>
        <w:tc>
          <w:tcPr>
            <w:tcW w:type="dxa" w:w="3022"/>
            <w:vAlign w:val="center"/>
          </w:tcPr>
          <w:p>
            <w:pPr>
              <w:jc w:val="center"/>
            </w:pPr>
            <w:r>
              <w:rPr>
                <w:rFonts w:ascii="Times New Roman" w:hAnsi="Times New Roman" w:eastAsia="宋体"/>
                <w:b w:val="0"/>
                <w:i w:val="0"/>
                <w:color w:val="222222"/>
                <w:sz w:val="21"/>
              </w:rPr>
              <w:t>fig_cost_stress.png</w:t>
            </w:r>
          </w:p>
        </w:tc>
        <w:tc>
          <w:tcPr>
            <w:tcW w:type="dxa" w:w="3022"/>
            <w:vAlign w:val="center"/>
          </w:tcPr>
          <w:p>
            <w:pPr>
              <w:jc w:val="center"/>
            </w:pPr>
            <w:r>
              <w:rPr>
                <w:rFonts w:ascii="Times New Roman" w:hAnsi="Times New Roman" w:eastAsia="宋体"/>
                <w:b w:val="0"/>
                <w:i w:val="0"/>
                <w:color w:val="222222"/>
                <w:sz w:val="21"/>
              </w:rPr>
              <w:t>成本压力</w:t>
            </w:r>
          </w:p>
        </w:tc>
      </w:tr>
      <w:tr>
        <w:tc>
          <w:tcPr>
            <w:tcW w:type="dxa" w:w="3022"/>
            <w:vAlign w:val="center"/>
            <w:shd w:fill="F7F7F7"/>
          </w:tcPr>
          <w:p>
            <w:pPr>
              <w:jc w:val="left"/>
            </w:pPr>
            <w:r>
              <w:rPr>
                <w:rFonts w:ascii="Times New Roman" w:hAnsi="Times New Roman" w:eastAsia="宋体"/>
                <w:b w:val="0"/>
                <w:i w:val="0"/>
                <w:color w:val="222222"/>
                <w:sz w:val="21"/>
              </w:rPr>
              <w:t>图 10</w:t>
            </w:r>
          </w:p>
        </w:tc>
        <w:tc>
          <w:tcPr>
            <w:tcW w:type="dxa" w:w="3022"/>
            <w:vAlign w:val="center"/>
            <w:shd w:fill="F7F7F7"/>
          </w:tcPr>
          <w:p>
            <w:pPr>
              <w:jc w:val="center"/>
            </w:pPr>
            <w:r>
              <w:rPr>
                <w:rFonts w:ascii="Times New Roman" w:hAnsi="Times New Roman" w:eastAsia="宋体"/>
                <w:b w:val="0"/>
                <w:i w:val="0"/>
                <w:color w:val="222222"/>
                <w:sz w:val="21"/>
              </w:rPr>
              <w:t>fig_correlation.png</w:t>
            </w:r>
          </w:p>
        </w:tc>
        <w:tc>
          <w:tcPr>
            <w:tcW w:type="dxa" w:w="3022"/>
            <w:vAlign w:val="center"/>
            <w:shd w:fill="F7F7F7"/>
          </w:tcPr>
          <w:p>
            <w:pPr>
              <w:jc w:val="center"/>
            </w:pPr>
            <w:r>
              <w:rPr>
                <w:rFonts w:ascii="Times New Roman" w:hAnsi="Times New Roman" w:eastAsia="宋体"/>
                <w:b w:val="0"/>
                <w:i w:val="0"/>
                <w:color w:val="222222"/>
                <w:sz w:val="21"/>
              </w:rPr>
              <w:t>IC-IM 相关性</w:t>
            </w:r>
          </w:p>
        </w:tc>
      </w:tr>
    </w:tbl>
    <w:p/>
    <w:sectPr w:rsidR="00FC693F" w:rsidRPr="0006063C" w:rsidSect="00034616">
      <w:pgSz w:w="12240" w:h="15840"/>
      <w:pgMar w:top="1440" w:right="1587"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after="0"/>
      <w:jc w:val="center"/>
    </w:pPr>
    <w:r>
      <w:rPr>
        <w:rFonts w:ascii="Times New Roman" w:hAnsi="Times New Roman" w:eastAsia="宋体"/>
        <w:b w:val="0"/>
        <w:i w:val="0"/>
        <w:color w:val="444444"/>
        <w:sz w:val="19"/>
      </w:rPr>
      <w:t xml:space="preserve">第 </w:t>
    </w:r>
    <w:r>
      <w:rPr>
        <w:rFonts w:ascii="Times New Roman" w:hAnsi="Times New Roman" w:eastAsia="宋体"/>
        <w:b w:val="0"/>
        <w:i w:val="0"/>
        <w:color w:val="444444"/>
        <w:sz w:val="19"/>
      </w:rPr>
      <w:fldChar w:fldCharType="begin"/>
      <w:instrText xml:space="preserve"> PAGE </w:instrText>
      <w:fldChar w:fldCharType="end"/>
    </w:r>
    <w:r>
      <w:rPr>
        <w:rFonts w:ascii="Times New Roman" w:hAnsi="Times New Roman" w:eastAsia="宋体"/>
        <w:b w:val="0"/>
        <w:i w:val="0"/>
        <w:color w:val="444444"/>
        <w:sz w:val="19"/>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Times New Roman" w:hAnsi="Times New Roman" w:eastAsia="宋体"/>
        <w:b w:val="0"/>
        <w:i w:val="0"/>
        <w:color w:val="444444"/>
        <w:sz w:val="19"/>
      </w:rPr>
      <w:t>股指期货套利策略研究</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