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8"/>
        </w:rPr>
        <w:t>股指期货套利策略研究报告</w:t>
      </w:r>
    </w:p>
    <w:p>
      <w:pPr>
        <w:spacing w:after="240"/>
        <w:jc w:val="center"/>
      </w:pPr>
      <w:r>
        <w:rPr>
          <w:rFonts w:ascii="Times New Roman" w:hAnsi="Times New Roman" w:eastAsia="黑体"/>
          <w:b w:val="0"/>
          <w:i w:val="0"/>
          <w:color w:val="555555"/>
          <w:sz w:val="30"/>
        </w:rPr>
        <w:t>吃贴水与跨期套利的策略评估与风险拆解</w:t>
      </w:r>
    </w:p>
    <w:p>
      <w:pPr>
        <w:spacing w:before="80" w:after="200"/>
        <w:pBdr>
          <w:bottom w:val="single" w:sz="10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研究标的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IC（中证500股指期货）与 IM（中证1000股指期货）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数据区间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策略口径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吃贴水多头 + 基差阈值择时 + 跨期价差套利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评估维度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收益、风险、统计显著性、交易可执行性、可复现性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24"/>
        </w:rPr>
        <w:t>课程项目报告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color w:val="222222"/>
          <w:sz w:val="36"/>
        </w:rPr>
        <w:t>报告结构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摘要：核心结论与收益口径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1. 数据与交易口径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2. 基差与展期收益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3. 吃贴水策略回测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4. 跨期套利策略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5. 统计验证与收益归因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6. 补充分析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7. 风险与局限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8. 结论与建议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附录：图表清单</w:t>
      </w:r>
    </w:p>
    <w:p>
      <w:r>
        <w:br w:type="page"/>
      </w:r>
    </w:p>
    <w:p>
      <w:pPr>
        <w:spacing w:before="200" w:after="320"/>
        <w:jc w:val="center"/>
      </w:pPr>
      <w:r>
        <w:rPr>
          <w:rFonts w:ascii="Times New Roman" w:hAnsi="Times New Roman" w:eastAsia="黑体"/>
          <w:b/>
          <w:i w:val="0"/>
          <w:color w:val="222222"/>
          <w:sz w:val="40"/>
        </w:rPr>
        <w:t>股指期货吃贴水与跨期套利策略研究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主要结论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这份报告研究 IC（中证500股指期货）和 IM（中证1000股指期货）两个品种。我想搞清楚四件事：长期做多贴水期货并展期能不能跑赢现货指数；近月和次近月的价差能不能做成独立的跨期套利；IC 和 IM 放一起能不能改善风险收益特征；策略在不同市场状态下表现差多远，风控手段有没有用。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 研究口径与核心设定：概括报告的研究标的、数据区间、交易假设和评价重点。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口径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研究标的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 与 IM 主力合约，交易标的使用真实合约代码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数据区间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交易假设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日收盘后产生信号，T+1 日按收盘价成交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成本假设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手续费万分之 0.23，滑点 0.2 指数点，合约乘数 200 元/点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策略方向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吃贴水多头、基差阈值择时、近月-次近月跨期价差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评价重点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收益、回撤、统计显著性、交易可执行性、可复现性</w:t>
            </w:r>
          </w:p>
        </w:tc>
      </w:tr>
    </w:tbl>
    <w:p>
      <w:pPr>
        <w:spacing w:line="240" w:lineRule="auto" w:before="0" w:after="40"/>
      </w:pP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样本内，吃贴水多头确实跑赢了指数。IC Always 年化 </w:t>
      </w:r>
      <w:r>
        <w:rPr>
          <w:rFonts w:ascii="Consolas" w:hAnsi="Consolas" w:eastAsia="宋体"/>
          <w:b w:val="0"/>
          <w:i w:val="0"/>
          <w:color w:val="555555"/>
          <w:sz w:val="23"/>
        </w:rPr>
        <w:t>9.62%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，指数才 </w:t>
      </w:r>
      <w:r>
        <w:rPr>
          <w:rFonts w:ascii="Consolas" w:hAnsi="Consolas" w:eastAsia="宋体"/>
          <w:b w:val="0"/>
          <w:i w:val="0"/>
          <w:color w:val="555555"/>
          <w:sz w:val="23"/>
        </w:rPr>
        <w:t>0.83%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；IM Always 年化 </w:t>
      </w:r>
      <w:r>
        <w:rPr>
          <w:rFonts w:ascii="Consolas" w:hAnsi="Consolas" w:eastAsia="宋体"/>
          <w:b w:val="0"/>
          <w:i w:val="0"/>
          <w:color w:val="555555"/>
          <w:sz w:val="23"/>
        </w:rPr>
        <w:t>15.88%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，指数 </w:t>
      </w:r>
      <w:r>
        <w:rPr>
          <w:rFonts w:ascii="Consolas" w:hAnsi="Consolas" w:eastAsia="宋体"/>
          <w:b w:val="0"/>
          <w:i w:val="0"/>
          <w:color w:val="555555"/>
          <w:sz w:val="23"/>
        </w:rPr>
        <w:t>5.31%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。但这个超额不是免费的——IC Always 最大回撤 </w:t>
      </w:r>
      <w:r>
        <w:rPr>
          <w:rFonts w:ascii="Consolas" w:hAnsi="Consolas" w:eastAsia="宋体"/>
          <w:b w:val="0"/>
          <w:i w:val="0"/>
          <w:color w:val="555555"/>
          <w:sz w:val="23"/>
        </w:rPr>
        <w:t>-61.38%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，IM Always 最大回撤 </w:t>
      </w:r>
      <w:r>
        <w:rPr>
          <w:rFonts w:ascii="Consolas" w:hAnsi="Consolas" w:eastAsia="宋体"/>
          <w:b w:val="0"/>
          <w:i w:val="0"/>
          <w:color w:val="555555"/>
          <w:sz w:val="23"/>
        </w:rPr>
        <w:t>-50.81%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。跌起来和指数差不多狠。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Block Bootstrap 的结果：IC 相对指数的 Sharpe 差异 95% 置信区间是 </w:t>
      </w:r>
      <w:r>
        <w:rPr>
          <w:rFonts w:ascii="Consolas" w:hAnsi="Consolas" w:eastAsia="宋体"/>
          <w:b w:val="0"/>
          <w:i w:val="0"/>
          <w:color w:val="555555"/>
          <w:sz w:val="23"/>
        </w:rPr>
        <w:t>[-0.1669, 0.8246]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，p = </w:t>
      </w:r>
      <w:r>
        <w:rPr>
          <w:rFonts w:ascii="Consolas" w:hAnsi="Consolas" w:eastAsia="宋体"/>
          <w:b w:val="0"/>
          <w:i w:val="0"/>
          <w:color w:val="555555"/>
          <w:sz w:val="23"/>
        </w:rPr>
        <w:t>0.1980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；IM 是 </w:t>
      </w:r>
      <w:r>
        <w:rPr>
          <w:rFonts w:ascii="Consolas" w:hAnsi="Consolas" w:eastAsia="宋体"/>
          <w:b w:val="0"/>
          <w:i w:val="0"/>
          <w:color w:val="555555"/>
          <w:sz w:val="23"/>
        </w:rPr>
        <w:t>[-0.4077, 1.0583]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，p = </w:t>
      </w:r>
      <w:r>
        <w:rPr>
          <w:rFonts w:ascii="Consolas" w:hAnsi="Consolas" w:eastAsia="宋体"/>
          <w:b w:val="0"/>
          <w:i w:val="0"/>
          <w:color w:val="555555"/>
          <w:sz w:val="23"/>
        </w:rPr>
        <w:t>0.4100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。两个区间都跨了 0。历史上看到了超额，但统计上不能说这一定不是运气。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市场状态分段把这个问题拆得更清楚。策略收益跟着市场方向走：IC 上涨期年化 </w:t>
      </w:r>
      <w:r>
        <w:rPr>
          <w:rFonts w:ascii="Consolas" w:hAnsi="Consolas" w:eastAsia="宋体"/>
          <w:b w:val="0"/>
          <w:i w:val="0"/>
          <w:color w:val="555555"/>
          <w:sz w:val="23"/>
        </w:rPr>
        <w:t>47.60%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，下跌期 </w:t>
      </w:r>
      <w:r>
        <w:rPr>
          <w:rFonts w:ascii="Consolas" w:hAnsi="Consolas" w:eastAsia="宋体"/>
          <w:b w:val="0"/>
          <w:i w:val="0"/>
          <w:color w:val="555555"/>
          <w:sz w:val="23"/>
        </w:rPr>
        <w:t>-13.10%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；IM 上涨期 </w:t>
      </w:r>
      <w:r>
        <w:rPr>
          <w:rFonts w:ascii="Consolas" w:hAnsi="Consolas" w:eastAsia="宋体"/>
          <w:b w:val="0"/>
          <w:i w:val="0"/>
          <w:color w:val="555555"/>
          <w:sz w:val="23"/>
        </w:rPr>
        <w:t>84.70%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，下跌期 </w:t>
      </w:r>
      <w:r>
        <w:rPr>
          <w:rFonts w:ascii="Consolas" w:hAnsi="Consolas" w:eastAsia="宋体"/>
          <w:b w:val="0"/>
          <w:i w:val="0"/>
          <w:color w:val="555555"/>
          <w:sz w:val="23"/>
        </w:rPr>
        <w:t>-39.00%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。贴水深度有点解释力，但不能拿来当加仓信号。风控版本确实压住了回撤，但收益也一起下去了——策略的贴水补偿就那么薄，减仓就把那点补偿也减没了。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跨期价差的结果最干脆：代表性布林带条件下，IC 和 IM 都没有形成有效触发；16 组参数扫描没有一组取得正 Sharpe。不是阈值没选对，是日频下价差机会太薄，T+1 执行抓不到稳定的回归空间。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我的判断：吃贴水策略是指数多头的增强工具，不是绝对收益套利。赚的是期货贴水结构下的基差收敛和展期补偿，亏的是指数本身的涨跌。跨期价差在这个日频、T+1 框架下没有交易价值。后面要深入的话，两件事优先级最高：拿更高频的数据重跑跨期价差，找和股指 beta 不相关的 alpha 来源。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1. 数据与交易口径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1.1 数据来源与清洗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研究用了 4 个 Excel 文件：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ic_data.xlsx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im_data.xlsx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000905.xlsx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000852.xlsx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。期货数据有合约代码、OHLC、成交量、持仓量、主力标志和基差；指数数据是现货收盘价。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清洗时几个值得注意的地方。期货 Excel 的中文列名含不间断空格（</w:t>
      </w:r>
      <w:r>
        <w:rPr>
          <w:rFonts w:ascii="Consolas" w:hAnsi="Consolas" w:eastAsia="宋体"/>
          <w:b w:val="0"/>
          <w:i w:val="0"/>
          <w:color w:val="555555"/>
          <w:sz w:val="23"/>
        </w:rPr>
        <w:t>\xa0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），得先清掉再映射。连续合约序列只在图里用，回测只跑 </w:t>
      </w:r>
      <w:r>
        <w:rPr>
          <w:rFonts w:ascii="Consolas" w:hAnsi="Consolas" w:eastAsia="宋体"/>
          <w:b w:val="0"/>
          <w:i w:val="0"/>
          <w:color w:val="555555"/>
          <w:sz w:val="23"/>
        </w:rPr>
        <w:t>IC2306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IM2409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这种真实合约。主力合约直接用数据自带的 </w:t>
      </w:r>
      <w:r>
        <w:rPr>
          <w:rFonts w:ascii="Consolas" w:hAnsi="Consolas" w:eastAsia="宋体"/>
          <w:b w:val="0"/>
          <w:i w:val="0"/>
          <w:color w:val="555555"/>
          <w:sz w:val="23"/>
        </w:rPr>
        <w:t>main_force == 1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筛，不手工拼。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2 数据质量检查：对比 IC 与 IM 的原始样本量、主力合约样本量、指数匹配率和合约切换统计。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检查项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全量期货样本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10568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3488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主力合约样本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2642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872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主力样本日期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2015-04-16 ~ 2026-03-02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2022-07-22 ~ 2026-03-02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主力合约切换次数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 次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 次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指数匹配率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距到期日范围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 ~ 50 天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 ~ 50 天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合约切换跳空范围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-13.96% ~ 4.25%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-4.91% ~ 4.28%</w:t>
            </w:r>
          </w:p>
        </w:tc>
      </w:tr>
    </w:tbl>
    <w:p>
      <w:pPr>
        <w:spacing w:line="240" w:lineRule="auto" w:before="0" w:after="40"/>
      </w:pP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样本明显更长，2015 年到现在多个市场阶段都覆盖了；IM 从 2022 年才开始，样本期短，结论的稳定性天然弱一些。后面谈 IM 的判断都按这个前提看。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1.2 回测假设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所有策略用同一套交易口径：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3 回测假设与交易口径：统一所有策略的信号时点、成交时点、合约选择、展期规则和成本设定。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设定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日收盘后，根据当日可见数据计算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成交时点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T+1 日收盘价成交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合约选择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使用真实期货合约，不使用连续合约作为交易标的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展期规则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到期前固定窗口换至下一主力/次近月合约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+ 滑点逐笔扣除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逐日盯市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按实际持有合约的收盘价计算每日盈亏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初始资金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1,000,000 元</w:t>
            </w:r>
          </w:p>
        </w:tc>
      </w:tr>
    </w:tbl>
    <w:p>
      <w:pPr>
        <w:spacing w:line="240" w:lineRule="auto" w:before="0" w:after="40"/>
      </w:pP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这里面最要紧的是"按实际持有合约逐日盯市"。如果直接拿主力连续合约算收益，换月当天的跳空会被重复计入，收益会虚高。交易流水里我专门查了展期记录——所有换仓的旧合约和新合约都不相同，没有同合约重复换仓的问题。</w:t>
      </w:r>
    </w:p>
    <w:p>
      <w:pPr>
        <w:sectPr>
          <w:headerReference w:type="default" r:id="rId9"/>
          <w:footerReference w:type="default" r:id="rId10"/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2. 基差与展期收益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2.1 基差的经济含义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本报告定义：</w:t>
      </w:r>
    </w:p>
    <w:p>
      <w:pPr>
        <w:spacing w:lineRule="exact" w:line="400" w:after="120"/>
        <w:ind w:firstLine="420"/>
        <w:jc w:val="both"/>
      </w:pPr>
      <w:r>
        <w:rPr>
          <w:rFonts w:ascii="Consolas" w:hAnsi="Consolas" w:eastAsia="宋体"/>
          <w:b w:val="0"/>
          <w:i w:val="0"/>
          <w:color w:val="555555"/>
          <w:sz w:val="23"/>
        </w:rPr>
        <w:t>基差 = 期货收盘价 - 指数收盘价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基差为负就是期货贴水。贴水的时候，期货价格临近到期通常往现货靠。多头拿着贴水合约，一边扛着指数的方向风险，一边争取基差收敛和展期补偿。逻辑没问题，但这不是无风险的——指数真跌起来，基差收敛那点钱根本补不上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2.2 均值回复和预测能力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4 基差率统计特征与预测能力：ADF 均值回复检验、半衰期、基差对期货和指数前瞻收益的预测 IC。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统计量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-5.04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-6.37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半衰期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1.1 天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0.9 天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期货收益 Pearson IC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0.0725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0.0111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期货收益 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0.7436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指数收益 Pearson IC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-0.7985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-0.9206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指数收益 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</w:tr>
    </w:tbl>
    <w:p>
      <w:pPr>
        <w:spacing w:line="240" w:lineRule="auto" w:before="0" w:after="40"/>
      </w:pP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基差率的均值回复特征很强，半衰期也短。但得把两件事分开：基差会回归 ≠ 基差能预测指数涨跌。更接近事实的说法是，贴水结构给期货多头提供了一部分对现货的补偿——补偿来自期货价格往现货靠，不是来自精准判断了指数方向。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2.3 展期收益分布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5 展期收益分布统计：IC 与 IM 各展期段的累计收益分布，包含均值、中位数和正收益占比。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展期段数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平均每段展期收益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0.19%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0.86%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展期收益中位数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0.30%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0.52%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正收益占比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51.9%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54.5%</w:t>
            </w:r>
          </w:p>
        </w:tc>
      </w:tr>
    </w:tbl>
    <w:p>
      <w:pPr>
        <w:spacing w:line="240" w:lineRule="auto" w:before="0" w:after="40"/>
      </w:pP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ll_y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 展期收益分布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说明：展示每段主力持有周期的累计收益分布。IC 和 IM 的均值都为正，说明样本期内展期机制确实带来补偿，但正收益占比仅略高于一半，单次换仓仍有很大不确定性。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 是每段主力持有周期的累计收益分布。IC 和 IM 的均值都为正——展期机制确实在给补偿。但正收益占比刚过一半，不是每次都赚。长期来看贴水给了正期望，单次换仓该亏还是亏。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3. 吃贴水策略回测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3.1 策略设计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测了两类策略：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1. 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Always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：始终持有主力合约，到期前展期。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2. 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B&lt;-1.5%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：基差率低于 </w:t>
      </w:r>
      <w:r>
        <w:rPr>
          <w:rFonts w:ascii="Consolas" w:hAnsi="Consolas" w:eastAsia="宋体"/>
          <w:b w:val="0"/>
          <w:i w:val="0"/>
          <w:color w:val="555555"/>
          <w:sz w:val="23"/>
        </w:rPr>
        <w:t>-1.5%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时才做多，否则空仓。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Always 基本就是期货版指数多头，完整吃市场涨跌。基差阈值策略只在贴水较深时参与，放弃了部分上涨，换更低的波动和回撤。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3.2 主要绩效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6 吃贴水策略主要绩效：比较 Always、B&lt;-1.5% 和指数基准在 IC 与 IM 上的收益、风险与交易统计。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年化波动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最大回撤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Calmar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胜率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VaR95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交易笔数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9.62%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30.05%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-61.38%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172.49%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-1.78%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7.04%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-34.85%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33.2%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110.21%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-1.67%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846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24.83%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-65.20%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9.43%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-2.34%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15.88%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32.71%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-50.81%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70.08%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-2.90%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45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-12.82%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31.3%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44.84%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-1.49%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282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5.31%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23.74%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-41.60%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20.50%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-2.29%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</w:t>
            </w:r>
          </w:p>
        </w:tc>
      </w:tr>
    </w:tbl>
    <w:p>
      <w:pPr>
        <w:spacing w:line="240" w:lineRule="auto" w:before="0" w:after="40"/>
      </w:pP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a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2 策略净值曲线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说明：比较吃贴水策略与现货指数的净值走势。Always 策略在 IC 和 IM 上都明显高于对应指数基准，但不是平滑套利曲线，而是跟随市场波动的大幅起伏。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2 很直观：Always 在 IC 和 IM 上都把指数甩开了。贴水结构确实在给长期补偿。但净值曲线也说了另一件事——它不是平滑的套利线，是跟着市场大幅上下。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72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nn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3 年度收益拆分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说明：按自然年展示策略和基准的收益对比。年度收益波动很大，基差阈值策略在某些下跌阶段有帮助，但空仓会降低回撤也会错过部分上涨。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3 的年度收益波动很大。IC 经历过明显亏损的年份，也经历过反弹行情的高收益。基差阈值策略在部分下跌期帮了忙，但不是免费保护——空仓把下跌躲了，也把一些上涨错过了。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wdow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4 回撤曲线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说明：比较策略与指数的回撤深度和修复过程。IC Always 最大回撤 -61.38%，IM Always -50.81%，超过多数绝对收益资金可接受范围，更适合作为方向性配置工具。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图 4 是这份报告里最该重视的图。IC Always 最大回撤 </w:t>
      </w:r>
      <w:r>
        <w:rPr>
          <w:rFonts w:ascii="Consolas" w:hAnsi="Consolas" w:eastAsia="宋体"/>
          <w:b w:val="0"/>
          <w:i w:val="0"/>
          <w:color w:val="555555"/>
          <w:sz w:val="23"/>
        </w:rPr>
        <w:t>-61.38%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，IM Always 最大回撤 </w:t>
      </w:r>
      <w:r>
        <w:rPr>
          <w:rFonts w:ascii="Consolas" w:hAnsi="Consolas" w:eastAsia="宋体"/>
          <w:b w:val="0"/>
          <w:i w:val="0"/>
          <w:color w:val="555555"/>
          <w:sz w:val="23"/>
        </w:rPr>
        <w:t>-50.81%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。这个幅度，多数绝对收益资金的风控线已经穿了。它更适合做成指数增强或方向性配置，不是独立低波动策略。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6475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64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5 参数敏感性热力图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说明：展示基差阈值与展期窗口对 Sharpe 和 MaxDD 的影响。展期窗口从 1 天到 5 天影响不大，基差阈值影响更明显，但 IM 样本期短，不能将阈值当作稳定最优参数。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5 扫了基差阈值和展期窗口。展期窗口 1 天改 3 天、5 天，结果差不多。基差阈值的影响更明显。IM B&lt;-1.5% 在样本内确实好看，但 IM 才三年多的数据，不能拿这个阈值当稳定最优参数。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3.3 交易可执行性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全策略覆盖了 </w:t>
      </w:r>
      <w:r>
        <w:rPr>
          <w:rFonts w:ascii="Consolas" w:hAnsi="Consolas" w:eastAsia="宋体"/>
          <w:b w:val="0"/>
          <w:i w:val="0"/>
          <w:color w:val="555555"/>
          <w:sz w:val="23"/>
        </w:rPr>
        <w:t>5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个基差阈值 × </w:t>
      </w:r>
      <w:r>
        <w:rPr>
          <w:rFonts w:ascii="Consolas" w:hAnsi="Consolas" w:eastAsia="宋体"/>
          <w:b w:val="0"/>
          <w:i w:val="0"/>
          <w:color w:val="555555"/>
          <w:sz w:val="23"/>
        </w:rPr>
        <w:t>3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个展期窗口 × </w:t>
      </w:r>
      <w:r>
        <w:rPr>
          <w:rFonts w:ascii="Consolas" w:hAnsi="Consolas" w:eastAsia="宋体"/>
          <w:b w:val="0"/>
          <w:i w:val="0"/>
          <w:color w:val="555555"/>
          <w:sz w:val="23"/>
        </w:rPr>
        <w:t>2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个品种。所有展期记录里，同合约换仓 </w:t>
      </w:r>
      <w:r>
        <w:rPr>
          <w:rFonts w:ascii="Consolas" w:hAnsi="Consolas" w:eastAsia="宋体"/>
          <w:b w:val="0"/>
          <w:i w:val="0"/>
          <w:color w:val="555555"/>
          <w:sz w:val="23"/>
        </w:rPr>
        <w:t>0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次。策略确实在用不同合约做展期，没有偷偷把连续合约的跳变当收益。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3.4 样本外验证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数据按时间切成训练期（2015-2020）和测试期（2021-2026）。IM 样本太短，不硬拆了，改用滚动窗口观察。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7 样本外验证结果：IC 按时间划分的训练期与测试期绩效对比。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数据集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年化收益%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年化波动%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最大回撤%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胜率%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VaR95%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训练集 (2015-2020)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-6.03%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62.84%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-0.14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-85.77%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51.9%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测试集 (2021-2026)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7.24%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29.02%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0.15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-54.12%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50.6%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</w:t>
            </w:r>
          </w:p>
        </w:tc>
      </w:tr>
    </w:tbl>
    <w:p>
      <w:pPr>
        <w:spacing w:line="240" w:lineRule="auto" w:before="0" w:after="40"/>
      </w:pP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857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8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6 样本外验证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说明：IC 按 60/40 时间划分的训练期和测试期净值对比。测试期表现好于训练期，但测试期最大回撤仍达 -54.12%，不应解读为策略已通过样本外检验。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测试期比训练期好，但不代表策略过了样本外检验。训练期里装着 2015 年股灾、2016 年熔断、2018 年熊市，极端行情把回撤和收益都拖垮了。测试期虽然正值，最大回撤还是 </w:t>
      </w:r>
      <w:r>
        <w:rPr>
          <w:rFonts w:ascii="Consolas" w:hAnsi="Consolas" w:eastAsia="宋体"/>
          <w:b w:val="0"/>
          <w:i w:val="0"/>
          <w:color w:val="555555"/>
          <w:sz w:val="23"/>
        </w:rPr>
        <w:t>-54.12%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。能说的是贴水补偿近年还有延续，但策略对市场阶段太敏感，一段测试期看不出长期稳不稳。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3.5 市场状态分段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把全部交易日按三个维度切开：市场方向（涨/跌）、贴水深度（高贴水/低贴水或升水）、波动率（高/低）。每个子集单独算 Always 策略的绩效。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8 市场状态分段绩效：按市场方向、贴水深度和波动率水平三个维度分段的 Always 策略绩效。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状态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天数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年化波动%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上涨期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1264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47.6%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16.0%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2.79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下跌期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1319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-13.1%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34.2%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-0.47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高贴水期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1320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8.8%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36.7%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0.16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低贴水/升水期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1321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18.6%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21.4%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0.73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1291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31.4%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36.5%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0.78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1292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1.8%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10.9%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-0.11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上涨期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410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84.7%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29.4%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2.78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下跌期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-39.0%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35.3%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-1.19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高贴水期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435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22.7%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36.6%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0.54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低贴水/升水期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436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17.5%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28.3%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0.51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36.3%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41.6%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10.5%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20.4%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0.37</w:t>
            </w:r>
          </w:p>
        </w:tc>
      </w:tr>
    </w:tbl>
    <w:p>
      <w:pPr>
        <w:spacing w:line="240" w:lineRule="auto" w:before="0" w:after="40"/>
      </w:pP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48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gime_segment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48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7 市场状态分段分析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说明：按市场方向、贴水深度、波动率水平三个维度将交易日分段，展示各子集 Always 策略绩效。策略首先是权益方向暴露，贴水深度也有一定信息但不是独立的择时开关。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策略第一性是权益方向暴露，这个结论分段表里一看就明白。涨跌期的收益差距巨大，IM 尤甚。贴水深不深也有信息量，但不是独立的择时开关：IC 高贴水期年化 </w:t>
      </w:r>
      <w:r>
        <w:rPr>
          <w:rFonts w:ascii="Consolas" w:hAnsi="Consolas" w:eastAsia="宋体"/>
          <w:b w:val="0"/>
          <w:i w:val="0"/>
          <w:color w:val="555555"/>
          <w:sz w:val="23"/>
        </w:rPr>
        <w:t>8.80%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，低贴水/升水期反而 </w:t>
      </w:r>
      <w:r>
        <w:rPr>
          <w:rFonts w:ascii="Consolas" w:hAnsi="Consolas" w:eastAsia="宋体"/>
          <w:b w:val="0"/>
          <w:i w:val="0"/>
          <w:color w:val="555555"/>
          <w:sz w:val="23"/>
        </w:rPr>
        <w:t>18.60%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——贴水补偿和市场方向经常搅在一起。实盘不能因为贴水深就机械加仓。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3.6 风险控制版本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测了两种简单风控：波动率目标（年化波动压到 15%）和最大回撤控制（回撤超 20% 后逐步降仓）。目的不是优化收益，是看策略能不能被改造成产品可用的形态。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9 风险控制版本绩效对比：比较原始策略、波动率目标和回撤控制版本的收益与回撤。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03"/>
        <w:gridCol w:w="1803"/>
        <w:gridCol w:w="1803"/>
        <w:gridCol w:w="1803"/>
        <w:gridCol w:w="1803"/>
      </w:tblGrid>
      <w:tr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策略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最大回撤%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原始 Always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9.62%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-61.38%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波动率目标 15%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-0.09%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-0.20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-49.88%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回撤控制 20%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0.92%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-0.33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-23.63%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原始 Always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15.88%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0.39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-50.81%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波动率目标 15%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1.36%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-0.11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-38.66%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回撤控制 20%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-4.83%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-1.03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-20.20%</w:t>
            </w:r>
          </w:p>
        </w:tc>
      </w:tr>
    </w:tbl>
    <w:p>
      <w:pPr>
        <w:spacing w:line="240" w:lineRule="auto" w:before="0" w:after="40"/>
      </w:pP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46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ntro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4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8 风险控制策略净值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说明：比较原始策略、波动率目标 15% 和回撤控制 20% 三个版本的净值走势。风控降低了回撤但收益同步被削弱，策略的贴水补偿本身不够厚，经不起降杠杆和频繁调仓的摩擦。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风控把回撤降下来了。IC 回撤控制版从 </w:t>
      </w:r>
      <w:r>
        <w:rPr>
          <w:rFonts w:ascii="Consolas" w:hAnsi="Consolas" w:eastAsia="宋体"/>
          <w:b w:val="0"/>
          <w:i w:val="0"/>
          <w:color w:val="555555"/>
          <w:sz w:val="23"/>
        </w:rPr>
        <w:t>-61.38%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压到 </w:t>
      </w:r>
      <w:r>
        <w:rPr>
          <w:rFonts w:ascii="Consolas" w:hAnsi="Consolas" w:eastAsia="宋体"/>
          <w:b w:val="0"/>
          <w:i w:val="0"/>
          <w:color w:val="555555"/>
          <w:sz w:val="23"/>
        </w:rPr>
        <w:t>-23.63%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，IM 也压到了 </w:t>
      </w:r>
      <w:r>
        <w:rPr>
          <w:rFonts w:ascii="Consolas" w:hAnsi="Consolas" w:eastAsia="宋体"/>
          <w:b w:val="0"/>
          <w:i w:val="0"/>
          <w:color w:val="555555"/>
          <w:sz w:val="23"/>
        </w:rPr>
        <w:t>-20.20%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。代价是收益一起没了——IM 回撤控制版年化直接变 </w:t>
      </w:r>
      <w:r>
        <w:rPr>
          <w:rFonts w:ascii="Consolas" w:hAnsi="Consolas" w:eastAsia="宋体"/>
          <w:b w:val="0"/>
          <w:i w:val="0"/>
          <w:color w:val="555555"/>
          <w:sz w:val="23"/>
        </w:rPr>
        <w:t>-4.83%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。贴水补偿就这么点厚，一降仓就削没了。实盘要做的话，更好的思路是在组合层面管权益敞口，别指望单策略的风控能提 Sharpe。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4. 跨期套利策略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4.1 策略逻辑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跨期套利做近月和次近月的价差。逻辑简单：价差偏离滚动均值超过 K 倍标准差就开仓，等回归后平仓。参数扫了 </w:t>
      </w:r>
      <w:r>
        <w:rPr>
          <w:rFonts w:ascii="Consolas" w:hAnsi="Consolas" w:eastAsia="宋体"/>
          <w:b w:val="0"/>
          <w:i w:val="0"/>
          <w:color w:val="555555"/>
          <w:sz w:val="23"/>
        </w:rPr>
        <w:t>K ∈ {1.0, 1.5, 2.0, 2.5}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lookback ∈ {30, 60, 90, 120}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，一共 </w:t>
      </w:r>
      <w:r>
        <w:rPr>
          <w:rFonts w:ascii="Consolas" w:hAnsi="Consolas" w:eastAsia="宋体"/>
          <w:b w:val="0"/>
          <w:i w:val="0"/>
          <w:color w:val="555555"/>
          <w:sz w:val="23"/>
        </w:rPr>
        <w:t>16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组。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72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9 跨期价差与布林带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说明：展示近月-次近月价差序列及其滚动均值和布林带边界。价差突破布林带后并不总是快速回归，日频下价差回归幅度较小，扣除双边成本后很难留下足够利润。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9 能看到价差在均值附近晃，但突破布林带后不总是快速回去。日频下回归幅度小，扣掉双边成本剩不下什么。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4.2 回测结果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T+1 执行下，IC 和 IM 都是 </w:t>
      </w:r>
      <w:r>
        <w:rPr>
          <w:rFonts w:ascii="Consolas" w:hAnsi="Consolas" w:eastAsia="宋体"/>
          <w:b w:val="0"/>
          <w:i w:val="0"/>
          <w:color w:val="555555"/>
          <w:sz w:val="23"/>
        </w:rPr>
        <w:t>0/16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组参数取得正 Sharpe。有些参数触发了交易，但收益不是负值就是接近零；更多参数压根没形成有效交易。日频布林带规则不适合做独立跨期套利。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4.3 失败原因拆解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"没有交易价值"这个结论还不够——得说清楚为什么。下面把信号触发、执行摩擦和参数结果拆开。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10 代表性布林带参数下的信号统计：展示跨期套利在代表性参数下的信号触发率和方向正确率。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19"/>
        <w:gridCol w:w="819"/>
        <w:gridCol w:w="819"/>
        <w:gridCol w:w="819"/>
        <w:gridCol w:w="819"/>
        <w:gridCol w:w="819"/>
        <w:gridCol w:w="819"/>
        <w:gridCol w:w="819"/>
        <w:gridCol w:w="819"/>
        <w:gridCol w:w="819"/>
        <w:gridCol w:w="819"/>
      </w:tblGrid>
      <w:tr>
        <w:tc>
          <w:tcPr>
            <w:tcW w:type="dxa" w:w="819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819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信号总数</w:t>
            </w:r>
          </w:p>
        </w:tc>
        <w:tc>
          <w:tcPr>
            <w:tcW w:type="dxa" w:w="819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信号频率%</w:t>
            </w:r>
          </w:p>
        </w:tc>
        <w:tc>
          <w:tcPr>
            <w:tcW w:type="dxa" w:w="819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价差均值(点)</w:t>
            </w:r>
          </w:p>
        </w:tc>
        <w:tc>
          <w:tcPr>
            <w:tcW w:type="dxa" w:w="819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价差波动(点)</w:t>
            </w:r>
          </w:p>
        </w:tc>
        <w:tc>
          <w:tcPr>
            <w:tcW w:type="dxa" w:w="819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平均偏离(点)</w:t>
            </w:r>
          </w:p>
        </w:tc>
        <w:tc>
          <w:tcPr>
            <w:tcW w:type="dxa" w:w="819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T+1方向正确率%</w:t>
            </w:r>
          </w:p>
        </w:tc>
        <w:tc>
          <w:tcPr>
            <w:tcW w:type="dxa" w:w="819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T+1平均价差变化(点)</w:t>
            </w:r>
          </w:p>
        </w:tc>
        <w:tc>
          <w:tcPr>
            <w:tcW w:type="dxa" w:w="819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单笔成本(点)</w:t>
            </w:r>
          </w:p>
        </w:tc>
        <w:tc>
          <w:tcPr>
            <w:tcW w:type="dxa" w:w="819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参数组总数</w:t>
            </w:r>
          </w:p>
        </w:tc>
        <w:tc>
          <w:tcPr>
            <w:tcW w:type="dxa" w:w="819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正Sharpe组数</w:t>
            </w:r>
          </w:p>
        </w:tc>
      </w:tr>
      <w:tr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0.0%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0.0%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16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</w:tr>
      <w:tr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0.0%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0.0%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16</w:t>
            </w:r>
          </w:p>
        </w:tc>
        <w:tc>
          <w:tcPr>
            <w:tcW w:type="dxa" w:w="819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</w:tr>
    </w:tbl>
    <w:p>
      <w:pPr>
        <w:spacing w:line="240" w:lineRule="auto" w:before="0" w:after="40"/>
      </w:pP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37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_fail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3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10 跨期套利信号拆解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说明：展示代表性布林带参数下的信号分布和 T+1 执行后的实际收益。日频收盘价下可捕捉偏离太少，T+1 执行进一步错过短暂回归机会。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代表性布林带条件下没有形成有效触发，完整参数扫描也没有正 Sharpe 组合。这比"成本太高"更根本——日频收盘价下，近月和次近月价差的可捕捉偏离太少，T+1 执行又把可能存在的短暂回归错过了。后续研究跨期价差，第一步不是继续在日频参数上做网格搜索，是换成分钟级行情和盘口数据。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5. 统计验证与收益归因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5.1 Bootstrap 检验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11 跨期套利信号拆解：拆解跨期套利信号的理论获利空间、T+1 执行滞后损益和成本结构。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观测 Sharpe 差异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下限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上限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p 值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是否覆盖 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0.3051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-0.1669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0.8246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0.1980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是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0.2864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-0.4077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1.0583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0.4100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是</w:t>
            </w:r>
          </w:p>
        </w:tc>
      </w:tr>
    </w:tbl>
    <w:p>
      <w:pPr>
        <w:spacing w:line="240" w:lineRule="auto" w:before="0" w:after="40"/>
      </w:pP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11 Bootstrap 显著性检验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说明：展示策略相对指数 Sharpe 差异的 Block Bootstrap 重采样分布。两个品种的置信区间都覆盖 0，不能认为策略在统计意义上显著优于指数。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Bootstrap 的结论很关键。策略相对指数的 Sharpe 差异是正的，但置信区间跨了 0。换句话：历史样本里看到了超额，但统计上没法排除"这只是样本波动"。IM 的区间更宽——样本更短嘛。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5.2 无截距收益归因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用无截距回归：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策略收益 = β × 指数收益 + 残差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。策略收益被拆成"指数驱动"和"其他来源"两块。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12 Bootstrap 显著性检验：Block Bootstrap 重采样下的 Sharpe 差异分布、置信区间和 p 值。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Beta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残差年化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Newey-West t 值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跟踪误差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信息比率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13.79%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-0.71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30.04%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0.46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8.33%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17.80%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0.47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19.11%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32.67%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0.59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0.37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12.74%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0.87</w:t>
            </w:r>
          </w:p>
        </w:tc>
      </w:tr>
    </w:tbl>
    <w:p>
      <w:pPr>
        <w:spacing w:line="240" w:lineRule="auto" w:before="0" w:after="40"/>
      </w:pP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85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t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12 收益归因分解（无截距）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说明：将策略收益拆解为 beta 驱动的指数收益和残差两部分。Beta 很低，R² 接近 0，日收益中包含大量换仓跳跃、贴水收敛和期货自身价格路径的影响。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Beta 很低，R² 也接近 0。同期指数日收益拿去解释策略日收益效果很差——策略日收益里混了大量换仓跳跃、贴水收敛和期货自身价格路径的东西，简单一元回归拆不干净。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5.3 有截距 CAPM 归因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加了截距项：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策略收益 = α + β × 指数收益 + ε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。α 衡量扣掉指数 beta 暴露之后的平均日超额。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13 无截距收益归因：将策略日收益按无截距模型拆解为指数驱动和残差两部分。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alpha_annual%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t_alpha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beta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t_beta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beta_无截距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R²_无截距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N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13.79%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-1.28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2641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8.33%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1.55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0.0005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0.0005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2641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19.12%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1.79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0.0037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0.085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0.0038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871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1.64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0.008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871</w:t>
            </w:r>
          </w:p>
        </w:tc>
      </w:tr>
    </w:tbl>
    <w:p>
      <w:pPr>
        <w:spacing w:line="240" w:lineRule="auto" w:before="0" w:after="40"/>
      </w:pP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7198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pm_attribu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1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13 有截距 CAPM 归因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说明：加入截距项后的 CAPM 归因结果。日频下 α 为正但 t 值均低于 2，不能认为有稳定独立 alpha。月频回归 Beta 约 0.67-0.76，更符合金融直觉。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日频 CAPM 下 α 为正，但 t 值全低于 2——谈不上有稳定的独立 alpha。β 和 R² 也偏低，同期指数日收益解释不了多少策略日收益。这不等于策略没权益风险，是日频收益里合约切换、展期、基差收敛和现金时段这些东西搅在一起，噪声太大。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拿月度收益重新跑一次，当稳健性检查：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14 有截距 CAPM 归因：加入截距项后的日频 CAPM 归因，α 衡量扣除指数 beta 后的平均日超额。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alpha年化%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t(alpha)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beta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t(beta)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月数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9.16%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1.94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0.67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12.98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0.566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131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11.07%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1.32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0.76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8.82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0.649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</w:t>
            </w:r>
          </w:p>
        </w:tc>
      </w:tr>
    </w:tbl>
    <w:p>
      <w:pPr>
        <w:spacing w:line="240" w:lineRule="auto" w:before="0" w:after="40"/>
      </w:pP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月频结果直觉上好理解多了：IC Always β 约 </w:t>
      </w:r>
      <w:r>
        <w:rPr>
          <w:rFonts w:ascii="Consolas" w:hAnsi="Consolas" w:eastAsia="宋体"/>
          <w:b w:val="0"/>
          <w:i w:val="0"/>
          <w:color w:val="555555"/>
          <w:sz w:val="23"/>
        </w:rPr>
        <w:t>0.67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，IM Always β 约 </w:t>
      </w:r>
      <w:r>
        <w:rPr>
          <w:rFonts w:ascii="Consolas" w:hAnsi="Consolas" w:eastAsia="宋体"/>
          <w:b w:val="0"/>
          <w:i w:val="0"/>
          <w:color w:val="555555"/>
          <w:sz w:val="23"/>
        </w:rPr>
        <w:t>0.76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，R² 各 </w:t>
      </w:r>
      <w:r>
        <w:rPr>
          <w:rFonts w:ascii="Consolas" w:hAnsi="Consolas" w:eastAsia="宋体"/>
          <w:b w:val="0"/>
          <w:i w:val="0"/>
          <w:color w:val="555555"/>
          <w:sz w:val="23"/>
        </w:rPr>
        <w:t>0.566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和 </w:t>
      </w:r>
      <w:r>
        <w:rPr>
          <w:rFonts w:ascii="Consolas" w:hAnsi="Consolas" w:eastAsia="宋体"/>
          <w:b w:val="0"/>
          <w:i w:val="0"/>
          <w:color w:val="555555"/>
          <w:sz w:val="23"/>
        </w:rPr>
        <w:t>0.649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。策略有实打实的权益方向暴露，只是日频回归被期货合约和展期噪声稀释了。我的归因结论：收益来自权益 beta、贴水收敛和展期补偿的混合，别把日频残差直接当纯 alpha。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6. 补充分析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6.1 成本压力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0281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st_str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02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14 成本压力测试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说明：将交易成本从 1 倍逐级放大到 10 倍，观察策略年化收益的变化。策略换手低，对交易成本不敏感，成本不是主要矛盾。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Always 对交易成本不敏感。理由很简单：策略换手低，主要交易在展期时发生，期货手续费相对名义本金金额很小。就算成本拉到基准的 10 倍，年化收益下降也有限。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但这不等于策略稳健。成本从来不是主要矛盾——主要矛盾是市场方向风险和贴水结构能不能持续。未来如果股指期货贴水大幅收窄，甚至转入长期升水，收益来源就弱了。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6.2 IC 与 IM 的组合价值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546670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rel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466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15 IC-IM 日收益相关性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说明：IC 与 IM 吃贴水策略日收益的散点图和回归线。相关性约 0.95，二者高度同涨同跌，简单组合不能形成有效分散。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IC 和 IM 日收益相关性约 </w:t>
      </w:r>
      <w:r>
        <w:rPr>
          <w:rFonts w:ascii="Consolas" w:hAnsi="Consolas" w:eastAsia="宋体"/>
          <w:b w:val="0"/>
          <w:i w:val="0"/>
          <w:color w:val="555555"/>
          <w:sz w:val="23"/>
        </w:rPr>
        <w:t>0.95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，几乎同步。两个品种放一起不能有效分散。在私募组合管理里，IC 和 IM 更像是同一种权益 beta 暴露换了两个载体，不是两条独立收益曲线。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6.3 交易制度与资金占用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实盘做吃贴水，制度层面的约束绕不开。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保证金与杠杆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。中金所股指期货保证金通常在 </w:t>
      </w:r>
      <w:r>
        <w:rPr>
          <w:rFonts w:ascii="Consolas" w:hAnsi="Consolas" w:eastAsia="宋体"/>
          <w:b w:val="0"/>
          <w:i w:val="0"/>
          <w:color w:val="555555"/>
          <w:sz w:val="23"/>
        </w:rPr>
        <w:t>12%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左右。IC 当前约 </w:t>
      </w:r>
      <w:r>
        <w:rPr>
          <w:rFonts w:ascii="Consolas" w:hAnsi="Consolas" w:eastAsia="宋体"/>
          <w:b w:val="0"/>
          <w:i w:val="0"/>
          <w:color w:val="555555"/>
          <w:sz w:val="23"/>
        </w:rPr>
        <w:t>5500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点，一手名义本金约 </w:t>
      </w:r>
      <w:r>
        <w:rPr>
          <w:rFonts w:ascii="Consolas" w:hAnsi="Consolas" w:eastAsia="宋体"/>
          <w:b w:val="0"/>
          <w:i w:val="0"/>
          <w:color w:val="555555"/>
          <w:sz w:val="23"/>
        </w:rPr>
        <w:t>110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万（</w:t>
      </w:r>
      <w:r>
        <w:rPr>
          <w:rFonts w:ascii="Consolas" w:hAnsi="Consolas" w:eastAsia="宋体"/>
          <w:b w:val="0"/>
          <w:i w:val="0"/>
          <w:color w:val="555555"/>
          <w:sz w:val="23"/>
        </w:rPr>
        <w:t>5500 × 200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），保证金约 </w:t>
      </w:r>
      <w:r>
        <w:rPr>
          <w:rFonts w:ascii="Consolas" w:hAnsi="Consolas" w:eastAsia="宋体"/>
          <w:b w:val="0"/>
          <w:i w:val="0"/>
          <w:color w:val="555555"/>
          <w:sz w:val="23"/>
        </w:rPr>
        <w:t>13.2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万。初始资金 </w:t>
      </w:r>
      <w:r>
        <w:rPr>
          <w:rFonts w:ascii="Consolas" w:hAnsi="Consolas" w:eastAsia="宋体"/>
          <w:b w:val="0"/>
          <w:i w:val="0"/>
          <w:color w:val="555555"/>
          <w:sz w:val="23"/>
        </w:rPr>
        <w:t>100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万，保守持有 </w:t>
      </w:r>
      <w:r>
        <w:rPr>
          <w:rFonts w:ascii="Consolas" w:hAnsi="Consolas" w:eastAsia="宋体"/>
          <w:b w:val="0"/>
          <w:i w:val="0"/>
          <w:color w:val="555555"/>
          <w:sz w:val="23"/>
        </w:rPr>
        <w:t>3-5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手，杠杆 </w:t>
      </w:r>
      <w:r>
        <w:rPr>
          <w:rFonts w:ascii="Consolas" w:hAnsi="Consolas" w:eastAsia="宋体"/>
          <w:b w:val="0"/>
          <w:i w:val="0"/>
          <w:color w:val="555555"/>
          <w:sz w:val="23"/>
        </w:rPr>
        <w:t>3-5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倍。想再往上加，账户里得留足现金应对逐日盯市的浮亏——盘中保证金不够又没及时补，期货公司会强平。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展期操作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主力合约换月那几天，成交量从近月往次近月移。换仓当天要平旧合约、开新合约，中间有一小段双边持仓期，保证金占用翻倍。资金刚好卡在边缘的话，要提前准备现金缓冲。实操中可以把展期拆到两三天完成，降低瞬时资金压力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交易限制的历史变化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。2015 年股灾后中金所把保证金从 </w:t>
      </w:r>
      <w:r>
        <w:rPr>
          <w:rFonts w:ascii="Consolas" w:hAnsi="Consolas" w:eastAsia="宋体"/>
          <w:b w:val="0"/>
          <w:i w:val="0"/>
          <w:color w:val="555555"/>
          <w:sz w:val="23"/>
        </w:rPr>
        <w:t>10%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猛提到 </w:t>
      </w:r>
      <w:r>
        <w:rPr>
          <w:rFonts w:ascii="Consolas" w:hAnsi="Consolas" w:eastAsia="宋体"/>
          <w:b w:val="0"/>
          <w:i w:val="0"/>
          <w:color w:val="555555"/>
          <w:sz w:val="23"/>
        </w:rPr>
        <w:t>40%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，限制日内开平仓次数，平今仓手续费也涨了。2017-2019 年逐步松绑，2022 年后基本恢复常态。但制度这东西没法预测——市场再出大波动，限制随时可能回来。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合约流动性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。主力合约流动性够用，单笔几十手对价格冲击可以忽略。但规模上到几百手以上，展期日就得注意分时分布了——别全堆在收盘前几分钟一起换，旧合约会被压低、新合约会被抬高，产生额外的展期磨损。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7. 风险与局限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方向风险是最重的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。吃贴水看着像期货展期策略，实质还是拴在股票指数上。历史最大回撤超过 </w:t>
      </w:r>
      <w:r>
        <w:rPr>
          <w:rFonts w:ascii="Consolas" w:hAnsi="Consolas" w:eastAsia="宋体"/>
          <w:b w:val="0"/>
          <w:i w:val="0"/>
          <w:color w:val="555555"/>
          <w:sz w:val="23"/>
        </w:rPr>
        <w:t>50%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，低回撤目标的钱不能这么投。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统计上不够硬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。Bootstrap 没拒绝 Sharpe 差异为 0；有截距 CAPM 的 α 的 t 值全低于 2。样本里看到的超额不能直接推成未来稳定收益。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IM 样本太短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</w:t>
      </w:r>
      <w:r>
        <w:rPr>
          <w:rFonts w:ascii="Consolas" w:hAnsi="Consolas" w:eastAsia="宋体"/>
          <w:b w:val="0"/>
          <w:i w:val="0"/>
          <w:color w:val="555555"/>
          <w:sz w:val="23"/>
        </w:rPr>
        <w:t>872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个主力样本交易日，完整的市场周期都没走完一轮，结论比 IC 脆弱得多。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阈值策略在样本内挑过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。B&lt;-1.5% 在部分指标上好于 Always，但这个阈值是从样本里看出来的，不代表未来还最优。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跨期套利需要更高频数据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。日频 T+1 执行下没有可交易结果，代表性条件下甚至没有形成有效触发。问题不在参数，在日频价差机会太薄。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风控不解决根本问题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。波动率目标和回撤控制能把波动和回撤降下来，但夏普全变负了——贴水补偿就那么点厚，降杠杆和频繁调仓的摩擦一上去就没了。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市场状态依赖太强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。牛市熊市天差地别，深度贴水期反而是亏最重的时候。不能把贴水当独立 alpha。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制度风险是真实存在的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。股指期货历史上被改过手续费、保证金、开平仓限制，实盘表现一定受制度影响。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组合分散无效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。IC 和 IM 相关性 </w:t>
      </w:r>
      <w:r>
        <w:rPr>
          <w:rFonts w:ascii="Consolas" w:hAnsi="Consolas" w:eastAsia="宋体"/>
          <w:b w:val="0"/>
          <w:i w:val="0"/>
          <w:color w:val="555555"/>
          <w:sz w:val="23"/>
        </w:rPr>
        <w:t>0.95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，没法相互对冲。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样本外验证不够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。IC 测试期（2021-2026）没经历 2015 年级别的极端行情，这段表现好不代表极端市场中也能撑住。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8. 结论与建议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8.1 投资建议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吃贴水策略的定位就一句话：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带展期补偿的股指期货多头工具，不是市场中性套利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对不同资金类型：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指增/方向性产品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：可以配。相比 ETF 或指数基金，期货贴水多了一层展期补偿，年化大概增厚 </w:t>
      </w:r>
      <w:r>
        <w:rPr>
          <w:rFonts w:ascii="Consolas" w:hAnsi="Consolas" w:eastAsia="宋体"/>
          <w:b w:val="0"/>
          <w:i w:val="0"/>
          <w:color w:val="555555"/>
          <w:sz w:val="23"/>
        </w:rPr>
        <w:t>3-9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个百分点（看品种和时段）。熊市里别想着能避免亏损——只是比直接拿指数少亏一些。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绝对收益/低回撤产品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：不建议单独配。最大回撤超过 </w:t>
      </w:r>
      <w:r>
        <w:rPr>
          <w:rFonts w:ascii="Consolas" w:hAnsi="Consolas" w:eastAsia="宋体"/>
          <w:b w:val="0"/>
          <w:i w:val="0"/>
          <w:color w:val="555555"/>
          <w:sz w:val="23"/>
        </w:rPr>
        <w:t>50%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，远超出这类产品的风控红线。一定要用就得配严格止损和杠杆上限，但 §3.6 的结果在那摆着——风控会吃掉大部分收益。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多策略组合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：可以作为权益 beta 暴露的一个来源，占组合 </w:t>
      </w:r>
      <w:r>
        <w:rPr>
          <w:rFonts w:ascii="Consolas" w:hAnsi="Consolas" w:eastAsia="宋体"/>
          <w:b w:val="0"/>
          <w:i w:val="0"/>
          <w:color w:val="555555"/>
          <w:sz w:val="23"/>
        </w:rPr>
        <w:t>10-20%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。同时要配和权益 beta 负相关或不相关的策略（商品 CTA、期权卖方、国债期货等），不然组合层面还是一个方向性押注。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8.2 后续研究方向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1. 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更高频的跨期价差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：日频 T+1 框架下价差偏离触发太少。拿 5 分钟或 tick 级数据重跑，才能判断有没有日内回归机会。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2. 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多腿价差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：近月-次近月两腿受单合约到期效应影响大。蝶式套利（三腿：近月-次近月-远月）均值回复特征可能更稳。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3. 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展期日优化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：现在展期是到期前固定窗口，没用上展期日附近的价差变化。在窗口内动态选最优换仓日可能减少展期成本。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4. 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其他 alpha 来源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：IC/IM 相关性 </w:t>
      </w:r>
      <w:r>
        <w:rPr>
          <w:rFonts w:ascii="Consolas" w:hAnsi="Consolas" w:eastAsia="宋体"/>
          <w:b w:val="0"/>
          <w:i w:val="0"/>
          <w:color w:val="555555"/>
          <w:sz w:val="23"/>
        </w:rPr>
        <w:t>0.95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，品种维度没法分散。需要找完全不同的 alpha（期权波动率曲面、可转债、CTA 等）来构建真正的多策略。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5. 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基差预测模型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：现在基差阈值是静态的。可以用市场情绪、资金流向、波动率曲面等特征来预测贴水结构变化，动态调仓。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6. 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实盘制度模拟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：把保证金逐日监控、涨跌停限制、交割月限仓这些细节加进去，估一下真实交易约束下的可行性和资金效率。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7. 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分红调整基差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：现在的基差用的指数价格没做分红调整。中证 500/1000 成分股每年 5-8 月集中分红，分红期间现货指数自然下跌，会虚增贴水幅度。用分红调整后的指数算基差，能更准地衡量展期补偿。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附录：图表清单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15 月度收益 CAPM 归因：用月度收益替代日收益进行有截距 CAPM 回归，作为日频结果的稳健性检查。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图号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文件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内容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fig_roll_yield.png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展期收益分布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fig_nav.png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策略净值曲线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fig_annual.png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年度收益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fig_drawdown.png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回撤曲线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fig_heatmap.png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参数敏感性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6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fig_oos_validation.png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样本外验证（训练/测试期对比）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7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fig_regime_segmentation.png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市场状态分段分析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8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fig_risk_control.png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风险控制策略 NAV 对比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9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fig_spread.png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跨期价差与布林带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fig_spread_failure.png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跨期套利失败原因拆解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fig_bootstrap.png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Bootstrap 检验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收益归因（无截距）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fig_capm_attribution.png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有截距 CAPM 归因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fig_cost_stress.png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成本压力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fig_correlation.png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IC-IM 相关性</w:t>
            </w:r>
          </w:p>
        </w:tc>
      </w:tr>
    </w:tbl>
    <w:p>
      <w:pPr>
        <w:spacing w:line="240" w:lineRule="auto" w:before="0" w:after="40"/>
      </w:pPr>
    </w:p>
    <w:sectPr w:rsidR="00FC693F" w:rsidRPr="0006063C" w:rsidSect="00034616">
      <w:pgSz w:w="11906" w:h="16838"/>
      <w:pgMar w:top="1361" w:right="1446" w:bottom="1247" w:left="144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 w:eastAsia="宋体"/>
        <w:b w:val="0"/>
        <w:i w:val="0"/>
        <w:color w:val="555555"/>
        <w:sz w:val="19"/>
      </w:rPr>
      <w:t xml:space="preserve">第 </w:t>
    </w:r>
    <w:r>
      <w:rPr>
        <w:rFonts w:ascii="Times New Roman" w:hAnsi="Times New Roman" w:eastAsia="宋体"/>
        <w:b w:val="0"/>
        <w:i w:val="0"/>
        <w:color w:val="555555"/>
        <w:sz w:val="19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/>
        <w:b w:val="0"/>
        <w:i w:val="0"/>
        <w:color w:val="555555"/>
        <w:sz w:val="19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 w:eastAsia="宋体"/>
        <w:b w:val="0"/>
        <w:i w:val="0"/>
        <w:color w:val="555555"/>
        <w:sz w:val="19"/>
      </w:rPr>
      <w:t>股指期货套利策略研究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