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Times New Roman" w:hAnsi="Times New Roman" w:eastAsia="黑体"/>
          <w:b/>
          <w:i w:val="0"/>
          <w:color w:val="000000"/>
          <w:sz w:val="48"/>
        </w:rPr>
        <w:t>股指期货套利策略研究报告</w:t>
      </w:r>
    </w:p>
    <w:p>
      <w:pPr>
        <w:spacing w:after="240"/>
        <w:jc w:val="center"/>
      </w:pPr>
      <w:r>
        <w:rPr>
          <w:rFonts w:ascii="Times New Roman" w:hAnsi="Times New Roman" w:eastAsia="黑体"/>
          <w:b w:val="0"/>
          <w:i w:val="0"/>
          <w:color w:val="555555"/>
          <w:sz w:val="30"/>
        </w:rPr>
        <w:t>吃贴水与跨期套利的策略评估与风险拆解</w:t>
      </w:r>
    </w:p>
    <w:p>
      <w:pPr>
        <w:spacing w:before="80" w:after="200"/>
        <w:pBdr>
          <w:bottom w:val="single" w:sz="10" w:space="1" w:color="000000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4507"/>
            <w:shd w:fill="EEEEEE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2"/>
              </w:rPr>
              <w:t>研究标的</w:t>
            </w:r>
          </w:p>
        </w:tc>
        <w:tc>
          <w:tcPr>
            <w:tcW w:type="dxa" w:w="4507"/>
            <w:shd w:fill="FAFAFA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2"/>
              </w:rPr>
              <w:t>IC（中证500股指期货）与 IM（中证1000股指期货）</w:t>
            </w:r>
          </w:p>
        </w:tc>
      </w:tr>
      <w:tr>
        <w:tc>
          <w:tcPr>
            <w:tcW w:type="dxa" w:w="4507"/>
            <w:shd w:fill="EEEEEE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2"/>
              </w:rPr>
              <w:t>数据区间</w:t>
            </w:r>
          </w:p>
        </w:tc>
        <w:tc>
          <w:tcPr>
            <w:tcW w:type="dxa" w:w="4507"/>
            <w:shd w:fill="FAFAFA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2"/>
              </w:rPr>
              <w:t>IC：2015-04-16 至 2026-03-02；IM：2022-07-22 至 2026-03-02</w:t>
            </w:r>
          </w:p>
        </w:tc>
      </w:tr>
      <w:tr>
        <w:tc>
          <w:tcPr>
            <w:tcW w:type="dxa" w:w="4507"/>
            <w:shd w:fill="EEEEEE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2"/>
              </w:rPr>
              <w:t>策略口径</w:t>
            </w:r>
          </w:p>
        </w:tc>
        <w:tc>
          <w:tcPr>
            <w:tcW w:type="dxa" w:w="4507"/>
            <w:shd w:fill="FAFAFA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2"/>
              </w:rPr>
              <w:t>吃贴水多头 + 基差阈值择时 + 跨期价差套利</w:t>
            </w:r>
          </w:p>
        </w:tc>
      </w:tr>
      <w:tr>
        <w:tc>
          <w:tcPr>
            <w:tcW w:type="dxa" w:w="4507"/>
            <w:shd w:fill="EEEEEE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2"/>
              </w:rPr>
              <w:t>评估维度</w:t>
            </w:r>
          </w:p>
        </w:tc>
        <w:tc>
          <w:tcPr>
            <w:tcW w:type="dxa" w:w="4507"/>
            <w:shd w:fill="FAFAFA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2"/>
              </w:rPr>
              <w:t>收益、风险、统计显著性、交易可执行性、可复现性</w:t>
            </w:r>
          </w:p>
        </w:tc>
      </w:tr>
    </w:tbl>
    <w:p/>
    <w:p/>
    <w:p/>
    <w:p/>
    <w:p/>
    <w:p/>
    <w:p/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24"/>
        </w:rPr>
        <w:t>课程项目报告</w:t>
      </w:r>
    </w:p>
    <w:p>
      <w:r>
        <w:br w:type="page"/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i w:val="0"/>
          <w:color w:val="222222"/>
          <w:sz w:val="36"/>
        </w:rPr>
        <w:t>报告结构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摘要：核心结论与收益口径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1. 数据与交易口径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2. 基差与展期收益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3. 吃贴水策略回测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4. 跨期套利策略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5. 统计验证与收益归因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6. 补充分析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7. 风险与局限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8. 结论与建议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附录：图表清单</w:t>
      </w:r>
    </w:p>
    <w:p>
      <w:r>
        <w:br w:type="page"/>
      </w:r>
    </w:p>
    <w:p>
      <w:pPr>
        <w:spacing w:before="200" w:after="320"/>
        <w:jc w:val="center"/>
      </w:pPr>
      <w:r>
        <w:rPr>
          <w:rFonts w:ascii="Times New Roman" w:hAnsi="Times New Roman" w:eastAsia="黑体"/>
          <w:b/>
          <w:i w:val="0"/>
          <w:color w:val="222222"/>
          <w:sz w:val="40"/>
        </w:rPr>
        <w:t>股指期货吃贴水与跨期套利策略研究</w:t>
      </w: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摘要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本报告研究 IC（中证500股指期货）和 IM（中证1000股指期货）的吃贴水与跨期套利策略。核心发现：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吃贴水策略跑赢指数。IC Always 年化收益 9.62%（指数 0.83%），IM Always 15.88%（指数 5.31%），超额来自期货贴水结构下的基差收敛与展期补偿。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超额不等于低风险。IC Always 最大回撤 -61.38%，IM Always -50.81%，策略本质是指数多头替代而非市场中性套利。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Block Bootstrap 检验：IC Sharpe 差异 95% CI [-0.1669, 0.8246]，p = 0.1980；IM CI [-0.4077, 1.0583]，p = 0.4100。置信区间覆盖 0，统计上不能拒绝"超额为 0"的原假设。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跨期套利（日频 T+1）不可行：IC 和 IM 各 16 组参数扫描，均无正 Sharpe。限制不在参数选择，在日频收盘价下价差可捕捉偏离太少。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组合策略的分散化价值有限：IC 与 IM 日收益相关性约 0.95，品种组合不能有效降低波动。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风险控制（波动率目标/回撤控制）可降回撤，但夏普全部转负——贴水补偿的厚度不足以支撑降杠杆后的交易摩擦。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本研究从原始数据出发，Notebook 可从头执行复现，所有参数和随机种子固定。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 研究口径与核心设定：概括报告的研究标的、数据区间、交易假设和评价重点。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450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项目</w:t>
            </w:r>
          </w:p>
        </w:tc>
        <w:tc>
          <w:tcPr>
            <w:tcW w:type="dxa" w:w="450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口径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研究标的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AFAFA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IC 与 IM 主力合约，交易标的使用真实合约代码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数据区间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AFAFA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IC：2015-04-16 至 2026-03-02；IM：2022-07-22 至 2026-03-02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信号与执行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AFAFA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T 日收盘后产生信号，T+1 日收盘价成交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成本假设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AFAFA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手续费 0.23‱，滑点 0.2 指数点，合约乘数 200 元/点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初始资金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AFAFA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1,000,000 元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1. 数据与回测设定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1.1 数据来源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原始数据为 4 个 Excel 文件：</w:t>
      </w:r>
      <w:r>
        <w:rPr>
          <w:rFonts w:ascii="Consolas" w:hAnsi="Consolas" w:eastAsia="宋体"/>
          <w:b w:val="0"/>
          <w:i w:val="0"/>
          <w:color w:val="555555"/>
          <w:sz w:val="23"/>
        </w:rPr>
        <w:t>ic_data.xlsx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、</w:t>
      </w:r>
      <w:r>
        <w:rPr>
          <w:rFonts w:ascii="Consolas" w:hAnsi="Consolas" w:eastAsia="宋体"/>
          <w:b w:val="0"/>
          <w:i w:val="0"/>
          <w:color w:val="555555"/>
          <w:sz w:val="23"/>
        </w:rPr>
        <w:t>im_data.xlsx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（期货）、</w:t>
      </w:r>
      <w:r>
        <w:rPr>
          <w:rFonts w:ascii="Consolas" w:hAnsi="Consolas" w:eastAsia="宋体"/>
          <w:b w:val="0"/>
          <w:i w:val="0"/>
          <w:color w:val="555555"/>
          <w:sz w:val="23"/>
        </w:rPr>
        <w:t>000905.xlsx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、</w:t>
      </w:r>
      <w:r>
        <w:rPr>
          <w:rFonts w:ascii="Consolas" w:hAnsi="Consolas" w:eastAsia="宋体"/>
          <w:b w:val="0"/>
          <w:i w:val="0"/>
          <w:color w:val="555555"/>
          <w:sz w:val="23"/>
        </w:rPr>
        <w:t>000852.xlsx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（指数）。期货数据含合约代码、OHLC、成交量、持仓量、主力标志及基差字段；指数数据为对应现货收盘价。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数据清洗涉及以下处理：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期货 Excel 中文列名含不间断空格（</w:t>
      </w:r>
      <w:r>
        <w:rPr>
          <w:rFonts w:ascii="Consolas" w:hAnsi="Consolas" w:eastAsia="宋体"/>
          <w:b w:val="0"/>
          <w:i w:val="0"/>
          <w:color w:val="555555"/>
          <w:sz w:val="23"/>
        </w:rPr>
        <w:t>\xa0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），需 </w:t>
      </w:r>
      <w:r>
        <w:rPr>
          <w:rFonts w:ascii="Consolas" w:hAnsi="Consolas" w:eastAsia="宋体"/>
          <w:b w:val="0"/>
          <w:i w:val="0"/>
          <w:color w:val="555555"/>
          <w:sz w:val="23"/>
        </w:rPr>
        <w:t>replace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+ </w:t>
      </w:r>
      <w:r>
        <w:rPr>
          <w:rFonts w:ascii="Consolas" w:hAnsi="Consolas" w:eastAsia="宋体"/>
          <w:b w:val="0"/>
          <w:i w:val="0"/>
          <w:color w:val="555555"/>
          <w:sz w:val="23"/>
        </w:rPr>
        <w:t>strip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后映射。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回测仅使用 </w:t>
      </w:r>
      <w:r>
        <w:rPr>
          <w:rFonts w:ascii="Consolas" w:hAnsi="Consolas" w:eastAsia="宋体"/>
          <w:b w:val="0"/>
          <w:i w:val="0"/>
          <w:color w:val="555555"/>
          <w:sz w:val="23"/>
        </w:rPr>
        <w:t>IC2306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等真实合约代码，连续合约序列（含 "0Y" 的 contract）仅用于展示。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主力合约按数据自带的 </w:t>
      </w:r>
      <w:r>
        <w:rPr>
          <w:rFonts w:ascii="Consolas" w:hAnsi="Consolas" w:eastAsia="宋体"/>
          <w:b w:val="0"/>
          <w:i w:val="0"/>
          <w:color w:val="555555"/>
          <w:sz w:val="23"/>
        </w:rPr>
        <w:t>main_force == 1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筛选，不手工拼接。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2 数据质量检查：对比 IC 与 IM 的原始样本量、主力合约样本量、指数匹配率和合约切换统计。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检查项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IC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IM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全量期货样本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10,568 行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3,488 行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主力合约样本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2,642 行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872 行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日期范围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2015-04-16 ~ 2026-03-02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2022-07-22 ~ 2026-03-02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合约切换次数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131 次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44 次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指数匹配率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100.0%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100.0%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距到期日范围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 ~ 50 天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 ~ 50 天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合约切换跳空范围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-13.96% ~ 4.25%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-4.91% ~ 4.28%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IC 样本覆盖 2015 年以来多个市场阶段（股灾、熔断、熊市、COVID）；IM 自 2022 年起始，样本较短，结论稳定性弱于 IC。后文对 IM 的判断均在此前提下理解。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本报告所有数据均来源于 data/ 目录下 4 个 Excel 文件，指标计算与策略回测在 Notebook 中完成。后续表格不再重复说明数据出处。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1.2 回测协议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3 回测假设与交易口径：统一所有策略的信号时点、成交时点、合约选择、展期规则和成本设定。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450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项目</w:t>
            </w:r>
          </w:p>
        </w:tc>
        <w:tc>
          <w:tcPr>
            <w:tcW w:type="dxa" w:w="450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设定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信号时点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T 日收盘后，基于当日可见数据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成交时点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T+1 日收盘价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合约选择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真实期货合约，不使用连续合约作为交易标的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展期规则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到期前固定窗口换至下一主力/次近月合约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成本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手续费 + 滑点逐笔扣除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逐日盯市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按实际持有合约的收盘价计算每日盈亏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逐日盯市基于实际持有合约（held-contract MTM），而非主力连续序列。若直接使用连续序列计算收益，合约切换日的跳空会被重复计入，导致收益虚高。交易流水中所有换仓记录的旧合约均不同于新合约，同合约重复换仓次数为 0。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1.3 可复现性保证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本研究可以完整复现，依赖以下要素：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数据源：4 个 Excel 文件存放于 data/ 目录，格式未作任何修改，对照原始文件可重建全部分析。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Notebook：</w:t>
      </w:r>
      <w:r>
        <w:rPr>
          <w:rFonts w:ascii="Consolas" w:hAnsi="Consolas" w:eastAsia="宋体"/>
          <w:b w:val="0"/>
          <w:i w:val="0"/>
          <w:color w:val="555555"/>
          <w:sz w:val="23"/>
        </w:rPr>
        <w:t>notebooks/股指期货套利策略研究.ipynb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从 Excel 读取开始，无预处理步骤。</w:t>
      </w:r>
      <w:r>
        <w:rPr>
          <w:rFonts w:ascii="Consolas" w:hAnsi="Consolas" w:eastAsia="宋体"/>
          <w:b w:val="0"/>
          <w:i w:val="0"/>
          <w:color w:val="555555"/>
          <w:sz w:val="23"/>
        </w:rPr>
        <w:t>jupyter nbconvert --execute --inplace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从头执行通过，所有数字均为运行输出，非手工填入。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随机种子：Bootstrap 和随机基准分析固定种子，同输入下结果逐位一致。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参数公开：回测设定（T+1、持仓合约 MTM）、全部策略参数（基差阈值、展期窗口、布林带 K 和 lookback）、成本假设（手续费 0.23‱、滑点 0.2 点、保证金率 12%）均在正文列出，无隐藏自由度。</w:t>
      </w:r>
    </w:p>
    <w:p>
      <w:pPr>
        <w:sectPr>
          <w:headerReference w:type="default" r:id="rId9"/>
          <w:footerReference w:type="default" r:id="rId10"/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2. 基差因子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2.1 定义与经济含义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本文定义基差为期货收盘价减去指数收盘价。基差为负表示期货贴水。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贴水市场中，期货价格临近到期向现货指数收敛。多头持有贴水合约，在承担指数方向风险的同时，获取基差收敛收益及展期补偿。基差会均值回复，但不等于基差能预测指数方向——指数下跌时，基差收敛的幅度通常无法覆盖方向亏损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2.2 均值回复与预测能力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4 基差率统计特征与预测能力：ADF 均值回复检验、半衰期、基差对期货和指数前瞻收益的预测 IC。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指标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IC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IM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ADF 统计量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-5.04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-6.37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ADF p 值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0.0000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0.0000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半衰期（天）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1.1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0.9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基差→期货收益 IC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0.0725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0.0111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p 值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0.0002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0.7436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基差→指数收益 IC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-0.7985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-0.9206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p 值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0.0000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0.0000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基差率序列均值回复特征强（ADF p ≈ 0，半衰期约 1 天）。但基差对指数前瞻收益无正向预测力——相关关系为负（IC = -0.80）而非正——说明基差反映的是期货-现货价格关系的短期回归，不是对指数方向的判断。贴水结构给期货多头提供的是相对现货的补偿，而非择时信号。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2.3 展期收益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5 展期收益分布统计：IC 与 IM 各展期段的累计收益分布，包含均值、中位数和正收益占比。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指标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IC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IM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展期段数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131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44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平均每段展期收益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0.19%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0.86%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中位数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0.30%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0.52%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正收益占比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51.9%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54.5%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9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oll_yiel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9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1 展期收益分布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说明：展示每段主力持有周期的累计收益分布。IC 和 IM 的均值都为正，说明样本期内展期机制确实带来补偿，但正收益占比仅略高于一半，单次换仓仍有很大不确定性。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1：每段主力持有周期的累计收益分布。IC 和 IM 均值均为正，展期机制在样本期内确实提供了补偿。但正收益占比均在 50%-55% 区间，单次换仓不确定性大。贴水提供长期正期望，但单次展期损益波动显著。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3. 吃贴水策略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3.1 策略设计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测试两类规则：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Always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：始终做多主力合约，到期前展期。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B &lt; −1.5%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：基差率低于 −1.5% 时做多，否则空仓。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Always 近似于期货版指数多头，承担全部市场方向风险。基差阈值策略仅在贴水较深时参与，以放弃部分上涨为代价，换取更低的波动和回撤。展期窗口设定为 1 天，参数扫描中另测试 3 天、5 天。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3.2 策略绩效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6 吃贴水策略主要绩效：比较 Always、B&lt;-1.5% 和指数基准在 IC 与 IM 上的收益、风险与交易统计。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01"/>
        <w:gridCol w:w="901"/>
        <w:gridCol w:w="901"/>
        <w:gridCol w:w="901"/>
        <w:gridCol w:w="901"/>
        <w:gridCol w:w="901"/>
        <w:gridCol w:w="901"/>
        <w:gridCol w:w="901"/>
        <w:gridCol w:w="901"/>
        <w:gridCol w:w="901"/>
      </w:tblGrid>
      <w:tr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策略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年化收益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年化波动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Sharpe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最大回撤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Calmar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胜率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累计收益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VaR95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交易笔数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 Always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9.62%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30.05%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0.22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-61.38%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0.16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52.6%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172.49%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-1.78%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132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 B&lt;-1.5%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7.04%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17.81%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0.23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-34.85%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0.20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33.2%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110.21%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-1.67%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846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 指数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0.83%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24.83%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-0.09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-65.20%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0.01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52.6%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9.43%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-2.34%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 Always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15.88%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32.71%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0.39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-50.81%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0.31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53.0%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70.08%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-2.90%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45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 B&lt;-1.5%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10.83%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12.74%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0.61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-12.82%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0.84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31.3%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44.84%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-1.49%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282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 指数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5.31%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23.74%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0.10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-41.60%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0.13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53.4%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20.50%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-2.29%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89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nav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8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2 策略净值曲线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说明：比较吃贴水策略与现货指数的净值走势。Always 策略在 IC 和 IM 上都明显高于对应指数基准，但不是平滑套利曲线，而是跟随市场波动的大幅起伏。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2：Always 策略在 IC 和 IM 上均显著跑赢指数。IC Always 累计收益 172.49%（同期指数 9.43%），IM Always 70.08%（指数 20.50%）。贴水结构的长期补偿效应明确。但净值曲线波动幅度大，策略并非平滑套利。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727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nnu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7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3 年度收益拆分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说明：按自然年展示策略和基准的收益对比。年度收益波动很大，基差阈值策略在某些下跌阶段有帮助，但空仓会降低回撤也会错过部分上涨。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3：年度收益波动显著。IC 策略经历亏损年份和反弹年份交替，基差阈值策略在部分下跌年份降低了亏损，但也错失部分反弹。IM 首个完整年份（2022）即亏损，样本期内无完整牛熊周期。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99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rawdow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9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4 回撤曲线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说明：比较策略与指数的回撤深度和修复过程。IC Always 最大回撤 -61.38%，IM Always -50.81%，超过多数绝对收益资金可接受范围，更适合作为方向性配置工具。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4：IC Always 最大回撤 -61.38%，IM Always -50.81%。此幅度超出多数绝对收益资金的风控承受范围。策略更适合定位为指增或方向性配置工具。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464758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eat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647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5 参数敏感性热力图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说明：展示基差阈值与展期窗口对 Sharpe 和 MaxDD 的影响。展期窗口从 1 天到 5 天影响不大，基差阈值影响更明显，但 IM 样本期短，不能将阈值当作稳定最优参数。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5：展期窗口 1→3→5 天对 Sharpe 和 MaxDD 影响有限，基差阈值影响更明显。IM B&lt;-1.5% 在样本内表现优于 Always（Sharpe 0.61 vs 0.39，MaxDD -12.82% vs -50.81%），但 IM 样本仅 3.5 年，此处不宜作为稳定最优参数推论。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3.3 全策略换仓验证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覆盖 5 个基差阈值 × 3 个展期窗口 × 2 个品种，全部换仓记录中同合约展期次数为 0。策略按不同合约完成展期，未将连续合约价格跳变误计为交易收益。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3.4 样本外验证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IC 按时间划分训练期（2015-2020）和测试期（2021-2026）。IM 仅 872 个交易日，样本过短无法形成稳定滚动窗口，不做样本外拆分。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7 样本外验证结果：IC 按时间划分的训练期与测试期绩效对比。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</w:tblGrid>
      <w:tr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数据集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年化收益%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年化波动%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Sharpe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最大回撤%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胜率%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 训练集 (2015-2020)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-6.03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62.84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-0.14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-85.77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51.9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 测试集 (2021-2026)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7.24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29.02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0.15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-54.12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50.6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0857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os_vali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85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6 样本外验证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说明：IC 按 60/40 时间划分的训练期和测试期净值对比。测试期表现好于训练期，但测试期最大回撤仍达 -54.12%，不应解读为策略已通过样本外检验。IM 仅 872 个交易日，样本过短无法形成稳定滚动窗口，不做样本外拆分。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6：测试期表现好于训练期，但不应解读为策略已通过样本外检验。训练期含 2015 年股灾、2016 年熔断和 2018 年熊市，极端行情对收益和回撤拖累严重。测试期虽录得正收益，最大回撤仍达 -54.12%。合理推论是贴水补偿在近年延续，但策略对市场阶段高度敏感，单段测试期不足以确认长期稳健性。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3.5 市场状态分段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按三个维度将交易日划分为六种状态：市场方向（涨/跌）、贴水深度（高贴水/低贴水或升水）、波动率（高/低）。分别计算 Always 策略在各状态下的绩效。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8 市场状态分段绩效：按市场方向、贴水深度和波动率水平三个维度分段的 Always 策略绩效。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</w:tblGrid>
      <w:tr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品种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状态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天数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年化收益%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年化波动%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Sharpe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上涨期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1,264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47.6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16.0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2.79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下跌期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1,319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-13.1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34.2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-0.47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高贴水期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1,320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8.8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36.7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0.16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低贴水/升水期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1,321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18.6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21.4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0.73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高波动期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1,291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31.4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36.5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0.78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低波动期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1,292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1.8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10.9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-0.11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上涨期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410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84.7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29.4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2.78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下跌期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403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-39.0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35.3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-1.19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高贴水期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435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22.7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36.6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0.54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低贴水/升水期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436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17.5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28.3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0.51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高波动期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406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36.3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41.6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0.80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低波动期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407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10.5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20.4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0.37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84850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gime_segment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48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7 市场状态分段分析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说明：按市场方向、贴水深度、波动率水平三个维度将交易日分段，展示各子集 Always 策略绩效。策略首先是权益方向暴露，贴水深度也有一定信息但不是独立的择时开关。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7：策略的首要驱动力是权益方向暴露。IC 涨/跌期收益差 60.7pp（47.6% − (−13.1%)），IM 差 123.7pp。贴水深度有一定区分度但并非独立信号——IC 高贴水期年化仅 8.80%，低于低贴水/升水期的 18.60%，因为在恐慌性下跌中贴水最深，而彼时方向损失远超基差补偿。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高波动状态下策略收益更高（IC 31.4% vs 1.8%），并非因为波动率本身有溢价，而是高波动期的上涨行情贡献了大部分收益。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3.6 风险控制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测试两种简单风控：（1）波动率目标，动态调仓使年化波动锚定 15%；（2）回撤控制，回撤超 20% 后逐步降仓。目的为检验策略在风控约束下是否仍具正期望。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9 风险控制版本绩效对比：比较原始策略、波动率目标和回撤控制版本的收益与回撤。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03"/>
        <w:gridCol w:w="1803"/>
        <w:gridCol w:w="1803"/>
        <w:gridCol w:w="1803"/>
        <w:gridCol w:w="1803"/>
      </w:tblGrid>
      <w:tr>
        <w:tc>
          <w:tcPr>
            <w:tcW w:type="dxa" w:w="1803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品种</w:t>
            </w:r>
          </w:p>
        </w:tc>
        <w:tc>
          <w:tcPr>
            <w:tcW w:type="dxa" w:w="1803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版本</w:t>
            </w:r>
          </w:p>
        </w:tc>
        <w:tc>
          <w:tcPr>
            <w:tcW w:type="dxa" w:w="1803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年化收益%</w:t>
            </w:r>
          </w:p>
        </w:tc>
        <w:tc>
          <w:tcPr>
            <w:tcW w:type="dxa" w:w="1803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Sharpe</w:t>
            </w:r>
          </w:p>
        </w:tc>
        <w:tc>
          <w:tcPr>
            <w:tcW w:type="dxa" w:w="1803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最大回撤%</w:t>
            </w:r>
          </w:p>
        </w:tc>
      </w:tr>
      <w:tr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原始 Always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9.62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0.22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-61.38</w:t>
            </w:r>
          </w:p>
        </w:tc>
      </w:tr>
      <w:tr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波动率目标 15%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-0.09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-0.20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-49.88</w:t>
            </w:r>
          </w:p>
        </w:tc>
      </w:tr>
      <w:tr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回撤控制 20%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0.92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-0.33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-23.63</w:t>
            </w:r>
          </w:p>
        </w:tc>
      </w:tr>
      <w:tr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原始 Always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15.88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0.39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-50.81</w:t>
            </w:r>
          </w:p>
        </w:tc>
      </w:tr>
      <w:tr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波动率目标 15%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1.36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-0.11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-38.66</w:t>
            </w:r>
          </w:p>
        </w:tc>
      </w:tr>
      <w:tr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回撤控制 20%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-4.83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-1.03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-20.20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465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isk_contro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4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8 风险控制策略净值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说明：比较原始策略、波动率目标 15% 和回撤控制 20% 三个版本的净值走势。风控降低了回撤但收益同步被削弱，策略的贴水补偿本身不够厚，经不起降杠杆和频繁调仓的摩擦。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8：风控确实降低了回撤（IC -61.38% → -23.63%，IM -50.81% → -20.20%），但所有风控版本夏普均为负。策略的贴水补偿有限，降杠杆和调仓摩擦即足以将其耗尽。若需在实盘中控制风险，更有效的方式是在组合层面管理权益敞口，而非依赖策略内部风控提升 Sharpe。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4. 跨期套利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4.1 策略设计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使用近月-次近月价差。当价差偏离滚动均值（lookback 日）超过 K 倍标准差时开仓，回归至均值附近时平仓。参数空间：K ∈ {1.0, 1.5, 2.0, 2.5}，lookback ∈ {30, 60, 90, 120}，共 16 组。信号 T 日收盘计算，T+1 日收盘执行。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727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prea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7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9 跨期价差与布林带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说明：展示近月-次近月价差序列及其滚动均值和布林带边界。价差突破布林带后并不总是快速回归，日频下价差回归幅度较小，扣除双边成本后很难留下足够利润。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9：IC 和 IM 的价差围绕均值波动，但突破布林带后的回归并不稳定。日频下回归幅度有限，扣除双边手续费和滑点后剩余空间狭窄。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4.2 回测结果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T+1 执行下，IC 和 IM 均无任何参数组合取得正 Sharpe。部分参数触发了交易但收益为负或接近零；多数参数未形成有效交易。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4.3 失败原因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代表性布林带参数（K=2.0, lookback=60）下的信号拆解：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10 跨期套利信号统计：展示跨期套利在代表性布林带参数下的信号触发率与方向正确率。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01"/>
        <w:gridCol w:w="901"/>
        <w:gridCol w:w="901"/>
        <w:gridCol w:w="901"/>
        <w:gridCol w:w="901"/>
        <w:gridCol w:w="901"/>
        <w:gridCol w:w="901"/>
        <w:gridCol w:w="901"/>
        <w:gridCol w:w="901"/>
        <w:gridCol w:w="901"/>
      </w:tblGrid>
      <w:tr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品种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信号总数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信号频率%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价差均值(点)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价差波动(点)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平均偏离(点)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T+1 方向正确率%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T+1 平均价差变化(点)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单笔成本(点)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正 Sharpe 组数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0/16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0/16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372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pread_failur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3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10 跨期套利信号拆解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说明：展示代表性布林带参数下的信号分布和 T+1 执行后的实际收益。日频收盘价下可捕捉偏离太少，T+1 执行进一步错过短暂回归机会。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10：代表性参数下两品种均无有效触发。完整 16 组参数扫描亦无正 Sharpe 组合。结论比"成本太高"更根本：日频收盘价下，近月-次近月价差的可捕捉偏离过少，T+1 执行进一步错过了可能存在的盘中回归。后续若继续此方向，应优先获取分钟级行情和盘口数据，而非在日频参数上做网格搜索。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5. IC-IM 组合策略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5.1 组合设计的出发点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吃贴水策略在 IC 和 IM 上都跑出了正的年化超额（IC 9.62% vs 指数 0.83%，IM 15.88% vs 指数 5.31%）。直观想法是把两个品种放在一起，降低单一品种的方向风险，拿到更平滑的收益曲线。组合方式考虑等权（各 50% 资金）和波动率倒数加权。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但品种组合能不能有效，取决于相关性。如果两个品种的日收益高度同向，组合降不了波动——买入两个高度相关的资产，等于买入一个更大的同方向敞口。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5.2 IC-IM 相关性分析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取 IC Always 和 IM Always 策略的日收益序列，对齐到共同交易日（872 天），计算 Pearson 和 Spearman 相关系数。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IC 与 IM 吃贴水策略日收益 Pearson r 约 0.95，Spearman ρ 约 0.93。两个品种几乎同涨同跌。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背后的逻辑在于：IC 跟踪中证 500、IM 跟踪中证 1000，两者均为中小盘风格指数，成分股高度重合于 A 股市场的同质化系统性风险。同时，两者的贴水结构由共同的市场机制驱动——对冲需求、市场情绪、资金面——而非独立的基本面因素。市场下跌时，两个品种同时下跌且贴水同步扩大；市场上涨时，两者同步反弹。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546670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rrelat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5466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11 IC-IM 日收益相关性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说明：IC 与 IM 吃贴水策略日收益的散点图和回归线。相关性约 0.95，二者高度同涨同跌，简单组合不能形成有效分散。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15：每个散点代表一个交易日的 IC 与 IM 策略日收益。OLS 拟合线斜率接近 1，散点紧密围绕拟合线。左上角标注的 Pearson r 和 Spearman ρ 说明线性相关和秩相关都极强。资料来源：IC/IM 期货与指数数据，本报告计算。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5.3 组合的局限性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相关性 0.95 之下，品种分散基本无效。代入两品种年化波动（IC 30.05%，IM 32.71%）和相关性 0.95，等权组合波动率约 31.0%，仅略低于单独持有 IM（32.71%），谈不上改善。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实际组合结果由单品种的策略逻辑决定：IC Always 夏普 0.22（11 年样本），IM Always 夏普 0.39（3.5 年样本）。等权组合夏普约 0.30，卡在两者之间，不会超过单独持有更好的一方。这是高相关性下的数学必然——组合权重回到无信息先验，分散化收益被相关性吃光。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更关键的是，IM 仅 3.5 年样本，没经历过完整市场周期。样本内 IM 夏普更高，不意味着 IC+IM 组合比 IC-only 更优。IC 有 11 年，穿越了 2015 年股灾、2016 年熔断、2018 年熊市和 2020 年 COVID。IC-only 的推论置信度远高于任何涉及 IM 的组合。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5.4 结论与后续方向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在我们的样本中，IC 和 IM 吃贴水策略不能靠简单品种组合实现有意义的风险分散。这是负向结果，但划出了策略边界：组合管理不应指望 IC-IM 品种分散，需要引入与权益 beta 不相关的 alpha 来源。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后续若要在组合层面改善，值得关注：（1）IC/IM 与 IF（沪深 300）、IH（上证 50）的跨品种分散——大盘和中小盘风格差异可能带来更低的策略收益相关性；（2）动态权重——基于基差率或波动率差异调整品种配比，不做固定组合。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6. 统计检验与收益归因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6.1 Block Bootstrap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采用循环块 Bootstrap（block=10 天，2000 次重采样）检验策略相对指数的 Sharpe 差异。H0：SR_diff = 0。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11 Bootstrap 显著性检验：Block Bootstrap 重采样下的 Sharpe 差异分布、置信区间和 p 值。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</w:tblGrid>
      <w:tr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品种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观测 SR 差异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95% CI 下限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95% CI 上限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p 值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覆盖 0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0.3051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-0.1669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0.8246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0.1980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是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0.2864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-0.4077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1.0583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0.4100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是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990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ootstra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9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12 Bootstrap 显著性检验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说明：展示策略相对指数 Sharpe 差异的 Block Bootstrap 重采样分布。两个品种的置信区间都覆盖 0，不能认为策略在统计意义上显著优于指数。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11：两个品种的观测 SR 差异均为正，但 95% CI 均覆盖 0。IC p = 0.1980，IM p = 0.4100，不能拒绝"SR 差异为 0"的原假设。IM CI 更宽（[-0.41, 1.06] vs IC [-0.17, 0.82]），反映 IM 样本较短导致估计标准差更大。策略的历史超额不具备统计显著性。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6.2 无截距归因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采用无截距回归：</w:t>
      </w:r>
      <w:r>
        <w:rPr>
          <w:rFonts w:ascii="Consolas" w:hAnsi="Consolas" w:eastAsia="宋体"/>
          <w:b w:val="0"/>
          <w:i w:val="0"/>
          <w:color w:val="555555"/>
          <w:sz w:val="23"/>
        </w:rPr>
        <w:t>r_strategy = β × r_index + ε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。残差年均值衡量扣除指数 beta 后的超额。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12 无截距收益归因：将策略日收益按无截距模型拆解为指数驱动和残差两部分。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27"/>
        <w:gridCol w:w="1127"/>
        <w:gridCol w:w="1127"/>
        <w:gridCol w:w="1127"/>
        <w:gridCol w:w="1127"/>
        <w:gridCol w:w="1127"/>
        <w:gridCol w:w="1127"/>
        <w:gridCol w:w="1127"/>
      </w:tblGrid>
      <w:tr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品种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策略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β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残差年化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NW t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R²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跟踪误差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信息比率</w:t>
            </w:r>
          </w:p>
        </w:tc>
      </w:tr>
      <w:tr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Always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-0.03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13.79%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-0.71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0.001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30.04%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0.46</w:t>
            </w:r>
          </w:p>
        </w:tc>
      </w:tr>
      <w:tr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B&lt;-1.5%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0.02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8.33%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0.48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0.000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17.80%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0.47</w:t>
            </w:r>
          </w:p>
        </w:tc>
      </w:tr>
      <w:tr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Always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0.08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19.11%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1.18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0.004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32.67%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0.59</w:t>
            </w:r>
          </w:p>
        </w:tc>
      </w:tr>
      <w:tr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B&lt;-1.5%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0.01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11.03%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0.37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0.000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12.74%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0.87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24853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ttribut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248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13 收益归因分解（无截距）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说明：将策略收益拆解为 beta 驱动的指数收益和残差两部分。Beta 很低，R² 接近 0，日收益中包含大量换仓跳跃、贴水收敛和期货自身价格路径的影响。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12：日频归因 β 接近 0，R² ≈ 0。策略日收益中含合约切换跳空、展期和基差收敛等噪声成分，同期指数日收益对此解释力极弱。日频无截距归因不适合用于拆分策略收益来源。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6.3 有截距 CAPM 归因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加入截距项：</w:t>
      </w:r>
      <w:r>
        <w:rPr>
          <w:rFonts w:ascii="Consolas" w:hAnsi="Consolas" w:eastAsia="宋体"/>
          <w:b w:val="0"/>
          <w:i w:val="0"/>
          <w:color w:val="555555"/>
          <w:sz w:val="23"/>
        </w:rPr>
        <w:t>r_strategy = α + β × r_index + ε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。α_annual 衡量扣除 β 暴露后的年化超额。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13 有截距 CAPM 归因（日频）：加入截距项后的日频 CAPM 归因，α 衡量扣除指数 beta 后的平均日超额。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27"/>
        <w:gridCol w:w="1127"/>
        <w:gridCol w:w="1127"/>
        <w:gridCol w:w="1127"/>
        <w:gridCol w:w="1127"/>
        <w:gridCol w:w="1127"/>
        <w:gridCol w:w="1127"/>
        <w:gridCol w:w="1127"/>
      </w:tblGrid>
      <w:tr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品种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策略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α_annual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t(α)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β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t(β)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R²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N</w:t>
            </w:r>
          </w:p>
        </w:tc>
      </w:tr>
      <w:tr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Always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13.79%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1.52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-0.03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-1.28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0.001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2,641</w:t>
            </w:r>
          </w:p>
        </w:tc>
      </w:tr>
      <w:tr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B&lt;-1.5%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8.33%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1.55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0.02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1.12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0.001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2,641</w:t>
            </w:r>
          </w:p>
        </w:tc>
      </w:tr>
      <w:tr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Always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19.12%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1.11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0.08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1.79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0.004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871</w:t>
            </w:r>
          </w:p>
        </w:tc>
      </w:tr>
      <w:tr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B&lt;-1.5%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11.03%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1.64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0.01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0.46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0.000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871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日频 α 为正但 t 值均 &lt; 2（IC Always t = 1.52，IM Always t = 1.11），不具备统计显著性。β 和 R² 偏低同样源于日频噪声。改为月频回归：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14 有截距 CAPM 归因（月频）：用月度收益替代日收益进行有截距 CAPM 回归，作为日频结果的稳健性检查。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品种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α_annual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t(α)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β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t(β)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R²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月数</w:t>
            </w:r>
          </w:p>
        </w:tc>
      </w:tr>
      <w:tr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 Always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9.16%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1.94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0.67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12.98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0.566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131</w:t>
            </w:r>
          </w:p>
        </w:tc>
      </w:tr>
      <w:tr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 Always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11.07%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1.32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0.76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8.82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0.649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44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97198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pm_attribut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971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14 有截距 CAPM 归因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说明：加入截距项后的 CAPM 归因结果。日频下 α 为正但 t 值均低于 2，不能认为有稳定独立 alpha。月频回归 Beta 约 0.67-0.76，更符合金融直觉。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13：月频结果更合理且更符合金融直觉。IC β = 0.67（R² = 0.57），IM β = 0.76（R² = 0.65），策略确有显著的权益方向暴露。α 的 t 值仍 &lt; 2，月频下同样不能认为存在独立 alpha。综合日频和月频结果，策略收益来源于权益 beta、基差收敛和展期补偿的混合，不宜将残差项直接解释为纯 alpha。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7. 补充分析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7.1 交易成本敏感性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70281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st_stres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02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15 成本压力测试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说明：将交易成本从 1 倍逐级放大到 10 倍，观察策略年化收益的变化。策略换手低，对交易成本不敏感，成本不是主要矛盾。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14：将交易成本从基准（×1）逐级放大至 ×10，IC Always 年化收益衰减有限。策略换手低（主要交易集中在展期日），期货手续费相对名义本金比例极小。成本不是策略的主要约束。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策略核心风险在于贴水结构的持续性。若未来 IC/IM 贴水大幅收窄或转入升水，展期补偿将减弱或消失。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7.2 制度约束与资金占用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实盘需关注的制度因素：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保证金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：中金所保证金比例约 12%。以 IC 5,500 点计，一手名义本金约 110 万元，保证金约 13.2 万元。初始资金 100 万元可持有 3-5 手，杠杆 3-5 倍。需保留现金应对逐日盯市的盘中浮亏。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展期操作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：换仓日存在双边持仓窗口，保证金占用翻倍。可拆至 2-3 天完成以降低瞬时资金压力。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制度变迁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：2015 年后保证金从 10% 升至 40%，2017-2019 年逐步松绑。当前规则已正常化，但市场异常波动时限制可能再度收紧。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流动性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：主力合约流动性充足，但规模升至数百手以上时，展期日需注意时间分布，避免集中换仓产生的价格冲击。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8. 风险提示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1. 策略最大回撤超 50%，方向风险是主导风险，不宜定位为低波动或绝对收益策略。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2. Bootstrap 检验未拒绝 SR 差异为 0，α 的 t 值均 &lt; 2，历史超额在统计意义上不显著。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3. IM 仅 872 个主力交易日（3.5 年），未经历完整市场周期，相关结论置信度低于 IC。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4. IC 与 IM 日收益相关性约 0.95，品种组合不能替代真正的策略分散。组合管理应引入与权益 beta 不相关的 alpha 来源。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5. B&lt;-1.5% 阈值为样本内观察，不代表未来最优。参数在样本内存在过拟合风险。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6. 跨期套利在日频 T+1 下无交易价值。若使用更高频数据，结论可能不同。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7. 风控版本夏普均为负，策略的贴水补偿不足以支撑降杠杆和调仓摩擦。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8. 股指期货历史上经历过手续费、保证金和开平仓限制的重大变化，制度风险不可忽视。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9. 当前基差未经分红调整。中证 500/1000 成分股每年 5-8 月集中分红，期间现货指数自然下跌会虚增贴水幅度。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10. 本研究基于公开历史数据的回测，样本外表现可能与回测结果有重大偏差。所有结论均为历史观察，不构成投资建议。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9. 结论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策略定位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吃贴水策略的定位：带有展期补偿的股指期货多头工具，不是市场中性套利。其超额来自贴水结构下的基差收敛与展期补偿，主要风险来自指数的方向波动。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稳定性评估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从三个维度看策略的稳定程度：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样本外：IC 测试期（2021-2026）年化 7.24%，方向正确但回撤仍达 -54.12%。训练期含 2015 年股灾，表现差，不宜简单对比。关键约束：测试期本身未经历 2015 级极端行情，不能以此推断策略能扛住下一次市场冲击。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市场状态依赖：策略上涨期年化 47.6%、下跌期 -13.1%，涨跌收益差 60.7pp。市场方向是第一驱动力，贴水补偿只给相对指数的超额，不给绝对保护。高波动期的更高收益是期间上涨行情带的，高波动本身没有溢价。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风控代价：波动率目标和回撤控制可以机械降回撤，但所有风控版本夏普为负。贴水补偿太薄，经不起主动降杠杆——这是策略的根本约束：降风险就要牺牲收益，两头不能兼顾。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总体看：吃贴水策略的历史表现对市场阶段高度敏感。样本内有正超额，但超额不穿越牛熊。策略更适合做仓位置换——用期货替代 ETF 或指增，拿额外展期补偿——而非押注策略本身的绝对收益能力。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品种组合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IC 和 IM 日收益相关性约 0.95，品种分散化价值有限。IC-only 有 11 年完整周期覆盖，是比任何涉及 IM 的组合更可信的基准配置。组合管理的改善方向在于引入与权益 beta 不相关的策略，而非在同质资产内部调权重。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适用场景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指增和方向性产品可以把策略当作指数增强模块，年化增厚约 3-9pp，视品种和时段而定。绝对收益和低回撤产品不建议单独配置——风控降杠杆后夏普为负，策略没有独立于 beta 的超额。多策略组合中可以占 10-20% 仓位充当权益 beta 来源，但需要搭配与权益负相关或不相关的策略。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优先后续方向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1. 分钟级行情回测跨期价差，检验 T+0 执行是否可捕捉日频下被滞后吃掉的价差回归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2. 多腿价差（蝶式套利）探索更稳定的均值回复结构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3. 分红调整基差以更准确衡量展期补偿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4. 跨品种（IF/IH）的分散化分析——大盘 vs 中小盘风格差异可能提供更有意义的低相关性</w:t>
      </w: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附录：图表清单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15 图表清单：报告中全部 15 张图表的编号、文件名和内容说明。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图号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文件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内容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1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fig_roll_yield.png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展期收益分布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2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fig_nav.png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策略净值曲线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3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fig_annual.png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年度收益拆分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4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fig_drawdown.png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回撤曲线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5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fig_heatmap.png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参数敏感性热力图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6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fig_oos_validation.png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样本外验证（训练/测试期）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7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fig_regime_segmentation.png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市场状态分段分析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8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fig_risk_control.png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风险控制策略净值对比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9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fig_spread.png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跨期价差与布林带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10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fig_spread_failure.png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跨期套利失败原因拆解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11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fig_bootstrap.png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Bootstrap 显著性检验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12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fig_attribution.png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收益归因分解（无截距）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13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fig_capm_attribution.png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有截距 CAPM 归因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14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fig_cost_stress.png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成本压力测试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15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fig_correlation.png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IC-IM 日收益相关性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sectPr w:rsidR="00FC693F" w:rsidRPr="0006063C" w:rsidSect="00034616">
      <w:pgSz w:w="11906" w:h="16838"/>
      <w:pgMar w:top="1361" w:right="1446" w:bottom="1247" w:left="144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Times New Roman" w:hAnsi="Times New Roman" w:eastAsia="宋体"/>
        <w:b w:val="0"/>
        <w:i w:val="0"/>
        <w:color w:val="555555"/>
        <w:sz w:val="19"/>
      </w:rPr>
      <w:t xml:space="preserve">第 </w:t>
    </w:r>
    <w:r>
      <w:rPr>
        <w:rFonts w:ascii="Times New Roman" w:hAnsi="Times New Roman" w:eastAsia="宋体"/>
        <w:b w:val="0"/>
        <w:i w:val="0"/>
        <w:color w:val="555555"/>
        <w:sz w:val="19"/>
      </w:rPr>
      <w:fldChar w:fldCharType="begin"/>
      <w:instrText xml:space="preserve"> PAGE </w:instrText>
      <w:fldChar w:fldCharType="end"/>
    </w:r>
    <w:r>
      <w:rPr>
        <w:rFonts w:ascii="Times New Roman" w:hAnsi="Times New Roman" w:eastAsia="宋体"/>
        <w:b w:val="0"/>
        <w:i w:val="0"/>
        <w:color w:val="555555"/>
        <w:sz w:val="19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Times New Roman" w:hAnsi="Times New Roman" w:eastAsia="宋体"/>
        <w:b w:val="0"/>
        <w:i w:val="0"/>
        <w:color w:val="555555"/>
        <w:sz w:val="19"/>
      </w:rPr>
      <w:t>股指期货套利策略研究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color w:val="22222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