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8"/>
        </w:rPr>
        <w:t>股指期货套利策略研究报告</w:t>
      </w:r>
    </w:p>
    <w:p>
      <w:pPr>
        <w:spacing w:after="240"/>
        <w:jc w:val="center"/>
      </w:pPr>
      <w:r>
        <w:rPr>
          <w:rFonts w:ascii="Times New Roman" w:hAnsi="Times New Roman" w:eastAsia="黑体"/>
          <w:b w:val="0"/>
          <w:i w:val="0"/>
          <w:color w:val="555555"/>
          <w:sz w:val="30"/>
        </w:rPr>
        <w:t>吃贴水与跨期套利的策略评估与风险拆解</w:t>
      </w:r>
    </w:p>
    <w:p>
      <w:pPr>
        <w:spacing w:before="80" w:after="200"/>
        <w:pBdr>
          <w:bottom w:val="single" w:sz="10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研究标的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IC（中证500股指期货）与 IM（中证1000股指期货）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数据区间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策略口径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吃贴水多头 + 基差阈值择时 + 跨期价差套利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评估维度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收益、风险、统计显著性、交易可执行性、可复现性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24"/>
        </w:rPr>
        <w:t>课程项目报告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color w:val="222222"/>
          <w:sz w:val="36"/>
        </w:rPr>
        <w:t>报告结构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摘要：核心结论与收益口径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1. 数据与回测设定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2. 基差因子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3. 吃贴水策略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4. 跨期套利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5. IC-IM 组合策略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6. 统计检验与收益归因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7. 补充分析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8. 风险提示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9. 结论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附录：图表清单</w:t>
      </w:r>
    </w:p>
    <w:p>
      <w:r>
        <w:br w:type="page"/>
      </w:r>
    </w:p>
    <w:p>
      <w:pPr>
        <w:spacing w:before="200" w:after="320"/>
        <w:jc w:val="center"/>
      </w:pPr>
      <w:r>
        <w:rPr>
          <w:rFonts w:ascii="Times New Roman" w:hAnsi="Times New Roman" w:eastAsia="黑体"/>
          <w:b/>
          <w:i w:val="0"/>
          <w:color w:val="222222"/>
          <w:sz w:val="40"/>
        </w:rPr>
        <w:t>股指期货吃贴水与跨期套利策略研究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摘要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本报告研究 IC（中证500股指期货）和 IM（中证1000股指期货）的吃贴水与跨期套利策略。核心发现：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吃贴水策略跑赢指数。IC Always 年化收益 9.62%（指数 0.83%），IM Always 15.88%（指数 5.31%），超额来自期货贴水结构下的基差收敛与展期补偿。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超额不等于低风险。IC Always 最大回撤 -61.38%，IM Always -50.81%，策略本质是指数多头替代而非市场中性套利。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Block Bootstrap 检验：IC Sharpe 差异 95% CI [-0.1669, 0.8246]，p = 0.1980；IM CI [-0.4077, 1.0583]，p = 0.4100。置信区间覆盖 0，统计上不能拒绝"超额为 0"的原假设。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跨期套利（日频 T+1）不可行：IC 和 IM 各 16 组参数扫描，均无正 Sharpe。限制不在参数选择，在日频收盘价下价差可捕捉偏离太少。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组合策略的分散化价值有限：IC 与 IM 日收益相关性约 0.95，品种组合不能有效降低波动。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风险控制（波动率目标/回撤控制）可降回撤，但夏普全部转负——贴水补偿的厚度不足以支撑降杠杆后的交易摩擦。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本研究从原始数据出发，Notebook 可从头执行复现，所有参数和随机种子固定。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 研究口径与核心设定：概括报告的研究标的、数据区间、交易假设和评价重点。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口径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研究标的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 与 IM 主力合约，交易标的使用真实合约代码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数据区间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信号与执行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日收盘后产生信号，T+1 日收盘价成交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成本假设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0.23‱，滑点 0.2 指数点，合约乘数 200 元/点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初始资金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1,000,000 元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1. 数据与回测设定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1.1 数据来源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原始数据为 4 个 Excel 文件：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ic_data.xlsx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im_data.xlsx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（期货）、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000905.xlsx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000852.xlsx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（指数）。期货数据含合约代码、OHLC、成交量、持仓量、主力标志及基差字段；指数数据为对应现货收盘价。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数据清洗涉及以下处理：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期货 Excel 中文列名含不间断空格（</w:t>
      </w:r>
      <w:r>
        <w:rPr>
          <w:rFonts w:ascii="Consolas" w:hAnsi="Consolas" w:eastAsia="宋体"/>
          <w:b w:val="0"/>
          <w:i w:val="0"/>
          <w:color w:val="555555"/>
          <w:sz w:val="23"/>
        </w:rPr>
        <w:t>\xa0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），需 </w:t>
      </w:r>
      <w:r>
        <w:rPr>
          <w:rFonts w:ascii="Consolas" w:hAnsi="Consolas" w:eastAsia="宋体"/>
          <w:b w:val="0"/>
          <w:i w:val="0"/>
          <w:color w:val="555555"/>
          <w:sz w:val="23"/>
        </w:rPr>
        <w:t>replace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+ </w:t>
      </w:r>
      <w:r>
        <w:rPr>
          <w:rFonts w:ascii="Consolas" w:hAnsi="Consolas" w:eastAsia="宋体"/>
          <w:b w:val="0"/>
          <w:i w:val="0"/>
          <w:color w:val="555555"/>
          <w:sz w:val="23"/>
        </w:rPr>
        <w:t>strip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后映射。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回测仅使用 </w:t>
      </w:r>
      <w:r>
        <w:rPr>
          <w:rFonts w:ascii="Consolas" w:hAnsi="Consolas" w:eastAsia="宋体"/>
          <w:b w:val="0"/>
          <w:i w:val="0"/>
          <w:color w:val="555555"/>
          <w:sz w:val="23"/>
        </w:rPr>
        <w:t>IC2306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等真实合约代码，连续合约序列（含 "0Y" 的 contract）仅用于展示。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主力合约按数据自带的 </w:t>
      </w:r>
      <w:r>
        <w:rPr>
          <w:rFonts w:ascii="Consolas" w:hAnsi="Consolas" w:eastAsia="宋体"/>
          <w:b w:val="0"/>
          <w:i w:val="0"/>
          <w:color w:val="555555"/>
          <w:sz w:val="23"/>
        </w:rPr>
        <w:t>main_force == 1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筛选，不手工拼接。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2 数据质量检查：对比 IC 与 IM 的原始样本量、主力合约样本量、指数匹配率和合约切换统计。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检查项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全量期货样本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10,568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3,488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主力合约样本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2,642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872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日期范围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2015-04-16 ~ 2026-03-02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2022-07-22 ~ 2026-03-02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合约切换次数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 次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 次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指数匹配率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距到期日范围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 ~ 50 天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 ~ 50 天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合约切换跳空范围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-13.96% ~ 4.25%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-4.91% ~ 4.28%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样本覆盖 2015 年以来多个市场阶段（股灾、熔断、熊市、COVID）；IM 自 2022 年起始，样本较短，结论稳定性弱于 IC。后文对 IM 的判断均在此前提下理解。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本报告所有数据均来源于 data/ 目录下 4 个 Excel 文件，指标计算与策略回测在 Notebook 中完成。后续表格不再重复说明数据出处。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1.2 回测协议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3 回测假设与交易口径：统一所有策略的信号时点、成交时点、合约选择、展期规则和成本设定。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设定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日收盘后，基于当日可见数据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成交时点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T+1 日收盘价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合约选择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真实期货合约，不使用连续合约作为交易标的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展期规则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到期前固定窗口换至下一主力/次近月合约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+ 滑点逐笔扣除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逐日盯市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按实际持有合约的收盘价计算每日盈亏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逐日盯市基于实际持有合约（held-contract MTM），而非主力连续序列。若直接使用连续序列计算收益，合约切换日的跳空会被重复计入，导致收益虚高。交易流水中所有换仓记录的旧合约均不同于新合约，同合约重复换仓次数为 0。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1.3 可复现性保证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本研究可以完整复现，依赖以下要素：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数据源：4 个 Excel 文件存放于 data/ 目录，格式未作任何修改，对照原始文件可重建全部分析。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Notebook：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notebooks/股指期货套利策略研究.ipynb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从 Excel 读取开始，无预处理步骤。</w:t>
      </w:r>
      <w:r>
        <w:rPr>
          <w:rFonts w:ascii="Consolas" w:hAnsi="Consolas" w:eastAsia="宋体"/>
          <w:b w:val="0"/>
          <w:i w:val="0"/>
          <w:color w:val="555555"/>
          <w:sz w:val="23"/>
        </w:rPr>
        <w:t>jupyter nbconvert --execute --inplace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从头执行通过，所有数字均为运行输出，非手工填入。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随机种子：Bootstrap 和随机基准分析固定种子，同输入下结果逐位一致。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参数公开：回测设定（T+1、持仓合约 MTM）、全部策略参数（基差阈值、展期窗口、布林带 K 和 lookback）、成本假设（手续费 0.23‱、滑点 0.2 点、保证金率 12%）均在正文列出，无隐藏自由度。</w:t>
      </w:r>
    </w:p>
    <w:p>
      <w:pPr>
        <w:sectPr>
          <w:headerReference w:type="default" r:id="rId9"/>
          <w:footerReference w:type="default" r:id="rId10"/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2. 基差因子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2.1 定义与经济含义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本文定义基差为期货收盘价减去指数收盘价。基差为负表示期货贴水。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贴水市场中，期货价格临近到期向现货指数收敛。多头持有贴水合约，在承担指数方向风险的同时，获取基差收敛收益及展期补偿。基差会均值回复，但不等于基差能预测指数方向——指数下跌时，基差收敛的幅度通常无法覆盖方向亏损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2.2 均值回复与预测能力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4 基差率统计特征与预测能力：ADF 均值回复检验、半衰期、基差对期货和指数前瞻收益的预测 IC。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统计量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-5.04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-6.37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半衰期（天）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1.1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0.9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基差→期货收益 IC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0.0725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0.0111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0.7436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基差→指数收益 IC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-0.7985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-0.9206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基差率序列均值回复特征强（ADF p ≈ 0，半衰期约 1 天）。但基差对指数前瞻收益无正向预测力——相关关系为负（IC = -0.80）而非正——说明基差反映的是期货-现货价格关系的短期回归，不是对指数方向的判断。贴水结构给期货多头提供的是相对现货的补偿，而非择时信号。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2.3 展期收益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5 展期收益分布统计：IC 与 IM 各展期段的累计收益分布，包含均值、中位数和正收益占比。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展期段数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平均每段展期收益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0.19%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0.86%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中位数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0.30%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0.52%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正收益占比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51.9%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54.5%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ll_y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 展期收益分布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说明：展示每段主力持有周期的累计收益分布。IC 和 IM 的均值都为正，说明样本期内展期机制确实带来补偿，但正收益占比仅略高于一半，单次换仓仍有很大不确定性。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1：每段主力持有周期的累计收益分布。IC 和 IM 均值均为正，展期机制在样本期内确实提供了补偿。但正收益占比均在 50%-55% 区间，单次换仓不确定性大。贴水提供长期正期望，但单次展期损益波动显著。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3. 吃贴水策略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3.1 策略设计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测试两类规则：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Always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：始终做多主力合约，到期前展期。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B &lt; −1.5%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：基差率低于 −1.5% 时做多，否则空仓。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Always 近似于期货版指数多头，承担全部市场方向风险。基差阈值策略仅在贴水较深时参与，以放弃部分上涨为代价，换取更低的波动和回撤。展期窗口设定为 1 天，参数扫描中另测试 3 天、5 天。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3.2 策略绩效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6 吃贴水策略主要绩效：比较 Always、B&lt;-1.5% 和指数基准在 IC 与 IM 上的收益、风险与交易统计。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年化波动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最大回撤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Calmar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胜率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VaR95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交易笔数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9.62%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30.05%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-61.38%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172.49%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-1.78%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7.04%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-34.85%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33.2%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110.21%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-1.67%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846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24.83%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-65.20%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9.43%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-2.34%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15.88%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32.71%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-50.81%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70.08%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-2.90%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45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-12.82%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31.3%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44.84%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-1.49%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282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5.31%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23.74%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-41.60%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20.50%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-2.29%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a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2 策略净值曲线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说明：比较吃贴水策略与现货指数的净值走势。Always 策略在 IC 和 IM 上都明显高于对应指数基准，但不是平滑套利曲线，而是跟随市场波动的大幅起伏。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2：Always 策略在 IC 和 IM 上均显著跑赢指数。IC Always 累计收益 172.49%（同期指数 9.43%），IM Always 70.08%（指数 20.50%）。贴水结构的长期补偿效应明确。但净值曲线波动幅度大，策略并非平滑套利。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72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nn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3 年度收益拆分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说明：按自然年展示策略和基准的收益对比。年度收益波动很大，基差阈值策略在某些下跌阶段有帮助，但空仓会降低回撤也会错过部分上涨。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3：年度收益波动显著。IC 策略经历亏损年份和反弹年份交替，基差阈值策略在部分下跌年份降低了亏损，但也错失部分反弹。IM 首个完整年份（2022）即亏损，样本期内无完整牛熊周期。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wdow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4 回撤曲线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说明：比较策略与指数的回撤深度和修复过程。IC Always 最大回撤 -61.38%，IM Always -50.81%，超过多数绝对收益资金可接受范围，更适合作为方向性配置工具。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4：IC Always 最大回撤 -61.38%，IM Always -50.81%。此幅度超出多数绝对收益资金的风控承受范围。策略更适合定位为指增或方向性配置工具。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6475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64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5 参数敏感性热力图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说明：展示基差阈值与展期窗口对 Sharpe 和 MaxDD 的影响。展期窗口从 1 天到 5 天影响不大，基差阈值影响更明显，但 IM 样本期短，不能将阈值当作稳定最优参数。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5：展期窗口 1→3→5 天对 Sharpe 和 MaxDD 影响有限，基差阈值影响更明显。IM B&lt;-1.5% 在样本内表现优于 Always（Sharpe 0.61 vs 0.39，MaxDD -12.82% vs -50.81%），但 IM 样本仅 3.5 年，此处不宜作为稳定最优参数推论。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3.3 全策略换仓验证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覆盖 5 个基差阈值 × 3 个展期窗口 × 2 个品种，全部换仓记录中同合约展期次数为 0。策略按不同合约完成展期，未将连续合约价格跳变误计为交易收益。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3.4 样本外验证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按时间划分训练期（2015-2020）和测试期（2021-2026）。IM 仅 872 个交易日，样本过短无法形成稳定滚动窗口，不做样本外拆分。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7 样本外验证结果：IC 按时间划分的训练期与测试期绩效对比。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数据集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年化波动%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最大回撤%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胜率%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 训练集 (2015-2020)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-6.03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62.84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-85.77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51.9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 测试集 (2021-2026)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7.24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29.02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-54.12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50.6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857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8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6 样本外验证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说明：IC 按 60/40 时间划分的训练期和测试期净值对比。测试期表现好于训练期，但测试期最大回撤仍达 -54.12%，不应解读为策略已通过样本外检验。IM 仅 872 个交易日，样本过短无法形成稳定滚动窗口，不做样本外拆分。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6：测试期表现好于训练期，但不应解读为策略已通过样本外检验。训练期含 2015 年股灾、2016 年熔断和 2018 年熊市，极端行情对收益和回撤拖累严重。测试期虽录得正收益，最大回撤仍达 -54.12%。合理推论是贴水补偿在近年延续，但策略对市场阶段高度敏感，单段测试期不足以确认长期稳健性。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3.5 市场状态分段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按三个维度将交易日划分为六种状态：市场方向（涨/跌）、贴水深度（高贴水/低贴水或升水）、波动率（高/低）。分别计算 Always 策略在各状态下的绩效。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8 市场状态分段绩效：按市场方向、贴水深度和波动率水平三个维度分段的 Always 策略绩效。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状态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天数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年化波动%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上涨期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1,264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47.6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16.0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2.79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下跌期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1,319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-13.1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34.2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-0.47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高贴水期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1,320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8.8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0.16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低贴水/升水期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1,321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18.6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21.4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0.73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1,291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31.4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0.78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1,292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10.9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-0.11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上涨期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410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84.7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29.4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2.78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下跌期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-39.0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35.3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-1.19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高贴水期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435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22.7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0.54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低贴水/升水期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436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17.5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28.3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0.51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41.6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10.5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20.4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0.37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48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gime_segment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48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7 市场状态分段分析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说明：按市场方向、贴水深度、波动率水平三个维度将交易日分段，展示各子集 Always 策略绩效。策略首先是权益方向暴露，贴水深度也有一定信息但不是独立的择时开关。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7：策略的首要驱动力是权益方向暴露。IC 涨/跌期收益差 60.7pp（47.6% − (−13.1%)），IM 差 123.7pp。贴水深度有一定区分度但并非独立信号——IC 高贴水期年化仅 8.80%，低于低贴水/升水期的 18.60%，因为在恐慌性下跌中贴水最深，而彼时方向损失远超基差补偿。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高波动状态下策略收益更高（IC 31.4% vs 1.8%），并非因为波动率本身有溢价，而是高波动期的上涨行情贡献了大部分收益。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3.6 风险控制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测试两种简单风控：（1）波动率目标，动态调仓使年化波动锚定 15%；（2）回撤控制，回撤超 20% 后逐步降仓。目的为检验策略在风控约束下是否仍具正期望。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9 风险控制版本绩效对比：比较原始策略、波动率目标和回撤控制版本的收益与回撤。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03"/>
        <w:gridCol w:w="1803"/>
        <w:gridCol w:w="1803"/>
        <w:gridCol w:w="1803"/>
        <w:gridCol w:w="1803"/>
      </w:tblGrid>
      <w:tr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版本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最大回撤%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原始 Always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9.62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-61.38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波动率目标 15%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-0.09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-0.20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-49.88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回撤控制 20%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0.92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-0.33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-23.63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原始 Always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15.88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0.39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-50.81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波动率目标 15%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1.36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-0.11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-38.66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回撤控制 20%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-4.83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-1.03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-20.20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46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ntro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4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8 风险控制策略净值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说明：比较原始策略、波动率目标 15% 和回撤控制 20% 三个版本的净值走势。风控降低了回撤但收益同步被削弱，策略的贴水补偿本身不够厚，经不起降杠杆和频繁调仓的摩擦。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8：风控确实降低了回撤（IC -61.38% → -23.63%，IM -50.81% → -20.20%），但所有风控版本夏普均为负。策略的贴水补偿有限，降杠杆和调仓摩擦即足以将其耗尽。若需在实盘中控制风险，更有效的方式是在组合层面管理权益敞口，而非依赖策略内部风控提升 Sharpe。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4. 跨期套利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4.1 策略设计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使用近月-次近月价差。当价差偏离滚动均值（lookback 日）超过 K 倍标准差时开仓，回归至均值附近时平仓。参数空间：K ∈ {1.0, 1.5, 2.0, 2.5}，lookback ∈ {30, 60, 90, 120}，共 16 组。信号 T 日收盘计算，T+1 日收盘执行。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72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9 跨期价差与布林带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说明：展示近月-次近月价差序列及其滚动均值和布林带边界。价差突破布林带后并不总是快速回归，日频下价差回归幅度较小，扣除双边成本后很难留下足够利润。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9：IC 和 IM 的价差围绕均值波动，但突破布林带后的回归并不稳定。日频下回归幅度有限，扣除双边手续费和滑点后剩余空间狭窄。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4.2 回测结果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T+1 执行下，IC 和 IM 均无任何参数组合取得正 Sharpe。部分参数触发了交易但收益为负或接近零；多数参数未形成有效交易。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4.3 失败原因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代表性布林带参数（K=2.0, lookback=60）下的信号拆解：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10 跨期套利信号统计：展示跨期套利在代表性布林带参数下的信号触发率与方向正确率。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信号总数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信号频率%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价差均值(点)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价差波动(点)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平均偏离(点)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T+1 方向正确率%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T+1 平均价差变化(点)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单笔成本(点)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正 Sharpe 组数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0/16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0/16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37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_fail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3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10 跨期套利信号拆解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说明：展示代表性布林带参数下的信号分布和 T+1 执行后的实际收益。日频收盘价下可捕捉偏离太少，T+1 执行进一步错过短暂回归机会。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10：代表性参数下两品种均无有效触发。完整 16 组参数扫描亦无正 Sharpe 组合。结论比"成本太高"更根本：日频收盘价下，近月-次近月价差的可捕捉偏离过少，T+1 执行进一步错过了可能存在的盘中回归。后续若继续此方向，应优先获取分钟级行情和盘口数据，而非在日频参数上做网格搜索。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5. IC-IM 组合策略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本报告原计划构建"吃贴水 + 跨期套利"的双策略组合——以吃贴水获取方向性收益与展期补偿，以跨期套利提供与指数方向不相关的第二收益来源。但第 4 章结果显示，跨期套利在日频 T+1 框架下 IC 和 IM 均无任何参数组合取得正 Sharpe，且代表性参数下无有效交易触发。将一个无正期望的策略腿加入组合，只会稀释吃贴水的收益并增加无谓的交易摩擦，不具备组合逻辑上的合理性。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因此，本章实际分析转向 IC 与 IM 吃贴水策略的品种组合——检验同类策略在不同股指期货品种之间是否具备分散价值。这一转向是对研究事实的诚实回应：在研究框架内找不到第二 alpha 来源时，不强行构造"为组合而组合"的结构。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5.1 组合设计的出发点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吃贴水策略在 IC 和 IM 上都跑出了正的年化超额（IC 9.62% vs 指数 0.83%，IM 15.88% vs 指数 5.31%）。直观想法是把两个品种放在一起，降低单一品种的方向风险，拿到更平滑的收益曲线。组合方式考虑等权（各 50% 资金）和波动率倒数加权。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但品种组合能不能有效，取决于相关性。如果两个品种的日收益高度同向，组合降不了波动——买入两个高度相关的资产，等于买入一个更大的同方向敞口。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5.2 IC-IM 相关性分析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取 IC Always 和 IM Always 策略的日收益序列，对齐到共同交易日（872 天），计算 Pearson 和 Spearman 相关系数。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与 IM 吃贴水策略日收益 Pearson r 约 0.95，Spearman ρ 约 0.93。两个品种几乎同涨同跌。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背后的逻辑在于：IC 跟踪中证 500、IM 跟踪中证 1000，两者均为中小盘风格指数，成分股高度重合于 A 股市场的同质化系统性风险。同时，两者的贴水结构由共同的市场机制驱动——对冲需求、市场情绪、资金面——而非独立的基本面因素。市场下跌时，两个品种同时下跌且贴水同步扩大；市场上涨时，两者同步反弹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54667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rel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466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11 IC-IM 日收益相关性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说明：IC 与 IM 吃贴水策略日收益的散点图和回归线。相关性约 0.95，二者高度同涨同跌，简单组合不能形成有效分散。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11：每个散点代表一个交易日的 IC 与 IM 策略日收益。OLS 拟合线斜率接近 1，散点紧密围绕拟合线。左上角标注的 Pearson r 和 Spearman ρ 说明线性相关和秩相关都极强。资料来源：IC/IM 期货与指数数据，本报告计算。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5.3 组合的局限性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相关性 0.95 之下，品种分散基本无效。代入两品种年化波动（IC 30.05%，IM 32.71%）和相关性 0.95，等权组合波动率约 31.0%，仅略低于单独持有 IM（32.71%），谈不上改善。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实际组合结果由单品种的策略逻辑决定：IC Always 夏普 0.22（11 年样本），IM Always 夏普 0.39（3.5 年样本）。等权组合夏普约 0.30，卡在两者之间，不会超过单独持有更好的一方。这是高相关性下的数学必然——组合权重回到无信息先验，分散化收益被相关性吃光。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更关键的是，IM 仅 3.5 年样本，没经历过完整市场周期。样本内 IM 夏普更高，不意味着 IC+IM 组合比 IC-only 更优。IC 有 11 年，穿越了 2015 年股灾、2016 年熔断、2018 年熊市和 2020 年 COVID。IC-only 的推论置信度远高于任何涉及 IM 的组合。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5.4 结论与后续方向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在我们的样本中，IC 和 IM 吃贴水策略不能靠简单品种组合实现有意义的风险分散。这是负向结果，但划出了策略边界：组合管理不应指望 IC-IM 品种分散，需要引入与权益 beta 不相关的 alpha 来源。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后续若要在组合层面改善，值得关注：（1）IC/IM 与 IF（沪深 300）、IH（上证 50）的跨品种分散——大盘和中小盘风格差异可能带来更低的策略收益相关性；（2）动态权重——基于基差率或波动率差异调整品种配比，不做固定组合。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6. 统计检验与收益归因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6.1 Block Bootstrap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采用循环块 Bootstrap（block=10 天，2000 次重采样）检验策略相对指数的 Sharpe 差异。H0：SR_diff = 0。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11 Bootstrap 显著性检验：Block Bootstrap 重采样下的 Sharpe 差异分布、置信区间和 p 值。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观测 SR 差异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下限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上限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p 值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覆盖 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0.3051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-0.1669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0.8246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0.1980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是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0.2864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-0.4077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1.0583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0.4100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是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12 Bootstrap 显著性检验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说明：展示策略相对指数 Sharpe 差异的 Block Bootstrap 重采样分布。两个品种的置信区间都覆盖 0，不能认为策略在统计意义上显著优于指数。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12：两个品种的观测 SR 差异均为正，但 95% CI 均覆盖 0。IC p = 0.1980，IM p = 0.4100，不能拒绝"SR 差异为 0"的原假设。IM CI 更宽（[-0.41, 1.06] vs IC [-0.17, 0.82]），反映 IM 样本较短导致估计标准差更大。策略的历史超额不具备统计显著性。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6.2 无截距归因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采用无截距回归：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r_strategy = β × r_index + ε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。残差年均值衡量扣除指数 beta 后的超额。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12 无截距收益归因：将策略日收益按无截距模型拆解为指数驱动和残差两部分。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残差年化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NW t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跟踪误差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信息比率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13.79%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-0.71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30.04%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0.46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8.33%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17.80%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0.47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19.11%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32.67%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0.59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0.37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12.74%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0.87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85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ttribu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13 收益归因分解（无截距）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说明：将策略收益拆解为 beta 驱动的指数收益和残差两部分。Beta 很低，R² 接近 0，日收益中包含大量换仓跳跃、贴水收敛和期货自身价格路径的影响。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13：日频归因 β 接近 0，R² ≈ 0。策略日收益中含合约切换跳空、展期和基差收敛等噪声成分，同期指数日收益对此解释力极弱。日频无截距归因不适合用于拆分策略收益来源。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6.3 有截距 CAPM 归因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加入截距项：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r_strategy = α + β × r_index + ε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。α_annual 衡量扣除 β 暴露后的年化超额。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13 有截距 CAPM 归因（日频）：加入截距项后的日频 CAPM 归因，α 衡量扣除指数 beta 后的平均日超额。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α_annual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t(α)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t(β)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N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13.79%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-1.28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2,641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8.33%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1.55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2,641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19.12%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1.79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1.64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0.46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871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日频 α 为正但 t 值均 &lt; 2（IC Always t = 1.52，IM Always t = 1.11），不具备统计显著性。β 和 R² 偏低同样源于日频噪声。改为月频回归：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14 有截距 CAPM 归因（月频）：用月度收益替代日收益进行有截距 CAPM 回归，作为日频结果的稳健性检查。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α_annual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t(α)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t(β)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月数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Always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9.16%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1.94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0.67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12.98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0.566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131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Always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11.07%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1.32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0.76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8.82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0.649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7198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pm_attribu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1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14 有截距 CAPM 归因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说明：加入截距项后的 CAPM 归因结果。日频下 α 为正但 t 值均低于 2，不能认为有稳定独立 alpha。月频回归 Beta 约 0.67-0.76，更符合金融直觉。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14：月频结果更合理且更符合金融直觉。IC β = 0.67（R² = 0.57），IM β = 0.76（R² = 0.65），策略确有显著的权益方向暴露。α 的 t 值仍 &lt; 2，月频下同样不能认为存在独立 alpha。综合日频和月频结果，策略收益来源于权益 beta、基差收敛和展期补偿的混合，不宜将残差项直接解释为纯 alpha。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7. 补充分析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7.1 交易成本敏感性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0281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st_stre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02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15 成本压力测试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说明：将交易成本从 1 倍逐级放大到 10 倍，观察策略年化收益的变化。策略换手低，对交易成本不敏感，成本不是主要矛盾。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15：将交易成本从基准（×1）逐级放大至 ×10，IC Always 年化收益衰减有限。策略换手低（主要交易集中在展期日），期货手续费相对名义本金比例极小。成本不是策略的主要约束。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策略核心风险在于贴水结构的持续性。若未来 IC/IM 贴水大幅收窄或转入升水，展期补偿将减弱或消失。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7.2 制度约束与资金占用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实盘需关注的制度因素：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保证金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：中金所保证金比例约 12%。以 IC 5,500 点计，一手名义本金约 110 万元，保证金约 13.2 万元。初始资金 100 万元可持有 3-5 手，杠杆 3-5 倍。需保留现金应对逐日盯市的盘中浮亏。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展期操作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：换仓日存在双边持仓窗口，保证金占用翻倍。可拆至 2-3 天完成以降低瞬时资金压力。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制度变迁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：2015 年后保证金从 10% 升至 40%，2017-2019 年逐步松绑。当前规则已正常化，但市场异常波动时限制可能再度收紧。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流动性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：主力合约流动性充足，但规模升至数百手以上时，展期日需注意时间分布，避免集中换仓产生的价格冲击。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8. 风险提示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1. 策略最大回撤超 50%，方向风险是主导风险，不宜定位为低波动或绝对收益策略。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2. Bootstrap 检验未拒绝 SR 差异为 0，α 的 t 值均 &lt; 2，历史超额在统计意义上不显著。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3. IM 仅 872 个主力交易日（3.5 年），未经历完整市场周期，相关结论置信度低于 IC。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4. IC 与 IM 日收益相关性约 0.95，品种组合不能替代真正的策略分散。组合管理应引入与权益 beta 不相关的 alpha 来源。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5. B&lt;-1.5% 阈值为样本内观察，不代表未来最优。参数在样本内存在过拟合风险。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6. 跨期套利在日频 T+1 下无交易价值。若使用更高频数据，结论可能不同。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7. 风控版本夏普均为负，策略的贴水补偿不足以支撑降杠杆和调仓摩擦。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8. 股指期货历史上经历过手续费、保证金和开平仓限制的重大变化，制度风险不可忽视。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9. 当前基差未经分红调整。中证 500/1000 成分股每年 5-8 月集中分红，期间现货指数自然下跌会虚增贴水幅度。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10. 本研究基于公开历史数据的回测，样本外表现可能与回测结果有重大偏差。所有结论均为历史观察，不构成投资建议。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9. 结论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策略定位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吃贴水策略的定位：带有展期补偿的股指期货多头工具，不是市场中性套利。其超额来自贴水结构下的基差收敛与展期补偿，主要风险来自指数的方向波动。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稳定性评估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从三个维度看策略的稳定程度：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样本外：IC 测试期（2021-2026）年化 7.24%，方向正确但回撤仍达 -54.12%。训练期含 2015 年股灾，表现差，不宜简单对比。关键约束：测试期本身未经历 2015 级极端行情，不能以此推断策略能扛住下一次市场冲击。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市场状态依赖：策略上涨期年化 47.6%、下跌期 -13.1%，涨跌收益差 60.7pp。市场方向是第一驱动力，贴水补偿只给相对指数的超额，不给绝对保护。高波动期的更高收益是期间上涨行情带的，高波动本身没有溢价。</w:t>
      </w:r>
    </w:p>
    <w:p>
      <w:pPr>
        <w:pStyle w:val="ListBullet"/>
        <w:spacing w:lineRule="exac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风控代价：波动率目标和回撤控制可以机械降回撤，但所有风控版本夏普为负。贴水补偿太薄，经不起主动降杠杆——这是策略的根本约束：降风险就要牺牲收益，两头不能兼顾。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总体看：吃贴水策略的历史表现对市场阶段高度敏感。样本内有正超额，但超额不穿越牛熊。策略更适合做仓位置换——用期货替代 ETF 或指增，拿额外展期补偿——而非押注策略本身的绝对收益能力。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品种组合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和 IM 日收益相关性约 0.95，品种分散化价值有限。IC-only 有 11 年完整周期覆盖，是比任何涉及 IM 的组合更可信的基准配置。组合管理的改善方向在于引入与权益 beta 不相关的策略，而非在同质资产内部调权重。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适用场景</w:t>
      </w:r>
    </w:p>
    <w:p>
      <w:pPr>
        <w:spacing w:lineRule="exac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指增和方向性产品可以把策略当作指数增强模块，年化增厚约 3-9pp，视品种和时段而定。绝对收益和低回撤产品不建议单独配置——风控降杠杆后夏普为负，策略没有独立于 beta 的超额。多策略组合中可以占 10-20% 仓位充当权益 beta 来源，但需要搭配与权益负相关或不相关的策略。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优先后续方向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1. 分钟级行情回测跨期价差，检验 T+0 执行是否可捕捉日频下被滞后吃掉的价差回归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2. 多腿价差（蝶式套利）探索更稳定的均值回复结构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3. 分红调整基差以更准确衡量展期补偿</w:t>
      </w:r>
    </w:p>
    <w:p>
      <w:pPr>
        <w:spacing w:lineRule="exac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4. 跨品种（IF/IH）的分散化分析——大盘 vs 中小盘风格差异可能提供更有意义的低相关性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附录：图表清单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15 图表清单：报告中全部 15 张图表的编号、文件名和内容说明。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图号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文件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内容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fig_roll_yield.png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展期收益分布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fig_nav.png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策略净值曲线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fig_annual.png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年度收益拆分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fig_drawdown.png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回撤曲线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fig_heatmap.png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参数敏感性热力图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6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fig_oos_validation.png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样本外验证（训练/测试期）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7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fig_regime_segmentation.png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市场状态分段分析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8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fig_risk_control.png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风险控制策略净值对比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9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fig_spread.png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跨期价差与布林带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fig_spread_failure.png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跨期套利失败原因拆解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fig_correlation.png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IC-IM 日收益相关性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fig_bootstrap.png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Bootstrap 显著性检验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收益归因分解（无截距）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fig_capm_attribution.png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有截距 CAPM 归因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fig_cost_stress.png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成本压力测试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sectPr w:rsidR="00FC693F" w:rsidRPr="0006063C" w:rsidSect="00034616">
      <w:pgSz w:w="11906" w:h="16838"/>
      <w:pgMar w:top="1361" w:right="1446" w:bottom="1247" w:left="144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 w:eastAsia="宋体"/>
        <w:b w:val="0"/>
        <w:i w:val="0"/>
        <w:color w:val="555555"/>
        <w:sz w:val="19"/>
      </w:rPr>
      <w:t xml:space="preserve">第 </w:t>
    </w:r>
    <w:r>
      <w:rPr>
        <w:rFonts w:ascii="Times New Roman" w:hAnsi="Times New Roman" w:eastAsia="宋体"/>
        <w:b w:val="0"/>
        <w:i w:val="0"/>
        <w:color w:val="555555"/>
        <w:sz w:val="19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/>
        <w:b w:val="0"/>
        <w:i w:val="0"/>
        <w:color w:val="555555"/>
        <w:sz w:val="19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 w:eastAsia="宋体"/>
        <w:b w:val="0"/>
        <w:i w:val="0"/>
        <w:color w:val="555555"/>
        <w:sz w:val="19"/>
      </w:rPr>
      <w:t>股指期货套利策略研究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