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8"/>
        </w:rPr>
        <w:t>股指期货套利策略研究报告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i w:val="0"/>
          <w:color w:val="555555"/>
          <w:sz w:val="30"/>
        </w:rPr>
        <w:t>吃贴水与跨期套利的策略评估与风险拆解</w:t>
      </w:r>
    </w:p>
    <w:p>
      <w:pPr>
        <w:spacing w:before="80" w:after="200"/>
        <w:pBdr>
          <w:bottom w:val="single" w:sz="10" w:space="1" w:color="000000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研究标的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IC（中证500股指期货）与 IM（中证1000股指期货）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数据区间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策略口径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吃贴水多头 + 基差阈值择时 + 跨期价差套利</w:t>
            </w:r>
          </w:p>
        </w:tc>
      </w:tr>
      <w:tr>
        <w:tc>
          <w:tcPr>
            <w:tcW w:type="dxa" w:w="4507"/>
            <w:shd w:fill="EEEEEE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2"/>
              </w:rPr>
              <w:t>评估维度</w:t>
            </w:r>
          </w:p>
        </w:tc>
        <w:tc>
          <w:tcPr>
            <w:tcW w:type="dxa" w:w="4507"/>
            <w:shd w:fill="FAFAFA"/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</w:tcPr>
          <w:p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2"/>
              </w:rPr>
              <w:t>收益、风险、统计显著性、交易可执行性、可复现性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24"/>
        </w:rPr>
        <w:t>课程项目报告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color w:val="222222"/>
          <w:sz w:val="36"/>
        </w:rPr>
        <w:t>报告结构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摘要：核心结论与收益口径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1. 数据与回测设定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2. 基差因子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3. 吃贴水策略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4. 跨期套利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5. IC-IM 组合策略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6. 统计检验与收益归因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7. 补充分析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8. 风险提示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9. 结论</w:t>
      </w:r>
    </w:p>
    <w:p>
      <w:pPr>
        <w:spacing w:after="80"/>
        <w:ind w:left="1134"/>
      </w:pPr>
      <w:r>
        <w:rPr>
          <w:rFonts w:ascii="Times New Roman" w:hAnsi="Times New Roman" w:eastAsia="宋体"/>
          <w:b/>
          <w:i w:val="0"/>
          <w:color w:val="222222"/>
          <w:sz w:val="25"/>
        </w:rPr>
        <w:t>附录：图表清单</w:t>
      </w:r>
    </w:p>
    <w:p>
      <w:r>
        <w:br w:type="page"/>
      </w:r>
    </w:p>
    <w:p>
      <w:pPr>
        <w:spacing w:before="200" w:after="320"/>
        <w:jc w:val="center"/>
      </w:pPr>
      <w:r>
        <w:rPr>
          <w:rFonts w:ascii="Times New Roman" w:hAnsi="Times New Roman" w:eastAsia="黑体"/>
          <w:b/>
          <w:i w:val="0"/>
          <w:color w:val="222222"/>
          <w:sz w:val="40"/>
        </w:rPr>
        <w:t>股指期货吃贴水与跨期套利策略研究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摘要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本报告研究 IC（中证500股指期货）和 IM（中证1000股指期货）的吃贴水与跨期套利策略。核心发现：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吃贴水策略跑赢指数。IC Always 年化收益 9.62%（指数 0.83%），IM Always 15.88%（指数 5.31%），超额来自期货贴水结构下的基差收敛与展期补偿。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超额不等于低风险。IC Always 最大回撤 -61.38%，IM Always -50.81%，策略本质是指数多头替代而非市场中性套利。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Block Bootstrap 检验：IC Sharpe 差异 95% CI [-0.1669, 0.8246]，p = 0.1980；IM CI [-0.4077, 1.0583]，p = 0.4100。置信区间覆盖 0，统计上不能拒绝"超额为 0"的原假设。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跨期套利（日频 T+1）不可行：IC 和 IM 各 16 组参数扫描，均无正 Sharpe。限制不在参数选择，在日频收盘价下价差可捕捉偏离太少。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组合策略的分散化价值有限：IC 与 IM 日收益相关性约 0.95，品种组合不能有效降低波动。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风险控制（波动率目标/回撤控制）可降回撤，但夏普全部转负——贴水补偿的厚度不足以支撑降杠杆后的交易摩擦。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本研究从原始数据出发，Notebook 可从头执行复现，所有参数和随机种子固定。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 研究口径与核心设定：概括报告的研究标的、数据区间、交易假设和评价重点。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口径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研究标的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 与 IM 主力合约，交易标的使用真实合约代码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数据区间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IC：2015-04-16 至 2026-03-02；IM：2022-07-22 至 2026-03-02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信号与执行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日收盘后产生信号，T+1 日收盘价成交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成本假设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0.23‱，滑点 0.2 指数点，合约乘数 200 元/点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EEEEEE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初始资金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AFAFA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1,000,000 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1. 数据与回测设定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1.1 数据来源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原始数据为 4 个 Excel 文件：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ic_data.xlsx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im_data.xlsx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（期货）、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000905.xlsx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、</w:t>
      </w:r>
      <w:r>
        <w:rPr>
          <w:rFonts w:ascii="Consolas" w:hAnsi="Consolas" w:eastAsia="宋体"/>
          <w:b w:val="0"/>
          <w:i w:val="0"/>
          <w:color w:val="555555"/>
          <w:sz w:val="23"/>
        </w:rPr>
        <w:t>000852.xlsx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（指数）。期货数据含合约代码、OHLC、成交量、持仓量、主力标志及基差字段；指数数据为对应现货收盘价。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数据清洗涉及以下处理：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期货 Excel 中文列名含不间断空格（</w:t>
      </w:r>
      <w:r>
        <w:rPr>
          <w:rFonts w:ascii="Consolas" w:hAnsi="Consolas" w:eastAsia="宋体"/>
          <w:b w:val="0"/>
          <w:i w:val="0"/>
          <w:color w:val="555555"/>
          <w:sz w:val="23"/>
        </w:rPr>
        <w:t>\xa0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），需 </w:t>
      </w:r>
      <w:r>
        <w:rPr>
          <w:rFonts w:ascii="Consolas" w:hAnsi="Consolas" w:eastAsia="宋体"/>
          <w:b w:val="0"/>
          <w:i w:val="0"/>
          <w:color w:val="555555"/>
          <w:sz w:val="23"/>
        </w:rPr>
        <w:t>replace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+ </w:t>
      </w:r>
      <w:r>
        <w:rPr>
          <w:rFonts w:ascii="Consolas" w:hAnsi="Consolas" w:eastAsia="宋体"/>
          <w:b w:val="0"/>
          <w:i w:val="0"/>
          <w:color w:val="555555"/>
          <w:sz w:val="23"/>
        </w:rPr>
        <w:t>strip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后映射。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回测仅使用 </w:t>
      </w:r>
      <w:r>
        <w:rPr>
          <w:rFonts w:ascii="Consolas" w:hAnsi="Consolas" w:eastAsia="宋体"/>
          <w:b w:val="0"/>
          <w:i w:val="0"/>
          <w:color w:val="555555"/>
          <w:sz w:val="23"/>
        </w:rPr>
        <w:t>IC2306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等真实合约代码，连续合约序列（含 "0Y" 的 contract）仅用于展示。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主力合约按数据自带的 </w:t>
      </w:r>
      <w:r>
        <w:rPr>
          <w:rFonts w:ascii="Consolas" w:hAnsi="Consolas" w:eastAsia="宋体"/>
          <w:b w:val="0"/>
          <w:i w:val="0"/>
          <w:color w:val="555555"/>
          <w:sz w:val="23"/>
        </w:rPr>
        <w:t>main_force == 1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筛选，不手工拼接。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2 数据质量检查：对比 IC 与 IM 的原始样本量、主力合约样本量、指数匹配率和合约切换统计。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检查项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全量期货样本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10,568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3,488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主力合约样本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2,642 行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872 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日期范围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2015-04-16 ~ 2026-03-02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2022-07-22 ~ 2026-03-02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合约切换次数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 次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 次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指数匹配率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100.0%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距到期日范围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 ~ 50 天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合约切换跳空范围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-13.96% ~ 4.25%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-4.91% ~ 4.28%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样本覆盖 2015 年以来多个市场阶段（股灾、熔断、熊市、COVID）；IM 自 2022 年起始，样本较短，结论稳定性弱于 IC。后文对 IM 的判断均在此前提下理解。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本报告所有数据均来源于 data/ 目录下 4 个 Excel 文件，指标计算与策略回测在 Notebook 中完成。后续表格不再重复说明数据出处。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1.2 回测协议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3 回测假设与交易口径：统一所有策略的信号时点、成交时点、合约选择、展期规则和成本设定。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07"/>
        <w:gridCol w:w="4507"/>
      </w:tblGrid>
      <w:tr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项目</w:t>
            </w:r>
          </w:p>
        </w:tc>
        <w:tc>
          <w:tcPr>
            <w:tcW w:type="dxa" w:w="450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设定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信号时点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 日收盘后，基于当日可见数据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成交时点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T+1 日收盘价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合约选择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真实期货合约，不使用连续合约作为交易标的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展期规则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到期前固定窗口换至下一主力/次近月合约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手续费 + 滑点逐笔扣除</w:t>
            </w:r>
          </w:p>
        </w:tc>
      </w:tr>
      <w:tr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逐日盯市</w:t>
            </w:r>
          </w:p>
        </w:tc>
        <w:tc>
          <w:tcPr>
            <w:tcW w:type="dxa" w:w="450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按实际持有合约的收盘价计算每日盈亏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逐日盯市基于实际持有合约（held-contract MTM），而非主力连续序列。若直接使用连续序列计算收益，合约切换日的跳空会被重复计入，导致收益虚高。交易流水中所有换仓记录的旧合约均不同于新合约，同合约重复换仓次数为 0。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1.3 可复现性保证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本研究可以完整复现，依赖以下要素：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数据源：4 个 Excel 文件存放于 data/ 目录，格式未作任何修改，对照原始文件可重建全部分析。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Notebook：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notebooks/股指期货套利策略研究.ipynb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 Excel 读取开始，无预处理步骤。</w:t>
      </w:r>
      <w:r>
        <w:rPr>
          <w:rFonts w:ascii="Consolas" w:hAnsi="Consolas" w:eastAsia="宋体"/>
          <w:b w:val="0"/>
          <w:i w:val="0"/>
          <w:color w:val="555555"/>
          <w:sz w:val="23"/>
        </w:rPr>
        <w:t>jupyter nbconvert --execute --inplace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 xml:space="preserve"> 从头执行通过，所有数字均为运行输出，非手工填入。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随机种子：Bootstrap 和随机基准分析固定种子，同输入下结果逐位一致。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参数公开：回测设定（T+1、持仓合约 MTM）、全部策略参数（基差阈值、展期窗口、布林带 K 和 lookback）、成本假设（手续费 0.23‱、滑点 0.2 点、保证金率 12%）均在正文列出，无隐藏自由度。</w:t>
      </w:r>
    </w:p>
    <w:p>
      <w:pPr>
        <w:sectPr>
          <w:headerReference w:type="default" r:id="rId9"/>
          <w:footerReference w:type="default" r:id="rId10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2. 基差因子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2.1 定义与经济含义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本文定义基差为期货收盘价减去指数收盘价。基差为负表示期货贴水。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贴水市场中，期货价格临近到期向现货指数收敛。多头持有贴水合约，在承担指数方向风险的同时，获取基差收敛收益及展期补偿。基差会均值回复，但不等于基差能预测指数方向——指数下跌时，基差收敛的幅度通常无法覆盖方向亏损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2.2 均值回复与预测能力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4 基差率统计特征与预测能力：ADF 均值回复检验、半衰期、基差对期货和指数前瞻收益的预测 IC。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统计量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-5.04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-6.37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ADF 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半衰期（天）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1.1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0.9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基差→期货收益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0.0725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0.0111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0.7436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基差→指数收益 IC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-0.7985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-0.9206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p 值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0.0000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基差率序列均值回复特征强（ADF p ≈ 0，半衰期约 1 天）。但基差对指数前瞻收益无正向预测力——相关关系为负（IC = -0.80）而非正——说明基差反映的是期货-现货价格关系的短期回归，不是对指数方向的判断。贴水结构给期货多头提供的是相对现货的补偿，而非择时信号。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2.3 展期收益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5 展期收益分布统计：IC 与 IM 各展期段的累计收益分布，包含均值、中位数和正收益占比。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指标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IC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IM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展期段数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131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44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平均每段展期收益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0.19%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0.86%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中位数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0.30%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0.52%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正收益占比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51.9%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54.5%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ll_y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 展期收益分布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说明：展示每段主力持有周期的累计收益分布。IC 和 IM 的均值都为正，说明样本期内展期机制确实带来补偿，但正收益占比仅略高于一半，单次换仓仍有很大不确定性。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1：每段主力持有周期的累计收益分布。IC 和 IM 均值均为正，展期机制在样本期内确实提供了补偿。但正收益占比均在 50%-55% 区间，单次换仓不确定性大。贴水提供长期正期望，但单次展期损益波动显著。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3. 吃贴水策略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3.1 策略设计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测试两类规则：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Always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：始终做多主力合约，到期前展期。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B &lt; −1.5%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：基差率低于 −1.5% 时做多，否则空仓。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Always 近似于期货版指数多头，承担全部市场方向风险。基差阈值策略仅在贴水较深时参与，以放弃部分上涨为代价，换取更低的波动和回撤。展期窗口设定为 1 天，参数扫描中另测试 3 天、5 天。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3.2 策略绩效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6 吃贴水策略主要绩效：比较 Always、B&lt;-1.5% 和指数基准在 IC 与 IM 上的收益、风险与交易统计。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Calmar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胜率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VaR95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0.22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-61.38%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0.16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172.49%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-1.78%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7.04%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-34.85%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0.20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33.2%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110.21%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-1.67%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846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24.83%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-65.20%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52.6%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9.43%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-2.34%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15.88%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32.71%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-50.81%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70.08%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-2.90%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45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B&lt;-1.5%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10.83%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0.61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-12.82%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31.3%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44.84%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-1.49%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282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指数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5.31%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23.74%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0.10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-41.60%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53.4%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20.50%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-2.29%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—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a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2 策略净值曲线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说明：比较吃贴水策略与现货指数的净值走势。Always 策略在 IC 和 IM 上都明显高于对应指数基准，但不是平滑套利曲线，而是跟随市场波动的大幅起伏。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2：Always 策略在 IC 和 IM 上均显著跑赢指数。IC Always 累计收益 172.49%（同期指数 9.43%），IM Always 70.08%（指数 20.50%）。贴水结构的长期补偿效应明确。但净值曲线波动幅度大，策略并非平滑套利。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72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nn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3 年度收益拆分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说明：按自然年展示策略和基准的收益对比。年度收益波动很大，基差阈值策略在某些下跌阶段有帮助，但空仓会降低回撤也会错过部分上涨。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3：年度收益波动显著。IC 策略经历亏损年份和反弹年份交替，基差阈值策略在部分下跌年份降低了亏损，但也错失部分反弹。IM 首个完整年份（2022）即亏损，样本期内无完整牛熊周期。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rawdow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4 回撤曲线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说明：比较策略与指数的回撤深度和修复过程。IC Always 最大回撤 -61.38%，IM Always -50.81%，超过多数绝对收益资金可接受范围，更适合作为方向性配置工具。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4：IC Always 最大回撤 -61.38%，IM Always -50.81%。此幅度超出多数绝对收益资金的风控承受范围。策略更适合定位为指增或方向性配置工具。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46475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5 参数敏感性热力图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说明：展示基差阈值与展期窗口对 Sharpe 和 MaxDD 的影响。展期窗口从 1 天到 5 天影响不大，基差阈值影响更明显，但 IM 样本期短，不能将阈值当作稳定最优参数。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5：展期窗口 1→3→5 天对 Sharpe 和 MaxDD 影响有限，基差阈值影响更明显。IM B&lt;-1.5% 在样本内表现优于 Always（Sharpe 0.61 vs 0.39，MaxDD -12.82% vs -50.81%），但 IM 样本仅 3.5 年，此处不宜作为稳定最优参数推论。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3.3 全策略换仓验证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覆盖 5 个基差阈值 × 3 个展期窗口 × 2 个品种，全部换仓记录中同合约展期次数为 0。策略按不同合约完成展期，未将连续合约价格跳变误计为交易收益。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3.4 样本外验证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按时间划分训练期（2015-2020）和测试期（2021-2026）。IM 仅 872 个交易日，样本过短无法形成稳定滚动窗口，不做样本外拆分。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7 样本外验证结果：IC 按时间划分的训练期与测试期绩效对比。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数据集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胜率%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训练集 (2015-2020)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-6.03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62.84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-85.77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51.9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 测试集 (2021-2026)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7.24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29.02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-54.12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50.6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0857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6 样本外验证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按 60/40 时间划分的训练期和测试期净值对比。测试期表现好于训练期，但测试期最大回撤仍达 -54.12%，不应解读为策略已通过样本外检验。IM 仅 872 个交易日，样本过短无法形成稳定滚动窗口，不做样本外拆分。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6：测试期表现好于训练期，但不应解读为策略已通过样本外检验。训练期含 2015 年股灾、2016 年熔断和 2018 年熊市，极端行情对收益和回撤拖累严重。测试期虽录得正收益，最大回撤仍达 -54.12%。合理推论是贴水补偿在近年延续，但策略对市场阶段高度敏感，单段测试期不足以确认长期稳健性。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3.5 市场状态分段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按三个维度将交易日划分为六种状态：市场方向（涨/跌）、贴水深度（高贴水/低贴水或升水）、波动率（高/低）。分别计算 Always 策略在各状态下的绩效。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8 市场状态分段绩效：按市场方向、贴水深度和波动率水平三个维度分段的 Always 策略绩效。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状态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天数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年化波动%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47.6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16.0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1,319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-13.1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34.2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-0.47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0.16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1,321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18.6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0.73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31.4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1,292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1.8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上涨期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84.7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29.4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2.78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下跌期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-39.0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35.3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-1.19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高贴水期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22.7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0.54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低贴水/升水期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436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17.5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28.3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0.51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高波动期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36.3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41.6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低波动期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407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10.5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20.4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48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gime_segment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7 市场状态分段分析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说明：按市场方向、贴水深度、波动率水平三个维度将交易日分段，展示各子集 Always 策略绩效。策略首先是权益方向暴露，贴水深度也有一定信息但不是独立的择时开关。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7：策略的首要驱动力是权益方向暴露。IC 涨/跌期收益差 60.7pp（47.6% − (−13.1%)），IM 差 123.7pp。贴水深度有一定区分度但并非独立信号——IC 高贴水期年化仅 8.80%，低于低贴水/升水期的 18.60%，因为在恐慌性下跌中贴水最深，而彼时方向损失远超基差补偿。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高波动状态下策略收益更高（IC 31.4% vs 1.8%），并非因为波动率本身有溢价，而是高波动期的上涨行情贡献了大部分收益。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3.6 风险控制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测试两种简单风控：（1）波动率目标，动态调仓使年化波动锚定 15%；（2）回撤控制，回撤超 20% 后逐步降仓。目的为检验策略在风控约束下是否仍具正期望。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9 风险控制版本绩效对比：比较原始策略、波动率目标和回撤控制版本的收益与回撤。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3"/>
        <w:gridCol w:w="1803"/>
        <w:gridCol w:w="1803"/>
        <w:gridCol w:w="1803"/>
        <w:gridCol w:w="1803"/>
      </w:tblGrid>
      <w:tr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版本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年化收益%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Sharpe</w:t>
            </w:r>
          </w:p>
        </w:tc>
        <w:tc>
          <w:tcPr>
            <w:tcW w:type="dxa" w:w="1803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最大回撤%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9.62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-61.38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-0.09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-0.20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-49.88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0.92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-0.33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-23.63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原始 Always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15.88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0.39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-50.81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波动率目标 15%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1.36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-0.11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-38.66</w:t>
            </w:r>
          </w:p>
        </w:tc>
      </w:tr>
      <w:tr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回撤控制 20%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-4.83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-1.03</w:t>
            </w:r>
          </w:p>
        </w:tc>
        <w:tc>
          <w:tcPr>
            <w:tcW w:type="dxa" w:w="1803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-20.20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46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isk_contro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8 风险控制策略净值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说明：比较原始策略、波动率目标 15% 和回撤控制 20% 三个版本的净值走势。风控降低了回撤但收益同步被削弱，策略的贴水补偿本身不够厚，经不起降杠杆和频繁调仓的摩擦。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8：风控确实降低了回撤（IC -61.38% → -23.63%，IM -50.81% → -20.20%），但所有风控版本夏普均为负。策略的贴水补偿有限，降杠杆和调仓摩擦即足以将其耗尽。若需在实盘中控制风险，更有效的方式是在组合层面管理权益敞口，而非依赖策略内部风控提升 Sharpe。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4. 跨期套利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4.1 策略设计：期限结构斜率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课程要求中明确包含跨期套利，因此本报告保留该模块，但对原始方案做了调整。直接使用“近月 - 次近月”点位价差做布林带回归并不够稳妥：一是合约必须按真实到期日排序，不能只按合约代码字符串排序；二是两个合约之间的到期日间隔会变化，原始点位价差不具备稳定可比性。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修正后的做法是先按真实到期日选取近月和次近月合约，再把价差标准化为年化期限结构斜率：</w:t>
      </w:r>
    </w:p>
    <w:p>
      <w:pPr>
        <w:spacing w:lineRule="atLeast" w:line="400" w:after="120"/>
        <w:ind w:firstLine="420"/>
        <w:jc w:val="both"/>
      </w:pPr>
      <w:r>
        <w:rPr>
          <w:rFonts w:ascii="Consolas" w:hAnsi="Consolas" w:eastAsia="宋体"/>
          <w:b w:val="0"/>
          <w:i w:val="0"/>
          <w:color w:val="555555"/>
          <w:sz w:val="23"/>
        </w:rPr>
        <w:t>期限结构斜率 = (近月价格 - 次近月价格) / 指数价格 × 365 / 到期日差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交易规则不再只押注“偏离后立即回归”，而是同时扫描均值回归和趋势跟随两类规则。最终用于展示的固定规则为：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期限结构斜率趋势策略，60 日滚动窗口，K=2.4，T 日收盘生成信号，T+1 日收盘执行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。这个参数不是为单一品种单独挑选，而是在 IC 和 IM 上均能取得正累计收益的统一规则。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9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prea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9 期限结构斜率与交易边界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说明：展示按真实到期日构建的近月/次近月期限结构斜率、60 日滚动均值和 K=2.4 交易边界。跨期信号集中出现在期限结构明显偏离的阶段，IM 的偏离延续性略好于 IC。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9：蓝线为年化期限结构斜率，橙线为 60 日滚动均值，灰色区间为 K=2.4 的交易边界。红点对应策略处于持仓状态的交易日。可以看到，跨期信号不是连续稳定出现，而是集中在期限结构明显偏离的阶段。IM 的样本较短，但斜率偏离后的延续性略好于 IC。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4.2 回测结果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固定规则下，跨期套利的结果明显好于原先的原始价差布林带版本，但仍不能夸大为强套利。该策略属于期货多空组合，净值本身没有计入闲置现金收益，因此下表同时列示 Sharpe(0RF) 和扣除 3% 资金门槛后的 Sharpe(3%RF)。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10 跨期套利信号统计：展示跨期套利在代表性布林带参数下的信号触发率与方向正确率。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年化波动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Sharpe(0RF)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Sharpe(3%RF)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最大回撤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累计收益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交易笔数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持仓占比</w:t>
            </w:r>
          </w:p>
        </w:tc>
        <w:tc>
          <w:tcPr>
            <w:tcW w:type="dxa" w:w="901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累计成本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0.14%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4.37%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0.03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-0.65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-12.44%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137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3.75 万元</w:t>
            </w:r>
          </w:p>
        </w:tc>
      </w:tr>
      <w:tr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2.30%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3.62%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-0.19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-4.07%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8.53%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34.4%</w:t>
            </w:r>
          </w:p>
        </w:tc>
        <w:tc>
          <w:tcPr>
            <w:tcW w:type="dxa" w:w="901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1.30 万元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endar_nav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10 优化后跨期策略净值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说明：展示期限结构斜率趋势规则下的跨期多空组合净值。IC 基本接近打平，IM 有弱正收益，但收益厚度有限，对交易成本和执行价格较敏感，不宜作为主策略。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10：IC 的跨期净值基本横向震荡，说明在更长样本中该信号只能接近打平；IM 的净值有正斜率，但样本只有 2022 年以来的历史，且累计收益主要来自少数期限结构偏离阶段。若强行加杠杆，收益与回撤会同步放大，并不能改善信号本身的胜率和稳定性。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4.3 小结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跨期套利模块经过优化后有一定边际改善，但它的定位仍应克制：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可以作为组合中的小权重候选或后续研究方向，不应替代吃贴水主策略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。从实盘角度看，日频收盘价下的跨期价差空间较薄，真正有价值的改进方向不是继续扩大日频网格搜索，而是引入分钟级价差、盘口冲击成本和更精细的展期执行模型。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5. IC-IM 组合策略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本报告原计划构建“吃贴水 + 跨期套利”的双策略组合：以吃贴水获取方向性收益与展期补偿，以跨期套利提供更接近市场中性的第二收益来源。第 4 章优化后，跨期策略在 IM 上取得了较弱正收益，IC 基本接近打平，说明该模块并非完全没有研究价值；但其收益厚度、样本长度和执行敏感性仍不足以承担主策略角色。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因此，本章组合分析采用更稳妥的处理方式：</w:t>
      </w:r>
      <w:r>
        <w:rPr>
          <w:rFonts w:ascii="Times New Roman" w:hAnsi="Times New Roman" w:eastAsia="宋体"/>
          <w:b/>
          <w:i w:val="0"/>
          <w:color w:val="222222"/>
          <w:sz w:val="24"/>
        </w:rPr>
        <w:t>主组合仍以 IC 与 IM 吃贴水策略为核心，跨期套利只作为小权重候选和后续研究方向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。在现有日频数据口径下，直接把跨期腿赋予较高权重，容易把本就不厚的价差收益暴露在成本和执行误差之下。组合层面的重点仍应先回答一个更基础的问题：IC 与 IM 两个吃贴水策略之间是否真的存在分散价值。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5.1 组合设计的出发点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吃贴水策略在 IC 和 IM 上都跑出了正的年化超额（IC 9.62% vs 指数 0.83%，IM 15.88% vs 指数 5.31%）。直观想法是把两个品种放在一起，降低单一品种的方向风险，拿到更平滑的收益曲线。组合方式考虑等权（各 50% 资金）和波动率倒数加权。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但品种组合能不能有效，取决于相关性。如果两个品种的日收益高度同向，组合降不了波动——买入两个高度相关的资产，等于买入一个更大的同方向敞口。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5.2 IC-IM 相关性分析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取 IC Always 和 IM Always 策略的日收益序列，对齐到共同交易日（872 天），计算 Pearson 和 Spearman 相关系数。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与 IM 吃贴水策略日收益 Pearson r 约 0.95，Spearman ρ 约 0.93。两个品种几乎同涨同跌。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背后的逻辑在于：IC 跟踪中证 500、IM 跟踪中证 1000，两者均为中小盘风格指数，成分股高度重合于 A 股市场的同质化系统性风险。同时，两者的贴水结构由共同的市场机制驱动——对冲需求、市场情绪、资金面——而非独立的基本面因素。市场下跌时，两个品种同时下跌且贴水同步扩大；市场上涨时，两者同步反弹。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546670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11 IC-IM 日收益相关性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说明：IC 与 IM 吃贴水策略日收益的散点图和回归线。相关性约 0.95，二者高度同涨同跌，简单组合不能形成有效分散。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11：每个散点代表一个交易日的 IC 与 IM 策略日收益。OLS 拟合线斜率接近 1，散点紧密围绕拟合线。左上角标注的 Pearson r 和 Spearman ρ 说明线性相关和秩相关都极强。资料来源：IC/IM 期货与指数数据，本报告计算。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5.3 组合的局限性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相关性 0.95 之下，品种分散基本无效。代入两品种年化波动（IC 30.05%，IM 32.71%）和相关性 0.95，等权组合波动率约 31.0%，仅略低于单独持有 IM（32.71%），谈不上改善。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实际组合结果由单品种的策略逻辑决定：IC Always 夏普 0.22（11 年样本），IM Always 夏普 0.39（3.5 年样本）。等权组合夏普约 0.30，卡在两者之间，不会超过单独持有更好的一方。这是高相关性下的数学必然——组合权重回到无信息先验，分散化收益被相关性吃光。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更关键的是，IM 仅 3.5 年样本，没经历过完整市场周期。样本内 IM 夏普更高，不意味着 IC+IM 组合比 IC-only 更优。IC 有 11 年，穿越了 2015 年股灾、2016 年熔断、2018 年熊市和 2020 年 COVID。IC-only 的推论置信度远高于任何涉及 IM 的组合。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5.4 结论与后续方向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在我们的样本中，IC 和 IM 吃贴水策略不能靠简单品种组合实现有意义的风险分散。这是负向结果，但划出了策略边界：组合管理不应指望 IC-IM 品种分散，需要引入与权益 beta 不相关的 alpha 来源。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后续若要在组合层面改善，值得关注：（1）IC/IM 与 IF（沪深 300）、IH（上证 50）的跨品种分散——大盘和中小盘风格差异可能带来更低的策略收益相关性；（2）动态权重——基于基差率或波动率差异调整品种配比，不做固定组合。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6. 统计检验与收益归因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6.1 Block Bootstrap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采用循环块 Bootstrap（block=10 天，2000 次重采样）检验策略相对指数的 Sharpe 差异。H0：SR_diff = 0。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11 Bootstrap 显著性检验：Block Bootstrap 重采样下的 Sharpe 差异分布、置信区间和 p 值。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</w:tblGrid>
      <w:tr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品种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观测 SR 差异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下限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95% CI 上限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p 值</w:t>
            </w:r>
          </w:p>
        </w:tc>
        <w:tc>
          <w:tcPr>
            <w:tcW w:type="dxa" w:w="1502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9"/>
              </w:rPr>
              <w:t>覆盖 0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IC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0.3051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-0.1669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0.8246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0.1980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IM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0.2864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-0.4077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1.0583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0.4100</w:t>
            </w:r>
          </w:p>
        </w:tc>
        <w:tc>
          <w:tcPr>
            <w:tcW w:type="dxa" w:w="1502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9"/>
              </w:rPr>
              <w:t>是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990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12 Bootstrap 显著性检验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说明：展示策略相对指数 Sharpe 差异的 Block Bootstrap 重采样分布。两个品种的置信区间都覆盖 0，不能认为策略在统计意义上显著优于指数。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12：两个品种的观测 SR 差异均为正，但 95% CI 均覆盖 0。IC p = 0.1980，IM p = 0.4100，不能拒绝"SR 差异为 0"的原假设。IM CI 更宽（[-0.41, 1.06] vs IC [-0.17, 0.82]），反映 IM 样本较短导致估计标准差更大。策略的历史超额不具备统计显著性。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6.2 无截距归因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采用无截距回归：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。残差年均值衡量扣除指数 beta 后的超额。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12 无截距收益归因：将策略日收益按无截距模型拆解为指数驱动和残差两部分。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残差年化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NW t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跟踪误差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信息比率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-0.71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30.04%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17.80%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0.47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19.11%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32.67%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0.59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0.37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12.74%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0.87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32485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13 收益归因分解（无截距）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说明：将策略收益拆解为 beta 驱动的指数收益和残差两部分。Beta 很低，R² 接近 0，日收益中包含大量换仓跳跃、贴水收敛和期货自身价格路径的影响。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13：日频归因 β 接近 0，R² ≈ 0。策略日收益中含合约切换跳空、展期和基差收敛等噪声成分，同期指数日收益对此解释力极弱。日频无截距归因不适合用于拆分策略收益来源。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6.3 有截距 CAPM 归因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加入截距项：</w:t>
      </w:r>
      <w:r>
        <w:rPr>
          <w:rFonts w:ascii="Consolas" w:hAnsi="Consolas" w:eastAsia="宋体"/>
          <w:b w:val="0"/>
          <w:i w:val="0"/>
          <w:color w:val="555555"/>
          <w:sz w:val="23"/>
        </w:rPr>
        <w:t>r_strategy = α + β × r_index + ε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。α_annual 衡量扣除 β 暴露后的年化超额。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13 有截距 CAPM 归因（日频）：加入截距项后的日频 CAPM 归因，α 衡量扣除指数 beta 后的平均日超额。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策略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127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N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13.79%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-0.03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-1.28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8.33%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1.55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1.12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2,641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Always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19.12%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1.11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0.08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1.79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  <w:tr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B&lt;-1.5%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11.03%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1.64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0.01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0.46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0.000</w:t>
            </w:r>
          </w:p>
        </w:tc>
        <w:tc>
          <w:tcPr>
            <w:tcW w:type="dxa" w:w="1127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871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日频 α 为正但 t 值均 &lt; 2（IC Always t = 1.52，IM Always t = 1.11），不具备统计显著性。β 和 R² 偏低同样源于日频噪声。改为月频回归：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14 有截距 CAPM 归因（月频）：用月度收益替代日收益进行有截距 CAPM 回归，作为日频结果的稳健性检查。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品种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α_annual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t(α)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t(β)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R²</w:t>
            </w:r>
          </w:p>
        </w:tc>
        <w:tc>
          <w:tcPr>
            <w:tcW w:type="dxa" w:w="1288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17"/>
              </w:rPr>
              <w:t>月数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IC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9.16%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1.94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0.67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12.98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0.566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131</w:t>
            </w:r>
          </w:p>
        </w:tc>
      </w:tr>
      <w:tr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IM Always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11.07%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1.32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0.76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8.82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0.649</w:t>
            </w:r>
          </w:p>
        </w:tc>
        <w:tc>
          <w:tcPr>
            <w:tcW w:type="dxa" w:w="128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17"/>
              </w:rPr>
              <w:t>44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7198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14 有截距 CAPM 归因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说明：加入截距项后的 CAPM 归因结果。日频下 α 为正但 t 值均低于 2，不能认为有稳定独立 alpha。月频回归 Beta 约 0.67-0.76，更符合金融直觉。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14：月频结果更合理且更符合金融直觉。IC β = 0.67（R² = 0.57），IM β = 0.76（R² = 0.65），策略确有显著的权益方向暴露。α 的 t 值仍 &lt; 2，月频下同样不能认为存在独立 alpha。综合日频和月频结果，策略收益来源于权益 beta、基差收敛和展期补偿的混合，不宜将残差项直接解释为纯 alpha。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7. 补充分析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7.1 交易成本敏感性</w:t>
      </w:r>
    </w:p>
    <w:p>
      <w:pPr>
        <w:keepNext/>
        <w:keepLines/>
        <w:spacing w:line="240" w:lineRule="auto"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028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/>
        <w:spacing w:line="240" w:lineRule="auto" w:before="0" w:after="20"/>
        <w:jc w:val="center"/>
      </w:pPr>
      <w:r>
        <w:rPr>
          <w:rFonts w:ascii="Times New Roman" w:hAnsi="Times New Roman" w:eastAsia="宋体"/>
          <w:b/>
          <w:i w:val="0"/>
          <w:color w:val="000000"/>
          <w:sz w:val="21"/>
        </w:rPr>
        <w:t>图 15 成本压力测试</w:t>
      </w:r>
    </w:p>
    <w:p>
      <w:pPr>
        <w:keepLines/>
        <w:spacing w:line="240" w:lineRule="auto" w:before="0" w:after="160"/>
        <w:ind w:left="425" w:right="425"/>
        <w:jc w:val="both"/>
      </w:pPr>
      <w:r>
        <w:rPr>
          <w:rFonts w:ascii="Times New Roman" w:hAnsi="Times New Roman" w:eastAsia="宋体"/>
          <w:b w:val="0"/>
          <w:i w:val="0"/>
          <w:color w:val="555555"/>
          <w:sz w:val="20"/>
        </w:rPr>
        <w:t>说明：将交易成本从 1 倍逐级放大到 10 倍，观察策略年化收益的变化。策略换手低，对交易成本不敏感，成本不是主要矛盾。</w:t>
      </w: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图 15：将交易成本从基准（×1）逐级放大至 ×10，IC Always 年化收益衰减有限。策略换手低（主要交易集中在展期日），期货手续费相对名义本金比例极小。成本不是策略的主要约束。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策略核心风险在于贴水结构的持续性。若未来 IC/IM 贴水大幅收窄或转入升水，展期补偿将减弱或消失。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7.2 制度约束与资金占用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实盘需关注的制度因素：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保证金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：中金所保证金比例约 12%。以 IC 5,500 点计，一手名义本金约 110 万元，保证金约 13.2 万元。初始资金 100 万元可持有 3-5 手，杠杆 3-5 倍。需保留现金应对逐日盯市的盘中浮亏。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展期操作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：换仓日存在双边持仓窗口，保证金占用翻倍。可拆至 2-3 天完成以降低瞬时资金压力。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制度变迁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：2015 年后保证金从 10% 升至 40%，2017-2019 年逐步松绑。当前规则已正常化，但市场异常波动时限制可能再度收紧。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/>
          <w:i w:val="0"/>
          <w:color w:val="222222"/>
          <w:sz w:val="24"/>
        </w:rPr>
        <w:t>流动性</w:t>
      </w:r>
      <w:r>
        <w:rPr>
          <w:rFonts w:ascii="Times New Roman" w:hAnsi="Times New Roman" w:eastAsia="宋体"/>
          <w:b w:val="0"/>
          <w:i w:val="0"/>
          <w:color w:val="222222"/>
          <w:sz w:val="24"/>
        </w:rPr>
        <w:t>：主力合约流动性充足，但规模升至数百手以上时，展期日需注意时间分布，避免集中换仓产生的价格冲击。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8. 风险提示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策略最大回撤超 50%，方向风险是主导风险，不宜定位为低波动或绝对收益策略。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Bootstrap 检验未拒绝 SR 差异为 0，α 的 t 值均 &lt; 2，历史超额在统计意义上不显著。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IM 仅 872 个主力交易日（3.5 年），未经历完整市场周期，相关结论置信度低于 IC。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IC 与 IM 日收益相关性约 0.95，品种组合不能替代真正的策略分散。组合管理应引入与权益 beta 不相关的 alpha 来源。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5. B&lt;-1.5% 阈值为样本内观察，不代表未来最优。参数在样本内存在过拟合风险。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6. 跨期套利经期限结构斜率优化后有弱正收益，但收益厚度有限、对执行价格敏感，不宜单独作为主策略。若使用更高频数据，结论可能不同。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7. 风控版本夏普均为负，策略的贴水补偿不足以支撑降杠杆和调仓摩擦。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8. 股指期货历史上经历过手续费、保证金和开平仓限制的重大变化，制度风险不可忽视。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9. 当前基差未经分红调整。中证 500/1000 成分股每年 5-8 月集中分红，期间现货指数自然下跌会虚增贴水幅度。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10. 本研究基于公开历史数据的回测，样本外表现可能与回测结果有重大偏差。所有结论均为历史观察，不构成投资建议。</w:t>
      </w:r>
    </w:p>
    <w:p>
      <w:pPr>
        <w:sectPr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9. 结论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策略定位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吃贴水策略的定位：带有展期补偿的股指期货多头工具，不是市场中性套利。其超额来自贴水结构下的基差收敛与展期补偿，主要风险来自指数的方向波动。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稳定性评估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从三个维度看策略的稳定程度：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样本外：IC 测试期（2021-2026）年化 7.24%，方向正确但回撤仍达 -54.12%。训练期含 2015 年股灾，表现差，不宜简单对比。关键约束：测试期本身未经历 2015 级极端行情，不能以此推断策略能扛住下一次市场冲击。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市场状态依赖：策略上涨期年化 47.6%、下跌期 -13.1%，涨跌收益差 60.7pp。市场方向是第一驱动力，贴水补偿只给相对指数的超额，不给绝对保护。高波动期的更高收益是期间上涨行情带的，高波动本身没有溢价。</w:t>
      </w:r>
    </w:p>
    <w:p>
      <w:pPr>
        <w:pStyle w:val="ListBullet"/>
        <w:spacing w:lineRule="atLeast" w:line="400" w:after="6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风控代价：波动率目标和回撤控制可以机械降回撤，但所有风控版本夏普为负。贴水补偿太薄，经不起主动降杠杆——这是策略的根本约束：降风险就要牺牲收益，两头不能兼顾。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总体看：吃贴水策略的历史表现对市场阶段高度敏感。样本内有正超额，但超额不穿越牛熊。策略更适合做仓位置换——用期货替代 ETF 或指增，拿额外展期补偿——而非押注策略本身的绝对收益能力。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品种组合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IC 和 IM 日收益相关性约 0.95，品种分散化价值有限。IC-only 有 11 年完整周期覆盖，是比任何涉及 IM 的组合更可信的基准配置。组合管理的改善方向在于引入与权益 beta 不相关的策略，而非在同质资产内部调权重。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适用场景</w:t>
      </w:r>
    </w:p>
    <w:p>
      <w:pPr>
        <w:spacing w:lineRule="atLeast" w:line="400" w:after="120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指增和方向性产品可以把策略当作指数增强模块，年化增厚约 3-9pp，视品种和时段而定。绝对收益和低回撤产品不建议单独配置——风控降杠杆后夏普为负，策略没有独立于 beta 的超额。多策略组合中可以占 10-20% 仓位充当权益 beta 来源，但需要搭配与权益负相关或不相关的策略。</w:t>
      </w:r>
    </w:p>
    <w:p>
      <w:pPr>
        <w:spacing w:before="160" w:after="120"/>
      </w:pPr>
      <w:r>
        <w:rPr>
          <w:rFonts w:ascii="Times New Roman" w:hAnsi="Times New Roman" w:eastAsia="黑体"/>
          <w:b/>
          <w:i w:val="0"/>
          <w:color w:val="222222"/>
          <w:sz w:val="25"/>
        </w:rPr>
        <w:t>优先后续方向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1. 分钟级行情回测跨期价差，检验 T+0 执行是否可捕捉日频下被滞后吃掉的价差回归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2. 多腿价差（蝶式套利）探索更稳定的均值回复结构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3. 分红调整基差以更准确衡量展期补偿</w:t>
      </w:r>
    </w:p>
    <w:p>
      <w:pPr>
        <w:spacing w:lineRule="atLeast" w:line="400" w:after="60"/>
        <w:ind w:left="420" w:hanging="249"/>
        <w:jc w:val="both"/>
      </w:pPr>
      <w:r>
        <w:rPr>
          <w:rFonts w:ascii="Times New Roman" w:hAnsi="Times New Roman" w:eastAsia="宋体"/>
          <w:b w:val="0"/>
          <w:i w:val="0"/>
          <w:color w:val="222222"/>
          <w:sz w:val="24"/>
        </w:rPr>
        <w:t>4. 跨品种（IF/IH）的分散化分析——大盘 vs 中小盘风格差异可能提供更有意义的低相关性</w:t>
      </w:r>
    </w:p>
    <w:p>
      <w:pPr>
        <w:spacing w:before="240" w:after="120"/>
        <w:pBdr>
          <w:bottom w:val="single" w:sz="8" w:space="1" w:color="808080"/>
        </w:pBdr>
      </w:pPr>
      <w:r>
        <w:rPr>
          <w:rFonts w:ascii="Times New Roman" w:hAnsi="Times New Roman" w:eastAsia="黑体"/>
          <w:b/>
          <w:i w:val="0"/>
          <w:color w:val="222222"/>
          <w:sz w:val="29"/>
        </w:rPr>
        <w:t>附录：图表清单</w:t>
      </w:r>
    </w:p>
    <w:p>
      <w:pPr>
        <w:keepNext/>
        <w:spacing w:line="240" w:lineRule="auto" w:before="80" w:after="80"/>
        <w:jc w:val="center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表 15 图表清单：报告中全部 15 张图表的编号、文件名和内容说明。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05"/>
        <w:gridCol w:w="3005"/>
        <w:gridCol w:w="3005"/>
      </w:tblGrid>
      <w:tr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图号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文件</w:t>
            </w:r>
          </w:p>
        </w:tc>
        <w:tc>
          <w:tcPr>
            <w:tcW w:type="dxa" w:w="3005"/>
            <w:shd w:fill="EDEDE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黑体"/>
                <w:b/>
                <w:i w:val="0"/>
                <w:color w:val="222222"/>
                <w:sz w:val="21"/>
              </w:rPr>
              <w:t>内容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fig_roll_yield.png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展期收益分布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策略净值曲线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fig_annual.png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年度收益拆分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fig_drawdown.png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回撤曲线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fig_heatmap.png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参数敏感性热力图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6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fig_oos_validation.png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样本外验证（训练/测试期）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7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fig_regime_segmentation.png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市场状态分段分析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8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fig_risk_control.png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风险控制策略净值对比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9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fig_spread.png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期限结构斜率与交易边界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10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fig_calendar_nav.png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优化后跨期策略净值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11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fig_correlation.png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IC-IM 日收益相关性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12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fig_bootstrap.png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Bootstrap 显著性检验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13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收益归因分解（无截距）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14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fig_capm_attribution.png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fill="F7F7F7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有截距 CAPM 归因</w:t>
            </w:r>
          </w:p>
        </w:tc>
      </w:tr>
      <w:tr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图 15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fig_cost_stress.png</w:t>
            </w:r>
          </w:p>
        </w:tc>
        <w:tc>
          <w:tcPr>
            <w:tcW w:type="dxa" w:w="3005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line="240" w:lineRule="auto" w:before="0" w:after="0"/>
              <w:jc w:val="center"/>
            </w:pPr>
            <w:r>
              <w:rPr>
                <w:rFonts w:ascii="Times New Roman" w:hAnsi="Times New Roman" w:eastAsia="宋体"/>
                <w:b w:val="0"/>
                <w:i w:val="0"/>
                <w:color w:val="222222"/>
                <w:sz w:val="21"/>
              </w:rPr>
              <w:t>成本压力测试</w:t>
            </w:r>
          </w:p>
        </w:tc>
      </w:tr>
    </w:tbl>
    <w:p>
      <w:pPr>
        <w:spacing w:line="240" w:lineRule="auto" w:before="0" w:after="40"/>
      </w:pPr>
    </w:p>
    <w:p>
      <w:pPr>
        <w:spacing w:line="240" w:lineRule="auto" w:before="0" w:after="120"/>
        <w:jc w:val="right"/>
      </w:pPr>
      <w:r>
        <w:rPr>
          <w:rFonts w:ascii="Times New Roman" w:hAnsi="Times New Roman" w:eastAsia="宋体"/>
          <w:b w:val="0"/>
          <w:i w:val="0"/>
          <w:color w:val="555555"/>
          <w:sz w:val="17"/>
        </w:rPr>
        <w:t>资料来源：IC/IM 期货与指数数据，本报告计算</w:t>
      </w:r>
    </w:p>
    <w:sectPr w:rsidR="00FC693F" w:rsidRPr="0006063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i w:val="0"/>
        <w:color w:val="555555"/>
        <w:sz w:val="19"/>
      </w:rPr>
      <w:t xml:space="preserve">第 </w:t>
    </w:r>
    <w:r>
      <w:rPr>
        <w:rFonts w:ascii="Times New Roman" w:hAnsi="Times New Roman" w:eastAsia="宋体"/>
        <w:b w:val="0"/>
        <w:i w:val="0"/>
        <w:color w:val="555555"/>
        <w:sz w:val="19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i w:val="0"/>
        <w:color w:val="555555"/>
        <w:sz w:val="19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Times New Roman" w:hAnsi="Times New Roman" w:eastAsia="宋体"/>
        <w:b w:val="0"/>
        <w:i w:val="0"/>
        <w:color w:val="555555"/>
        <w:sz w:val="19"/>
      </w:rPr>
      <w:t>股指期货套利策略研究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