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Microsoft YaHei" w:hAnsi="Microsoft YaHei" w:eastAsia="Microsoft YaHei"/>
          <w:b/>
          <w:sz w:val="44"/>
        </w:rPr>
        <w:t>股指期货吃贴水与跨期套利策略研究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05050"/>
          <w:sz w:val="26"/>
        </w:rPr>
        <w:t>金融程序化交易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研究对象</w:t>
            </w:r>
          </w:p>
        </w:tc>
        <w:tc>
          <w:tcPr>
            <w:tcW w:type="dxa" w:w="680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IC/IM 股指期货吃贴水与跨期套利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数据区间</w:t>
            </w:r>
          </w:p>
        </w:tc>
        <w:tc>
          <w:tcPr>
            <w:tcW w:type="dxa" w:w="680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 2015-04 至 2026-03 / IM 2022-07 至 2026-03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策略口径</w:t>
            </w:r>
          </w:p>
        </w:tc>
        <w:tc>
          <w:tcPr>
            <w:tcW w:type="dxa" w:w="680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做多主力合约 + 到期前展期，T+1 执行，含手续费与滑点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评估维度</w:t>
            </w:r>
          </w:p>
        </w:tc>
        <w:tc>
          <w:tcPr>
            <w:tcW w:type="dxa" w:w="680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收益、稳定性、可交易性、可复现性</w:t>
            </w:r>
          </w:p>
        </w:tc>
      </w:tr>
    </w:tbl>
    <w:p>
      <w:r>
        <w:br w:type="page"/>
      </w:r>
    </w:p>
    <w:p>
      <w:pPr>
        <w:spacing w:line="300" w:lineRule="auto" w:after="120"/>
      </w:pPr>
      <w:r>
        <w:rPr>
          <w:rFonts w:ascii="Microsoft YaHei" w:hAnsi="Microsoft YaHei" w:eastAsia="Microsoft YaHei"/>
          <w:b/>
          <w:sz w:val="32"/>
        </w:rPr>
        <w:t>报告目录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主要结论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1. 数据与交易口径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2. 基差与展期收益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3. 吃贴水策略回测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4. 跨期套利策略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5. 统计验证与收益归因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6. 补充分析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7. 风险与局限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8. 结论与建议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附录：图表清单</w:t>
      </w:r>
    </w:p>
    <w:p>
      <w:r>
        <w:br w:type="page"/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/>
          <w:sz w:val="32"/>
        </w:rPr>
        <w:t>股指期货吃贴水与跨期套利策略研究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/>
          <w:sz w:val="30"/>
        </w:rPr>
        <w:t>主要结论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本报告研究 IC（中证500股指期货）和 IM（中证1000股指期货）两个品种，重点评估四件事：第一，长期做多贴水期货并展期是否能跑赢现货指数；第二，近月与次近月价差是否能形成独立的跨期套利；第三，IC 与 IM 组合后是否能改善风险收益特征；第四，策略在不同市场状态下的表现差异以及风险控制手段是否有效。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项目</w:t>
            </w:r>
          </w:p>
        </w:tc>
        <w:tc>
          <w:tcPr>
            <w:tcW w:type="dxa" w:w="4819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口径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研究标的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 与 IM 主力合约，交易标的使用真实合约代码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数据区间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IC：2015-04-16 至 2026-03-02；IM：2022-07-22 至 2026-03-02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交易假设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T 日收盘后产生信号，T+1 日按收盘价成交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成本假设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手续费万分之 0.23，滑点 0.2 指数点，合约乘数 200 元/点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策略方向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吃贴水多头、基差阈值择时、近月-次近月跨期价差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评价重点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收益、回撤、统计显著性、交易可执行性、可复现性</w:t>
            </w:r>
          </w:p>
        </w:tc>
      </w:tr>
    </w:tbl>
    <w:p/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样本内，吃贴水多头策略确实跑赢指数。IC Always 策略年化收益 9.62%，高于 IC 指数的 0.83%；IM Always 策略年化收益 15.88%，高于 IM 指数的 5.31%。但这不是低风险套利。IC Always 最大回撤达到 -61.38%，IM Always 最大回撤达到 -50.81%，说明策略仍然承担很重的指数方向风险。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统计检验的结果是：Block Bootstrap 检验显示，IC 策略相对指数的 Sharpe 差异 95% 置信区间为 [-0.1669, 0.8246]，p 值为 0.1980；IM 对应区间为 [-0.4077, 1.0583]，p 值为 0.4100。两个品种的置信区间都覆盖 0，不能认为策略在统计意义上显著优于指数。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市场状态分段分析进一步证实了这个判断。策略收益高度依赖市场方向：IC 在上涨期年化 47.60%，下跌期年化 -13.10%；IM 在上涨期年化 84.70%，下跌期年化 -39.00%。贴水深度有一定解释力，但不能单独作为加仓信号。风险控制版本可以明显压低回撤，但收益也同步下降，说明策略的核心矛盾仍是方向风险和贴水补偿之间的权衡。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跨期价差策略的拆解给出的结论更直接：在代表性布林带条件下，IC 和 IM 都没有形成有效触发；完整参数扫描中也没有任何一组取得正 Sharpe。问题不是换一个阈值就能解决，而是日频价差机会本身太薄，T+1 执行无法捕捉到足够稳定的回归空间。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我的判断是：吃贴水策略可以作为指数多头的增强型工具，而不是绝对收益套利。它的优势来自期货贴水结构下的基差收敛和展期补偿；它的主要风险来自指数本身的涨跌。跨期价差策略在本次日频、T+1 执行条件下没有表现出交易价值。后续如果要在这一方向深入，应该优先做两件事：一是获取更高频数据检验跨期价差，二是寻找与股指 beta 不相关的其他 alpha 来源。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/>
          <w:sz w:val="30"/>
        </w:rPr>
        <w:t>1. 数据与交易口径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1.1 数据来源与清洗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研究使用 4 个原始 Excel 文件：ic_data.xlsx、im_data.xlsx、000905.xlsx、000852.xlsx。期货数据包含合约代码、OHLC、成交量、持仓量、主力标志和基差字段；指数数据提供对应现货指数的收盘价。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数据清洗的关键点有三个。第一，期货 Excel 的中文列名中包含不间断空格，需要先清理列名再映射字段。第二，连续合约序列只用于分析和展示，真实回测只能使用如 IC2306、IM2409 这类可交易合约代码。第三，主力合约由数据自带的 main_force == 1 标志筛选，不手工拼接主力序列。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检查项</w:t>
            </w:r>
          </w:p>
        </w:tc>
        <w:tc>
          <w:tcPr>
            <w:tcW w:type="dxa" w:w="3213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IC</w:t>
            </w:r>
          </w:p>
        </w:tc>
        <w:tc>
          <w:tcPr>
            <w:tcW w:type="dxa" w:w="3213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IM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全量期货样本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10568 行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3488 行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主力合约样本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2642 行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872 行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主力样本日期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2015-04-16 ~ 2026-03-02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2022-07-22 ~ 2026-03-02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主力合约切换次数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131 次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44 次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指数匹配率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100.0%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100.0%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距到期日范围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 ~ 50 天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 ~ 50 天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合约切换跳空范围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-13.96% ~ 4.25%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-4.91% ~ 4.28%</w:t>
            </w:r>
          </w:p>
        </w:tc>
      </w:tr>
    </w:tbl>
    <w:p/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这组数据的一个特点是 IC 样本明显更长，覆盖 2015 年以来多个市场阶段；IM 从 2022 年才开始，样本期更短，结论稳定性天然弱一些。报告后面对 IM 的判断都按这个前提理解。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1.2 回测假设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所有策略使用统一的交易口径：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项目</w:t>
            </w:r>
          </w:p>
        </w:tc>
        <w:tc>
          <w:tcPr>
            <w:tcW w:type="dxa" w:w="4819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设定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信号时点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T 日收盘后，根据当日可见数据计算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成交时点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T+1 日收盘价成交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合约选择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使用真实期货合约，不使用连续合约作为交易标的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展期规则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到期前固定窗口换至下一主力/次近月合约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成本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手续费 + 滑点逐笔扣除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逐日盯市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按实际持有合约的收盘价计算每日盈亏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初始资金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1,000,000 元</w:t>
            </w:r>
          </w:p>
        </w:tc>
      </w:tr>
    </w:tbl>
    <w:p/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这里最重要的是"按实际持有合约逐日盯市"。如果直接拿主力连续合约计算收益，合约切换日的跳空容易被重复计入，收益会被高估。本报告的交易流水中还专门检查了展期记录，所有换仓记录的旧合约和新合约都不同，没有出现同合约重复换仓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/>
          <w:sz w:val="30"/>
        </w:rPr>
        <w:t>2. 基差与展期收益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2.1 基差的经济含义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本报告定义：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基差 = 期货收盘价 - 指数收盘价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基差为负表示期货贴水。贴水市场中，期货价格在临近到期时通常向现货指数收敛。多头持有贴水合约，本质上是在承担指数方向风险的同时，争取基差收敛和展期补偿。这个逻辑清楚，但不等于无风险套利，因为指数下跌时基差收敛很难抵消方向亏损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2.2 均值回复和预测能力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3213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IC</w:t>
            </w:r>
          </w:p>
        </w:tc>
        <w:tc>
          <w:tcPr>
            <w:tcW w:type="dxa" w:w="3213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IM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ADF 统计量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-5.04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-6.37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ADF p 值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0.0000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0.0000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半衰期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1.1 天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0.9 天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期货收益 Pearson IC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0.0725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0.0111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期货收益 p 值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0.0002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0.7436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指数收益 Pearson IC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-0.7985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-0.9206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指数收益 p 值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0.0000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0.0000</w:t>
            </w:r>
          </w:p>
        </w:tc>
      </w:tr>
    </w:tbl>
    <w:p/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ADF 检验显示基差率序列具有明显均值回复特征，半衰期也很短。但这里要分清两件事：基差会回归，不代表它能稳定预测指数未来涨跌。更合理的解释是，贴水结构给期货多头提供了一部分相对现货的补偿，补偿来自期货价格向现货靠拢，而不是来自对股票指数方向的准确判断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2.3 展期收益分布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3213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IC</w:t>
            </w:r>
          </w:p>
        </w:tc>
        <w:tc>
          <w:tcPr>
            <w:tcW w:type="dxa" w:w="3213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IM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展期段数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131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44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平均每段展期收益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0.19%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0.86%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展期收益中位数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0.30%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0.52%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正收益占比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51.9%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54.5%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7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ll_yie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7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图1 展期收益分布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图 1 展示每段主力持有周期的累计收益分布。IC 和 IM 的均值都为正，说明样本期内展期机制确实带来补偿。但正收益占比只是略高于一半，收益并不是每次展期都稳定出现。更准确的说法是：贴水提供了长期正期望的可能，但单次换仓仍然有很大不确定性。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/>
          <w:sz w:val="30"/>
        </w:rPr>
        <w:t>3. 吃贴水策略回测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3.1 策略设计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本节测试两类策略：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Always：始终持有主力合约，到期前展期。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B&lt;-1.5%：只有当基差率低于 -1.5% 时才做多，否则空仓。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Always 策略更像期货版指数多头，完整承担市场涨跌；基差阈值策略试图只在贴水较深时参与，牺牲一部分上涨行情，换取更低波动和回撤。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3.2 主要绩效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策略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年化收益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年化波动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Sharpe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最大回撤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Calmar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胜率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累计收益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VaR95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交易笔数</w:t>
            </w:r>
          </w:p>
        </w:tc>
      </w:tr>
      <w:tr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 Always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9.62%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30.05%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0.22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-61.38%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0.16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52.6%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172.49%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-1.78%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132</w:t>
            </w:r>
          </w:p>
        </w:tc>
      </w:tr>
      <w:tr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 B&lt;-1.5%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7.04%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17.81%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0.23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-34.85%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0.20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33.2%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110.21%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-1.67%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846</w:t>
            </w:r>
          </w:p>
        </w:tc>
      </w:tr>
      <w:tr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 指数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0.83%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24.83%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-0.09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-65.20%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0.01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52.6%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9.43%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-2.34%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 Always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15.88%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32.71%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0.39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-50.81%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0.31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53.0%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70.08%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-2.90%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45</w:t>
            </w:r>
          </w:p>
        </w:tc>
      </w:tr>
      <w:tr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 B&lt;-1.5%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10.83%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12.74%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0.61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-12.82%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0.84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31.3%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44.84%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-1.49%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282</w:t>
            </w:r>
          </w:p>
        </w:tc>
      </w:tr>
      <w:tr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 指数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5.31%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23.74%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0.10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-41.60%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0.13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53.4%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20.50%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-2.29%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7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a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7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图2 策略净值曲线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图 2 显示，Always 策略在 IC 和 IM 上都明显高于对应指数基准。这个结果支持"贴水结构有长期补偿"的判断。不过净值曲线也很直观地说明，它不是平滑套利曲线，而是跟随市场波动的大幅起伏。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5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n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5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图3 年度收益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图 3 可以看到，年度收益波动很大。IC 样本中，策略经历过明显的亏损年份，也经历过反弹行情中的较高收益。基差阈值策略在某些下跌阶段有帮助，但它并不是免费保护：空仓会降低回撤，也会错过一部分上涨。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79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7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图4 回撤曲线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图 4 是本策略最需要重视的部分。IC Always 最大回撤 -61.38%，IM Always 最大回撤 -50.81%，这已经超过多数绝对收益资金可以接受的范围。因此它更适合作为指数增强或方向性配置工具，而不是独立的低波动策略。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7393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39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图5 参数敏感性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图 5 展示基差阈值和展期窗口的参数扫描。整体看，展期窗口从 1 天改到 3 天、5 天，对结果影响不大；基差阈值影响更明显。尤其是 IM 的 B&lt;-1.5% 在样本内表现较好，但 IM 样本期短，不能把这个阈值当作稳定最优参数。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3.3 交易可执行性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全策略扫描覆盖 5 个基差阈值、3 个展期窗口和 2 个品种。所有展期记录中，同合约换仓次数为 0。这说明策略实际按不同合约完成展期，没有把连续合约的价格跳变误当作可交易收益。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3.4 样本外验证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为了评估策略的泛化能力，把 IC 数据按时间划分为训练期（2015-2020）和测试期（2021-2026）。IM 样本较短，不适合再硬拆训练/测试，因此用滚动窗口做稳定性观察。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数据集</w:t>
            </w:r>
          </w:p>
        </w:tc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年化收益%</w:t>
            </w:r>
          </w:p>
        </w:tc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年化波动%</w:t>
            </w:r>
          </w:p>
        </w:tc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Sharpe</w:t>
            </w:r>
          </w:p>
        </w:tc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最大回撤%</w:t>
            </w:r>
          </w:p>
        </w:tc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胜率%</w:t>
            </w:r>
          </w:p>
        </w:tc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VaR95%</w:t>
            </w:r>
          </w:p>
        </w:tc>
      </w:tr>
      <w:tr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训练集 (2015-2020)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-6.03%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62.84%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-0.14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-85.77%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51.9%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测试集 (2021-2026)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7.24%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29.02%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0.15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-54.12%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50.6%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269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26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图6 样本外验证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测试期表现好于训练期，但这不应被解读成“策略已经通过样本外检验”。训练期包含 2015 年股灾、2016 年熔断和 2018 年熊市，极端行情对回撤和收益都有很大拖累；测试期虽然收益为正，最大回撤仍达到 -54.12%。比较稳妥的结论是：贴水补偿在近年仍有延续，但策略对市场阶段高度敏感，不能只凭一段测试期就推断长期稳健。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3.5 市场状态分段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把全部交易日按三种维度切分：市场方向（上涨/下跌）、贴水深度（高贴水/低贴水或升水）、波动率水平（高波动/低波动）。每个子集中单独计算 Always 策略绩效。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品种</w:t>
            </w:r>
          </w:p>
        </w:tc>
        <w:tc>
          <w:tcPr>
            <w:tcW w:type="dxa" w:w="160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状态</w:t>
            </w:r>
          </w:p>
        </w:tc>
        <w:tc>
          <w:tcPr>
            <w:tcW w:type="dxa" w:w="160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天数</w:t>
            </w:r>
          </w:p>
        </w:tc>
        <w:tc>
          <w:tcPr>
            <w:tcW w:type="dxa" w:w="160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年化收益%</w:t>
            </w:r>
          </w:p>
        </w:tc>
        <w:tc>
          <w:tcPr>
            <w:tcW w:type="dxa" w:w="160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年化波动%</w:t>
            </w:r>
          </w:p>
        </w:tc>
        <w:tc>
          <w:tcPr>
            <w:tcW w:type="dxa" w:w="160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Sharpe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上涨期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1264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47.6%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16.0%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2.79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下跌期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1319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-13.1%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34.2%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-0.47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高贴水期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1320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8.8%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36.7%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0.16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低贴水/升水期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1321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18.6%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21.4%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0.73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高波动期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1291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31.4%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36.5%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0.78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低波动期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1292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1.8%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10.9%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-0.11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上涨期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410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84.7%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29.4%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2.78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下跌期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403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-39.0%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35.3%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-1.19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高贴水期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435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22.7%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36.6%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0.54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低贴水/升水期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436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17.5%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28.3%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0.51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高波动期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406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36.3%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41.6%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0.80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低波动期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407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10.5%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20.4%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0.37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849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gime_segment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8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图7 市场状态分段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分段结果说明，策略首先是权益方向暴露。上涨期收益显著高于下跌期，IM 的差异尤其明显。贴水深度也有一定信息，但不是独立择时开关：IC 高贴水期年化 8.80%，低贴水/升水期反而达到 18.60%；这说明贴水补偿和指数方向经常纠缠在一起。实盘上不能因为贴水更深就机械加仓。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3.6 风险控制版本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测试两种简单风控：波动率目标（目标年化波动 15%）和最大回撤控制（回撤超过 20% 后逐步降仓）。它们不是为了优化收益，而是检验策略能否被改造成更接近产品可用的形态。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品种</w:t>
            </w:r>
          </w:p>
        </w:tc>
        <w:tc>
          <w:tcPr>
            <w:tcW w:type="dxa" w:w="1928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策略</w:t>
            </w:r>
          </w:p>
        </w:tc>
        <w:tc>
          <w:tcPr>
            <w:tcW w:type="dxa" w:w="1928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年化收益%</w:t>
            </w:r>
          </w:p>
        </w:tc>
        <w:tc>
          <w:tcPr>
            <w:tcW w:type="dxa" w:w="1928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Sharpe</w:t>
            </w:r>
          </w:p>
        </w:tc>
        <w:tc>
          <w:tcPr>
            <w:tcW w:type="dxa" w:w="1928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最大回撤%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原始 Always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9.62%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0.22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-61.38%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波动率目标 15%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-0.09%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-0.20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-49.88%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回撤控制 20%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0.92%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-0.33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-23.63%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原始 Always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15.88%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0.39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-50.81%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波动率目标 15%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1.36%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-0.11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-38.66%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回撤控制 20%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-4.83%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-1.03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-20.20%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26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ntro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2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图8 风险控制策略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风控确实降低了回撤。以 IC 为例，回撤控制版把最大回撤从 -61.38% 压到 -23.63%；IM 回撤控制版也压到约 -20.20%。但收益同步被削弱，尤其 IM 回撤控制版年化变成 -4.83%。这说明策略的收益补偿并不厚，简单降仓会把风险降下来，也会把收益一起降掉。实盘若使用这类策略，更合理的做法是先控制组合层面的权益敞口，而不是指望单策略风控提升 Sharpe。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/>
          <w:sz w:val="30"/>
        </w:rPr>
        <w:t>4. 跨期套利策略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4.1 策略逻辑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跨期套利使用近月与次近月价差，核心想法是：当价差偏离滚动均值超过一定倍数标准差时开仓，等待价差回归后平仓。参数空间为 K ∈ {1.0, 1.5, 2.0, 2.5}、lookback ∈ {30, 60, 90, 120}，共 16 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53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5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图9 价差与布林带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图 9 显示价差确实围绕均值波动，但突破布林带后并不总是快速回归。日频数据下，价差回归幅度较小，扣除双边成本后很难留下足够利润。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4.2 回测结果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在 T+1 执行下，IC 和 IM 均为 0/16 组参数取得正 Sharpe。部分参数有交易触发，但收益统计不是负值就是接近零；更多参数没有形成有效交易。这个结果说明，当前日频布林带规则不适合作为独立跨期套利策略。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4.3 失败原因拆解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既然结论是“没有交易价值”，更重要的问题是为什么。下面把信号触发、执行摩擦和参数结果拆开看。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87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品种</w:t>
            </w:r>
          </w:p>
        </w:tc>
        <w:tc>
          <w:tcPr>
            <w:tcW w:type="dxa" w:w="87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信号总数</w:t>
            </w:r>
          </w:p>
        </w:tc>
        <w:tc>
          <w:tcPr>
            <w:tcW w:type="dxa" w:w="87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信号频率%</w:t>
            </w:r>
          </w:p>
        </w:tc>
        <w:tc>
          <w:tcPr>
            <w:tcW w:type="dxa" w:w="87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价差均值(点)</w:t>
            </w:r>
          </w:p>
        </w:tc>
        <w:tc>
          <w:tcPr>
            <w:tcW w:type="dxa" w:w="87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价差波动(点)</w:t>
            </w:r>
          </w:p>
        </w:tc>
        <w:tc>
          <w:tcPr>
            <w:tcW w:type="dxa" w:w="87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平均偏离(点)</w:t>
            </w:r>
          </w:p>
        </w:tc>
        <w:tc>
          <w:tcPr>
            <w:tcW w:type="dxa" w:w="87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T+1方向正确率%</w:t>
            </w:r>
          </w:p>
        </w:tc>
        <w:tc>
          <w:tcPr>
            <w:tcW w:type="dxa" w:w="87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T+1平均价差变化(点)</w:t>
            </w:r>
          </w:p>
        </w:tc>
        <w:tc>
          <w:tcPr>
            <w:tcW w:type="dxa" w:w="87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单笔成本(点)</w:t>
            </w:r>
          </w:p>
        </w:tc>
        <w:tc>
          <w:tcPr>
            <w:tcW w:type="dxa" w:w="87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参数组总数</w:t>
            </w:r>
          </w:p>
        </w:tc>
        <w:tc>
          <w:tcPr>
            <w:tcW w:type="dxa" w:w="87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正Sharpe组数</w:t>
            </w:r>
          </w:p>
        </w:tc>
      </w:tr>
      <w:tr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0.0%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0.0%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16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0.0%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0.0%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16</w:t>
            </w:r>
          </w:p>
        </w:tc>
        <w:tc>
          <w:tcPr>
            <w:tcW w:type="dxa" w:w="87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16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_fail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1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图10 跨期套利失败原因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代表性布林带条件下没有形成有效触发，完整参数扫描也没有正 Sharpe 组合。这个结果比“成本太高”更本质：日频收盘价下，近月-次近月价差的可捕捉偏离太少，T+1 执行进一步错过了可能存在的短暂回归。后续如果继续研究跨期价差，应该先换成分钟级行情和盘口数据，而不是继续在日频参数上做网格搜索。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/>
          <w:sz w:val="30"/>
        </w:rPr>
        <w:t>5. 统计验证与收益归因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5.1 Bootstrap 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品种</w:t>
            </w:r>
          </w:p>
        </w:tc>
        <w:tc>
          <w:tcPr>
            <w:tcW w:type="dxa" w:w="160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观测 Sharpe 差异</w:t>
            </w:r>
          </w:p>
        </w:tc>
        <w:tc>
          <w:tcPr>
            <w:tcW w:type="dxa" w:w="160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95% CI 下限</w:t>
            </w:r>
          </w:p>
        </w:tc>
        <w:tc>
          <w:tcPr>
            <w:tcW w:type="dxa" w:w="160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95% CI 上限</w:t>
            </w:r>
          </w:p>
        </w:tc>
        <w:tc>
          <w:tcPr>
            <w:tcW w:type="dxa" w:w="160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p 值</w:t>
            </w:r>
          </w:p>
        </w:tc>
        <w:tc>
          <w:tcPr>
            <w:tcW w:type="dxa" w:w="1606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是否覆盖 0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0.3051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-0.1669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0.8246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0.1980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</w:tr>
      <w:tr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0.2864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-0.4077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1.0583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0.4100</w:t>
            </w:r>
          </w:p>
        </w:tc>
        <w:tc>
          <w:tcPr>
            <w:tcW w:type="dxa" w:w="160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79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7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图11 Bootstrap 分布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Bootstrap 的结果比较关键。策略相对指数的 Sharpe 差异为正，但置信区间覆盖 0。换句话说，历史样本中看到了超额，但从统计角度还不能排除"这只是样本波动"的可能。IM 的区间更宽，原因是样本更短。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5.2 无截距收益归因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采用无截距回归：策略收益 = β × 指数收益 + 残差。这个设定把策略收益拆成"指数驱动"和"其他来源"两部分。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品种</w:t>
            </w:r>
          </w:p>
        </w:tc>
        <w:tc>
          <w:tcPr>
            <w:tcW w:type="dxa" w:w="1205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策略</w:t>
            </w:r>
          </w:p>
        </w:tc>
        <w:tc>
          <w:tcPr>
            <w:tcW w:type="dxa" w:w="1205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Beta</w:t>
            </w:r>
          </w:p>
        </w:tc>
        <w:tc>
          <w:tcPr>
            <w:tcW w:type="dxa" w:w="1205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残差年化</w:t>
            </w:r>
          </w:p>
        </w:tc>
        <w:tc>
          <w:tcPr>
            <w:tcW w:type="dxa" w:w="1205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Newey-West t 值</w:t>
            </w:r>
          </w:p>
        </w:tc>
        <w:tc>
          <w:tcPr>
            <w:tcW w:type="dxa" w:w="1205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R²</w:t>
            </w:r>
          </w:p>
        </w:tc>
        <w:tc>
          <w:tcPr>
            <w:tcW w:type="dxa" w:w="1205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跟踪误差</w:t>
            </w:r>
          </w:p>
        </w:tc>
        <w:tc>
          <w:tcPr>
            <w:tcW w:type="dxa" w:w="1205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信息比率</w:t>
            </w:r>
          </w:p>
        </w:tc>
      </w:tr>
      <w:tr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Always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-0.03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13.79%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-0.71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0.001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30.04%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0.46</w:t>
            </w:r>
          </w:p>
        </w:tc>
      </w:tr>
      <w:tr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B&lt;-1.5%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0.02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8.33%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0.48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0.000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17.80%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0.47</w:t>
            </w:r>
          </w:p>
        </w:tc>
      </w:tr>
      <w:tr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Always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0.08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19.11%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1.18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0.004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32.67%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0.59</w:t>
            </w:r>
          </w:p>
        </w:tc>
      </w:tr>
      <w:tr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B&lt;-1.5%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0.01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11.03%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0.37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0.000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12.74%</w:t>
            </w:r>
          </w:p>
        </w:tc>
        <w:tc>
          <w:tcPr>
            <w:tcW w:type="dxa" w:w="120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0.87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126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tribu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2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图12 收益归因分解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Beta 很低，R² 也接近 0。用同期指数日收益解释策略日收益的效果很差——策略日收益里包含大量换仓跳跃、贴水收敛和期货自身价格路径的影响，简单一元回归拆不干净。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5.3 有截距 CAPM 归因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加入截距项后，归因变为：策略收益 = α + β × 指数收益 + ε。α 衡量扣除指数 beta 暴露后的平均日超额。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品种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策略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alpha_annual%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t_alpha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beta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t_beta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R²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beta_无截距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R²_无截距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N</w:t>
            </w:r>
          </w:p>
        </w:tc>
      </w:tr>
      <w:tr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Always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13.79%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1.52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-0.030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-1.28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0.0006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-0.030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0.0006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2641</w:t>
            </w:r>
          </w:p>
        </w:tc>
      </w:tr>
      <w:tr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B&lt;-1.5%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8.33%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1.55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0.016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1.12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0.016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0.0005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2641</w:t>
            </w:r>
          </w:p>
        </w:tc>
      </w:tr>
      <w:tr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Always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19.12%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1.11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0.084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1.79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0.0037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0.085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0.0038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871</w:t>
            </w:r>
          </w:p>
        </w:tc>
      </w:tr>
      <w:tr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B&lt;-1.5%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11.03%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1.64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0.008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0.46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0.0002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0.009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0.0003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871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306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pm_attribu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0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图13 有截距CAPM归因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日频 CAPM 下，α 为正但 t 值均低于 2，不能认为有稳定独立 alpha。β 和 R² 也偏低，说明同期指数日收益不能充分解释策略日收益。这个结果并不意味着策略没有权益风险，而是日频收益里混入了合约切换、展期、基差收敛和现金时段等噪声。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为了做一个稳健性检查，进一步用月度收益重新回归：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品种</w:t>
            </w:r>
          </w:p>
        </w:tc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alpha年化%</w:t>
            </w:r>
          </w:p>
        </w:tc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t(alpha)</w:t>
            </w:r>
          </w:p>
        </w:tc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beta</w:t>
            </w:r>
          </w:p>
        </w:tc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t(beta)</w:t>
            </w:r>
          </w:p>
        </w:tc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R²</w:t>
            </w:r>
          </w:p>
        </w:tc>
        <w:tc>
          <w:tcPr>
            <w:tcW w:type="dxa" w:w="1377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月数</w:t>
            </w:r>
          </w:p>
        </w:tc>
      </w:tr>
      <w:tr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9.16%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1.94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0.67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12.98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0.566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131</w:t>
            </w:r>
          </w:p>
        </w:tc>
      </w:tr>
      <w:tr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IM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11.07%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1.32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0.76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8.82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0.649</w:t>
            </w:r>
          </w:p>
        </w:tc>
        <w:tc>
          <w:tcPr>
            <w:tcW w:type="dxa" w:w="137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44</w:t>
            </w:r>
          </w:p>
        </w:tc>
      </w:tr>
    </w:tbl>
    <w:p/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月频结果更符合金融直觉：IC Always 的 β 约 0.67，IM Always 的 β 约 0.76，R² 分别为 0.566 和 0.649。这说明策略确实有明显权益方向暴露，只是日频回归容易被期货合约和展期噪声稀释。报告采用的归因结论是：收益来自权益 beta、贴水收敛和展期补偿的混合，不应把日频残差直接解释为纯 alpha。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/>
          <w:sz w:val="30"/>
        </w:rPr>
        <w:t>6. 补充分析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6.1 成本压力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561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st_stres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5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图14 成本压力测试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成本压力测试显示，IC Always 对交易成本并不敏感。原因很直接：策略换手低，主要交易发生在展期时，期货手续费相对名义本金很小。即便成本提高到基准的 10 倍，年化收益下降也有限。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这并不等于策略稳健。成本不是主要矛盾，主要矛盾是市场方向风险和贴水结构能否持续。如果未来股指期货贴水明显收窄，或转入长期升水，策略的收益来源会变弱。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6.2 IC 与 IM 的组合价值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57459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rel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74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图15 IC-IM 日收益相关性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IC 和 IM 日收益相关性约为 0.95，说明二者高度同涨同跌。把两个品种简单组合，并不能形成有效分散。对私募组合管理而言，IC 和 IM 更像同一类权益 beta 暴露的不同载体，而不是两条独立收益曲线。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6.3 交易制度与资金占用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吃贴水策略在实际交易中需要考虑制度层面的约束。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保证金与杠杆。中金所股指期货保证金比例通常在 12% 左右。以 IC 当前约 5500 点的价格计算，一手合约名义本金约 110 万元（5500 × 200），保证金约 13.2 万元。如果初始资金 100 万元，保守估计可以持有 3-5 手，杠杆倍数约 3-5 倍。如果追求更高杠杆，账户内需要保留足够现金应对逐日盯市的浮动亏损——一旦盘中保证金不足又没有及时补缴，持仓会被期货公司强平。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展期操作。主力合约切换日通常伴随着成交量从近月向次近月转移。在换仓当天，需要同时平掉旧合约、开仓新合约。两个操作之间有一个短暂的双边持仓期，这期间的保证金占用会翻倍。如果资金刚好卡在边缘，需要提前准备额外的现金缓冲。实际交易中，可以把展期操作拆到两三天完成，降低瞬时资金压力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交易限制的历史变化。2015 年股灾后，中金所大幅提高了保证金比例（从 10% 提升至 40%）、限制了日内开平仓次数、提高了平今仓手续费。这些限制在 2017-2019 年逐步放宽，但交易制度的不确定性是策略实盘必须面对的风险。2022 年后交易规则已基本恢复常态，但不能排除未来市场异常波动时再次收紧。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合约流动性。主力合约流动性充裕，单笔几十手的买卖对价格冲击可以忽略。但如果策略规模扩大到几百手以上，展期日的操作需要注意时间分布，避免集中在收盘前几分钟同时换仓——这会导致旧合约被压低、新合约被抬高，产生不必要的展期成本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/>
          <w:sz w:val="30"/>
        </w:rPr>
        <w:t>7. 风险与局限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方向风险很重。吃贴水策略表面上是期货展期策略，实际仍然高度依赖股票指数走势。历史最大回撤超过 50%，不适合低回撤目标。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统计显著性不足。Bootstrap 检验未拒绝 Sharpe 差异为 0 的假设；有截距 CAPM 中 α 的 t 值均低于 2。样本内看到的超额不能直接推成未来稳定收益。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IM 样本较短。IM 只有 872 个主力样本交易日，经历的完整市场周期有限，结论稳定性低于 IC。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阈值策略有样本内优化风险。B&lt;-1.5% 在部分指标上更好，但阈值来自样本观察，不代表未来仍然最优。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跨期套利需要更高频数据验证。日频、T+1 执行下没有可交易结果；代表性布林带条件下甚至没有形成有效触发。问题不在参数选择，而在日频价差机会太薄。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风险控制不解决问题。波动率目标和回撤控制可以降低波动和回撤，但夏普全部为负——策略的超额本身不够厚，经不起降杠杆和频繁调仓的摩擦。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市场状态依赖严重。牛市和熊市中的表现天差地别，深度贴水期反而是亏损最重的阶段。不能把贴水本身当作独立的 alpha 来源。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制度风险不能忽略。股指期货历史上经历过手续费、保证金、开平仓限制等规则变化，策略实盘表现会受交易制度影响。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组合分散无效。IC 和 IM 相关性 0.95，不能相互对冲风险。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样本外验证不充分。IC 测试期（2021-2026）未经历 2015 年级别的极端行情，测试期表现好不能证明策略在极端市场中仍然有效。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/>
          <w:sz w:val="30"/>
        </w:rPr>
        <w:t>8. 结论与建议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8.1 投资建议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吃贴水策略的定位应该非常明确：带有展期补偿的股指期货多头工具，不是市场中性套利。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对不同类型的资金，建议如下：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指增/方向性产品：可以配置吃贴水策略作为指数增强模块。相比 ETF 或指数基金，期货贴水提供了额外的展期补偿，年化增厚约 3-9 个百分点（视品种和时段）。需要明确告知投资者，这种增强在熊市中不能避免亏损，只是比直接持有指数少亏一些。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绝对收益/低回撤产品：不建议单独配置。策略最大回撤超过 50%，远超出绝对收益产品的风控红线。如果一定要用，需要搭配严格的风控止损和杠杆限制，但如 §3.6 所示，风控会显著侵蚀收益。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多策略组合：可以作为组合中的权益 beta 暴露来源之一，占组合仓位的 10-20%。需要同时配置与权益 beta 负相关或不相关的其他策略（如商品 CTA、期权卖方、国债期货等），否则组合层面仍然是一个方向性押注。</w:t>
      </w:r>
    </w:p>
    <w:p>
      <w:pPr>
        <w:pStyle w:val="Heading2"/>
        <w:spacing w:line="300" w:lineRule="auto" w:after="120"/>
      </w:pPr>
      <w:r>
        <w:rPr>
          <w:rFonts w:ascii="Microsoft YaHei" w:hAnsi="Microsoft YaHei" w:eastAsia="Microsoft YaHei"/>
          <w:b/>
          <w:sz w:val="25"/>
        </w:rPr>
        <w:t>8.2 后续研究方向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更高频的跨期价差数据。日频 T+1 框架下，价差偏离触发太少，完整参数扫描没有正 Sharpe。如果能在 5 分钟或 tick 级别数据上回测，才有可能判断是否存在日内回归机会。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多腿价差策略。近月-次近月两腿价差受单一合约到期效应影响大。蝶式套利（三腿：近月-次近月-远月）可能提供更稳定的均值回复特征。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展期日优化。当前展期规则是到期前固定窗口，没有利用展期日附近的价差变化。可以研究在展期窗口内动态选择最优换仓日，减少展期成本。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引入其他 alpha 来源。IC/IM 相关性 0.95，品种维度无法分散。需要考虑完全不同的 alpha 来源（期权波动率曲面、可转债、CTA 等）来构建真正的多策略组合。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机器学习基差预测。当前基差阈值是静态的。可以尝试用市场情绪、资金流向、波动率曲面等特征预测贴水结构的变化方向，动态调整仓位。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实盘交易制度模拟。加入保证金逐日监控、涨跌停限制、交割月限仓等制度细节，评估策略在真实交易约束下的可行性和资金效率。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分红调整后的真实基差。当前基差使用未经分红调整的指数价格。中证 500/1000 成分股每年 5-8 月集中分红，分红期间现货指数自然下跌，会虚增贴水幅度。用分红调整后的指数计算基差，可以更准确衡量展期补偿。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/>
          <w:sz w:val="30"/>
        </w:rPr>
        <w:t>附录：图表清单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图号</w:t>
            </w:r>
          </w:p>
        </w:tc>
        <w:tc>
          <w:tcPr>
            <w:tcW w:type="dxa" w:w="3213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文件</w:t>
            </w:r>
          </w:p>
        </w:tc>
        <w:tc>
          <w:tcPr>
            <w:tcW w:type="dxa" w:w="3213"/>
            <w:vAlign w:val="center"/>
            <w:shd w:fill="EDEDED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1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fig_roll_yield.png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展期收益分布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2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fig_nav.png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策略净值曲线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3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fig_annual.png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年度收益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4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fig_drawdown.png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回撤曲线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5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fig_heatmap.png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参数敏感性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6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fig_oos_validation.png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样本外验证（训练/测试期对比）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7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fig_regime_segmentation.png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市场状态分段分析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8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fig_risk_control.png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风险控制策略 NAV 对比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9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fig_spread.png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跨期价差与布林带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10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fig_spread_failure.png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跨期套利失败原因拆解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11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fig_bootstrap.png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Bootstrap 检验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12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fig_attribution.png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收益归因（无截距）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13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fig_capm_attribution.png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有截距 CAPM 归因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14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fig_cost_stress.png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成本压力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 15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fig_correlation.png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IC-IM 相关性</w:t>
            </w:r>
          </w:p>
        </w:tc>
      </w:tr>
    </w:tbl>
    <w:p/>
    <w:sectPr w:rsidR="00FC693F" w:rsidRPr="0006063C" w:rsidSect="00034616"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