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数据与回测设定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基差因子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IC-IM 组合策略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统计检验与收益归因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风险提示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9. 结论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9.62%（指数 0.83%），IM Always 15.88%（指数 5.31%），超额来自期货贴水结构下的基差收敛与展期补偿。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-61.38%，IM Always -50.81%，策略本质是指数多头替代而非市场中性套利。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Sharpe 差异 95% CI [-0.1669, 0.8246]，p = 0.1980；IM CI [-0.4077, 1.0583]，p = 0.4100。置信区间覆盖 0，统计上不能拒绝"超额为 0"的原假设。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T+1）不可行：IC 和 IM 各 16 组参数扫描，均无正 Sharpe。限制不在参数选择，在日频收盘价下价差可捕捉偏离太少。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组合策略的分散化价值有限：IC 与 IM 日收益相关性约 0.95，品种组合不能有效降低波动。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风险控制（波动率目标/回撤控制）可降回撤，但夏普全部转负——贴水补偿的厚度不足以支撑降杠杆后的交易摩擦。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本研究从原始数据出发，Notebook 可从头执行复现，所有参数和随机种子固定。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本报告所有数据均来源于 data/ 目录下 4 个 Excel 文件，指标计算与策略回测在 Notebook 中完成。后续表格不再重复说明数据出处。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可复现性保证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本研究可以完整复现，依赖以下要素：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数据源：4 个 Excel 文件存放于 data/ 目录，格式未作任何修改，对照原始文件可重建全部分析。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Notebook：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notebooks/股指期货套利策略研究.ipynb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 Excel 读取开始，无预处理步骤。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jupyter nbconvert --execute --inplace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从头执行通过，所有数字均为运行输出，非手工填入。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随机种子：Bootstrap 和随机基准分析固定种子，同输入下结果逐位一致。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参数公开：回测设定（T+1、持仓合约 MTM）、全部策略参数（基差阈值、展期窗口、布林带 K 和 lookback）、成本假设（手续费 0.23‱、滑点 0.2 点、保证金率 12%）均在正文列出，无隐藏自由度。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-54.12%，不应解读为策略已通过样本外检验。IM 仅 872 个交易日，样本过短无法形成稳定滚动窗口，不做样本外拆分。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使用近月-次近月价差。当价差偏离滚动均值（lookback 日）超过 K 倍标准差时开仓，回归至均值附近时平仓。参数空间：K ∈ {1.0, 1.5, 2.0, 2.5}，lookback ∈ {30, 60, 90, 120}，共 16 组。信号 T 日收盘计算，T+1 日收盘执行。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跨期价差与布林带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9：IC 和 IM 的价差围绕均值波动，但突破布林带后的回归并不稳定。日频下回归幅度有限，扣除双边手续费和滑点后剩余空间狭窄。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T+1 执行下，IC 和 IM 均无任何参数组合取得正 Sharpe。部分参数触发了交易但收益为负或接近零；多数参数未形成有效交易。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失败原因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代表性布林带参数（K=2.0, lookback=60）下的信号拆解：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跨期套利信号统计：展示跨期套利在代表性布林带参数下的信号触发率与方向正确率。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信号总数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信号频率%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价差均值(点)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价差波动(点)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平均偏离(点)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方向正确率%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平均价差变化(点)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单笔成本(点)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正 Sharpe 组数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37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跨期套利信号拆解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说明：展示代表性布林带参数下的信号分布和 T+1 执行后的实际收益。日频收盘价下可捕捉偏离太少，T+1 执行进一步错过短暂回归机会。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10：代表性参数下两品种均无有效触发。完整 16 组参数扫描亦无正 Sharpe 组合。结论比"成本太高"更根本：日频收盘价下，近月-次近月价差的可捕捉偏离过少，T+1 执行进一步错过了可能存在的盘中回归。后续若继续此方向，应优先获取分钟级行情和盘口数据，而非在日频参数上做网格搜索。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IC-IM 组合策略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本报告原计划构建"吃贴水 + 跨期套利"的双策略组合——以吃贴水获取方向性收益与展期补偿，以跨期套利提供与指数方向不相关的第二收益来源。但第 4 章结果显示，跨期套利在日频 T+1 框架下 IC 和 IM 均无任何参数组合取得正 Sharpe，且代表性参数下无有效交易触发。将一个无正期望的策略腿加入组合，只会稀释吃贴水的收益并增加无谓的交易摩擦，不具备组合逻辑上的合理性。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因此，本章实际分析转向 IC 与 IM 吃贴水策略的品种组合——检验同类策略在不同股指期货品种之间是否具备分散价值。这一转向是对研究事实的诚实回应：在研究框架内找不到第二 alpha 来源时，不强行构造"为组合而组合"的结构。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组合设计的出发点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吃贴水策略在 IC 和 IM 上都跑出了正的年化超额（IC 9.62% vs 指数 0.83%，IM 15.88% vs 指数 5.31%）。直观想法是把两个品种放在一起，降低单一品种的方向风险，拿到更平滑的收益曲线。组合方式考虑等权（各 50% 资金）和波动率倒数加权。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IC-IM 相关性分析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取 IC Always 和 IM Always 策略的日收益序列，对齐到共同交易日（872 天），计算 Pearson 和 Spearman 相关系数。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吃贴水策略日收益 Pearson r 约 0.95，Spearman ρ 约 0.93。两个品种几乎同涨同跌。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11：每个散点代表一个交易日的 IC 与 IM 策略日收益。OLS 拟合线斜率接近 1，散点紧密围绕拟合线。左上角标注的 Pearson r 和 Spearman ρ 说明线性相关和秩相关都极强。资料来源：IC/IM 期货与指数数据，本报告计算。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组合的局限性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相关性 0.95 之下，品种分散基本无效。代入两品种年化波动（IC 30.05%，IM 32.71%）和相关性 0.95，等权组合波动率约 31.0%，仅略低于单独持有 IM（32.71%），谈不上改善。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实际组合结果由单品种的策略逻辑决定：IC Always 夏普 0.22（11 年样本），IM Always 夏普 0.39（3.5 年样本）。等权组合夏普约 0.30，卡在两者之间，不会超过单独持有更好的一方。这是高相关性下的数学必然——组合权重回到无信息先验，分散化收益被相关性吃光。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结论与后续方向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在我们的样本中，IC 和 IM 吃贴水策略不能靠简单品种组合实现有意义的风险分散。这是负向结果，但划出了策略边界：组合管理不应指望 IC-IM 品种分散，需要引入与权益 beta 不相关的 alpha 来源。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无截距归因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有截距 CAPM 归因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制度约束与资金占用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0.95，品种组合不能替代真正的策略分散。组合管理应引入与权益 beta 不相关的 alpha 来源。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B&lt;-1.5% 阈值为样本内观察，不代表未来最优。参数在样本内存在过拟合风险。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跨期套利在日频 T+1 下无交易价值。若使用更高频数据，结论可能不同。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风控版本夏普均为负，策略的贴水补偿不足以支撑降杠杆和调仓摩擦。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股指期货历史上经历过手续费、保证金和开平仓限制的重大变化，制度风险不可忽视。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当前基差未经分红调整。中证 500/1000 成分股每年 5-8 月集中分红，期间现货指数自然下跌会虚增贴水幅度。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从三个维度看策略的稳定程度：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样本外：IC 测试期（2021-2026）年化 7.24%，方向正确但回撤仍达 -54.12%。训练期含 2015 年股灾，表现差，不宜简单对比。关键约束：测试期本身未经历 2015 级极端行情，不能以此推断策略能扛住下一次市场冲击。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市场状态依赖：策略上涨期年化 47.6%、下跌期 -13.1%，涨跌收益差 60.7pp。市场方向是第一驱动力，贴水补偿只给相对指数的超额，不给绝对保护。高波动期的更高收益是期间上涨行情带的，高波动本身没有溢价。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风控代价：波动率目标和回撤控制可以机械降回撤，但所有风控版本夏普为负。贴水补偿太薄，经不起主动降杠杆——这是策略的根本约束：降风险就要牺牲收益，两头不能兼顾。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品种组合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和 IM 日收益相关性约 0.95，品种分散化价值有限。IC-only 有 11 年完整周期覆盖，是比任何涉及 IM 的组合更可信的基准配置。组合管理的改善方向在于引入与权益 beta 不相关的策略，而非在同质资产内部调权重。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指增和方向性产品可以把策略当作指数增强模块，年化增厚约 3-9pp，视品种和时段而定。绝对收益和低回撤产品不建议单独配置——风控降杠杆后夏普为负，策略没有独立于 beta 的超额。多策略组合中可以占 10-20% 仓位充当权益 beta 来源，但需要搭配与权益负相关或不相关的策略。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优先后续方向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执行是否可捕捉日频下被滞后吃掉的价差回归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跨品种（IF/IH）的分散化分析——大盘 vs 中小盘风格差异可能提供更有意义的低相关性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图表清单：报告中全部 15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跨期价差与布林带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fig_spread_failure.png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跨期套利失败原因拆解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