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3ED4B" w14:textId="77777777" w:rsidR="00E44A48" w:rsidRDefault="00E44A48">
      <w:pPr>
        <w:spacing w:before="0" w:after="0"/>
        <w:ind w:firstLine="0"/>
      </w:pPr>
    </w:p>
    <w:p w14:paraId="55532DD6" w14:textId="77777777" w:rsidR="00E44A48" w:rsidRDefault="00E44A48">
      <w:pPr>
        <w:spacing w:before="0" w:after="0"/>
        <w:ind w:firstLine="0"/>
      </w:pPr>
    </w:p>
    <w:p w14:paraId="7312518A" w14:textId="77777777" w:rsidR="00E44A48" w:rsidRDefault="00E44A48">
      <w:pPr>
        <w:spacing w:before="0" w:after="0"/>
        <w:ind w:firstLine="0"/>
      </w:pPr>
    </w:p>
    <w:p w14:paraId="20CF236E" w14:textId="77777777" w:rsidR="00E44A48" w:rsidRDefault="00E44A48">
      <w:pPr>
        <w:spacing w:before="0" w:after="0"/>
        <w:ind w:firstLine="0"/>
      </w:pPr>
    </w:p>
    <w:p w14:paraId="458EF606" w14:textId="77777777" w:rsidR="00E44A48" w:rsidRDefault="00E44A48">
      <w:pPr>
        <w:spacing w:before="0" w:after="0"/>
        <w:ind w:firstLine="0"/>
      </w:pPr>
    </w:p>
    <w:p w14:paraId="18810D76" w14:textId="77777777" w:rsidR="00E44A48" w:rsidRDefault="00000000">
      <w:pPr>
        <w:spacing w:lineRule="exact" w:line="400" w:before="0" w:after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股指期货套利策略研究报告</w:t>
      </w:r>
    </w:p>
    <w:p w14:paraId="29EE3412" w14:textId="77777777" w:rsidR="00E44A48" w:rsidRDefault="00000000">
      <w:pPr>
        <w:spacing w:after="0" w:lineRule="exact" w:line="400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吃贴水与跨期套利的策略评估与风险拆解</w:t>
      </w:r>
    </w:p>
    <w:p w14:paraId="325065F7" w14:textId="77777777" w:rsidR="00E44A48" w:rsidRDefault="00E44A48">
      <w:pPr>
        <w:pBdr>
          <w:bottom w:val="single" w:sz="10" w:space="1" w:color="000000"/>
        </w:pBdr>
        <w:spacing w:before="0" w:after="0"/>
        <w:ind w:firstLine="0"/>
      </w:pP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4507"/>
        <w:gridCol w:w="4507"/>
      </w:tblGrid>
      <w:tr w:rsidR="00E44A48" w14:paraId="0B0EA950" w14:textId="77777777">
        <w:trPr>
          <w:jc w:val="center"/>
        </w:trPr>
        <w:tc>
          <w:tcPr>
            <w:tcW w:w="5273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51647CE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研究标的</w:t>
            </w:r>
          </w:p>
        </w:tc>
        <w:tc>
          <w:tcPr>
            <w:tcW w:w="5273" w:type="dxa"/>
            <w:shd w:val="clear" w:color="auto" w:fill="EDEDED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1717E73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IC（中证500股指期货）与 IM（中证1000股指期货）</w:t>
            </w:r>
          </w:p>
        </w:tc>
      </w:tr>
      <w:tr w:rsidR="00E44A48" w14:paraId="4B1D7C40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4C822499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数据区间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37C2E6D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IC：2015-04-16 至 2026-03-02；IM：2022-07-22 至 2026-03-02</w:t>
            </w:r>
          </w:p>
        </w:tc>
      </w:tr>
      <w:tr w:rsidR="00E44A48" w14:paraId="3FB1C5F5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4534700D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策略口径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07BB838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吃贴水多头 + 基差阈值择时 + 跨期价差套利</w:t>
            </w:r>
          </w:p>
        </w:tc>
      </w:tr>
      <w:tr w:rsidR="00E44A48" w14:paraId="21F12D94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220421C5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评估维度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  <w:start w:w="80" w:type="dxa"/>
              <w:end w:w="80" w:type="dxa"/>
            </w:tcMar>
            <w:vAlign w:val="center"/>
          </w:tcPr>
          <w:p w14:paraId="13904D4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收益、风险、统计显著性、交易可执行性、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可复现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性</w:t>
            </w:r>
          </w:p>
        </w:tc>
      </w:tr>
    </w:tbl>
    <w:p w14:paraId="3C6E549E" w14:textId="77777777" w:rsidR="00E44A48" w:rsidRDefault="00E44A48">
      <w:pPr>
        <w:spacing w:before="0" w:after="0"/>
        <w:ind w:firstLine="0"/>
      </w:pPr>
    </w:p>
    <w:p w14:paraId="6FB100AC" w14:textId="77777777" w:rsidR="00E44A48" w:rsidRDefault="00E44A48">
      <w:pPr>
        <w:spacing w:before="0" w:after="0"/>
        <w:ind w:firstLine="0"/>
      </w:pPr>
    </w:p>
    <w:p w14:paraId="7473A710" w14:textId="77777777" w:rsidR="00E44A48" w:rsidRDefault="00E44A48">
      <w:pPr>
        <w:spacing w:before="0" w:after="0"/>
        <w:ind w:firstLine="0"/>
      </w:pPr>
    </w:p>
    <w:p w14:paraId="13DD1643" w14:textId="77777777" w:rsidR="00E44A48" w:rsidRDefault="00E44A48">
      <w:pPr>
        <w:spacing w:before="0" w:after="0"/>
        <w:ind w:firstLine="0"/>
      </w:pPr>
    </w:p>
    <w:p w14:paraId="23ABCF26" w14:textId="77777777" w:rsidR="00E44A48" w:rsidRDefault="00E44A48">
      <w:pPr>
        <w:spacing w:before="0" w:after="0"/>
        <w:ind w:firstLine="0"/>
      </w:pPr>
    </w:p>
    <w:p w14:paraId="1136B13C" w14:textId="77777777" w:rsidR="00E44A48" w:rsidRDefault="00E44A48">
      <w:pPr>
        <w:spacing w:before="0" w:after="0"/>
        <w:ind w:firstLine="0"/>
      </w:pPr>
    </w:p>
    <w:p w14:paraId="7A3A08C2" w14:textId="77777777" w:rsidR="00E44A48" w:rsidRDefault="00E44A48">
      <w:pPr>
        <w:spacing w:before="0" w:after="0"/>
        <w:ind w:firstLine="0"/>
      </w:pPr>
    </w:p>
    <w:p w14:paraId="00D2C8AF" w14:textId="77777777" w:rsidR="00E44A48" w:rsidRDefault="00000000">
      <w:pPr>
        <w:spacing w:before="0" w:after="0"/>
        <w:ind w:firstLine="0"/>
      </w:pPr>
      <w:r>
        <w:br w:type="page"/>
      </w:r>
    </w:p>
    <w:p w14:paraId="31697F19" w14:textId="77777777" w:rsidR="00E44A48" w:rsidRDefault="00000000">
      <w:pPr>
        <w:spacing w:after="200" w:before="160"/>
        <w:ind w:left="0" w:firstLine="0"/>
        <w:jc w:val="center"/>
      </w:pPr>
      <w:r>
        <w:rPr>
          <w:b/>
          <w:color w:val="000000"/>
          <w:sz w:val="36"/>
          <w:rFonts w:eastAsia="黑体" w:ascii="Times New Roman" w:hAnsi="Times New Roman"/>
        </w:rPr>
        <w:t>目录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摘要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1. 数据与回测设定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1.1 数据来源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1.2 回测协议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1.3 可复现性保证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2. 基差因子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2.1 定义与经济含义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2.2 均值回复与预测能力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2.3 展期收益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3. 吃贴水策略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3.1 策略设计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3.2 策略绩效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3.3 全策略换仓验证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3.4 样本外验证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3.5 市场状态分段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3.6 风险控制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4. 跨期套利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4.1 策略设计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4.2 回测结果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4.3 失败原因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5. IC-IM 组合策略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5.1 组合设计的出发点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5.2 IC-IM 相关性分析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5.3 组合的局限性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5.4 结论与后续方向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6. 统计检验与收益归因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6.1 Block Bootstrap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6.2 无截距归因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6.3 有截距 CAPM 归因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7. 补充分析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7.1 交易成本敏感性</w:t>
      </w:r>
    </w:p>
    <w:p>
      <w:pPr>
        <w:spacing w:before="0" w:after="0"/>
        <w:ind w:firstLine="0" w:left="2891"/>
        <w:jc w:val="left"/>
      </w:pPr>
      <w:r>
        <w:rPr>
          <w:b w:val="0"/>
          <w:color w:val="000000"/>
          <w:sz w:val="21"/>
          <w:rFonts w:eastAsia="宋体" w:ascii="Times New Roman" w:hAnsi="Times New Roman"/>
        </w:rPr>
        <w:t>7.2 制度约束与资金占用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8. 风险提示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9. 结论</w:t>
      </w:r>
    </w:p>
    <w:p>
      <w:pPr>
        <w:spacing w:before="20" w:after="20"/>
        <w:ind w:firstLine="0" w:left="2608"/>
        <w:jc w:val="left"/>
      </w:pPr>
      <w:r>
        <w:rPr>
          <w:b/>
          <w:color w:val="000000"/>
          <w:sz w:val="22"/>
          <w:rFonts w:eastAsia="宋体" w:ascii="Times New Roman" w:hAnsi="Times New Roman"/>
        </w:rPr>
        <w:t>附录：图表清单</w:t>
      </w:r>
    </w:p>
    <w:p>
      <w:pPr>
        <w:spacing w:before="0" w:after="0"/>
        <w:ind w:firstLine="0"/>
      </w:pPr>
      <w:r>
        <w:br w:type="page"/>
      </w:r>
    </w:p>
    <w:p w14:paraId="4AE44B03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摘要</w:t>
      </w:r>
    </w:p>
    <w:p w14:paraId="331E9FC9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本报告研究 IC（中证500股指期货）和 IM（中证1000股指期货）的吃贴水与跨期套利策略。核心发现：</w:t>
      </w:r>
    </w:p>
    <w:p w14:paraId="38E4B8DD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吃贴水策略跑赢指数。IC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年化收益 </w:t>
      </w:r>
      <w:r>
        <w:rPr>
          <w:b/>
          <w:color w:val="000000"/>
          <w:sz w:val="24"/>
          <w:rFonts w:eastAsia="宋体" w:ascii="Times New Roman" w:hAnsi="Times New Roman"/>
        </w:rPr>
        <w:t>9.62%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（指数 </w:t>
      </w:r>
      <w:r>
        <w:rPr>
          <w:b/>
          <w:color w:val="000000"/>
          <w:sz w:val="24"/>
          <w:rFonts w:eastAsia="宋体" w:ascii="Times New Roman" w:hAnsi="Times New Roman"/>
        </w:rPr>
        <w:t>0.83%</w:t>
      </w:r>
      <w:r>
        <w:rPr>
          <w:b w:val="0"/>
          <w:color w:val="000000"/>
          <w:sz w:val="24"/>
          <w:rFonts w:eastAsia="宋体" w:ascii="Times New Roman" w:hAnsi="Times New Roman"/>
        </w:rPr>
        <w:t>），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</w:t>
      </w:r>
      <w:r>
        <w:rPr>
          <w:b/>
          <w:color w:val="000000"/>
          <w:sz w:val="24"/>
          <w:rFonts w:eastAsia="宋体" w:ascii="Times New Roman" w:hAnsi="Times New Roman"/>
        </w:rPr>
        <w:t>15.88%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（指数 </w:t>
      </w:r>
      <w:r>
        <w:rPr>
          <w:b/>
          <w:color w:val="000000"/>
          <w:sz w:val="24"/>
          <w:rFonts w:eastAsia="宋体" w:ascii="Times New Roman" w:hAnsi="Times New Roman"/>
        </w:rPr>
        <w:t>5.31%</w:t>
      </w:r>
      <w:r>
        <w:rPr>
          <w:b w:val="0"/>
          <w:color w:val="000000"/>
          <w:sz w:val="24"/>
          <w:rFonts w:eastAsia="宋体" w:ascii="Times New Roman" w:hAnsi="Times New Roman"/>
        </w:rPr>
        <w:t>），超额来自期货贴水结构下的基差收敛与展期补偿。</w:t>
      </w:r>
    </w:p>
    <w:p w14:paraId="3994BDC4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超额不等于低风险。IC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</w:t>
      </w:r>
      <w:r>
        <w:rPr>
          <w:b/>
          <w:color w:val="000000"/>
          <w:sz w:val="24"/>
          <w:rFonts w:eastAsia="宋体" w:ascii="Times New Roman" w:hAnsi="Times New Roman"/>
        </w:rPr>
        <w:t>最大回撤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</w:t>
      </w:r>
      <w:r>
        <w:rPr>
          <w:b/>
          <w:color w:val="000000"/>
          <w:sz w:val="24"/>
          <w:rFonts w:eastAsia="宋体" w:ascii="Times New Roman" w:hAnsi="Times New Roman"/>
        </w:rPr>
        <w:t>-61.38%</w:t>
      </w:r>
      <w:r>
        <w:rPr>
          <w:b w:val="0"/>
          <w:color w:val="000000"/>
          <w:sz w:val="24"/>
          <w:rFonts w:eastAsia="宋体" w:ascii="Times New Roman" w:hAnsi="Times New Roman"/>
        </w:rPr>
        <w:t>，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</w:t>
      </w:r>
      <w:r>
        <w:rPr>
          <w:b/>
          <w:color w:val="000000"/>
          <w:sz w:val="24"/>
          <w:rFonts w:eastAsia="宋体" w:ascii="Times New Roman" w:hAnsi="Times New Roman"/>
        </w:rPr>
        <w:t>-50.81%</w:t>
      </w:r>
      <w:r>
        <w:rPr>
          <w:b w:val="0"/>
          <w:color w:val="000000"/>
          <w:sz w:val="24"/>
          <w:rFonts w:eastAsia="宋体" w:ascii="Times New Roman" w:hAnsi="Times New Roman"/>
        </w:rPr>
        <w:t>，策略本质是</w:t>
      </w:r>
      <w:r>
        <w:rPr>
          <w:b/>
          <w:color w:val="000000"/>
          <w:sz w:val="24"/>
          <w:rFonts w:eastAsia="宋体" w:ascii="Times New Roman" w:hAnsi="Times New Roman"/>
        </w:rPr>
        <w:t>指数多头替代</w:t>
      </w:r>
      <w:r>
        <w:rPr>
          <w:b w:val="0"/>
          <w:color w:val="000000"/>
          <w:sz w:val="24"/>
          <w:rFonts w:eastAsia="宋体" w:ascii="Times New Roman" w:hAnsi="Times New Roman"/>
        </w:rPr>
        <w:t>而非</w:t>
      </w:r>
      <w:r>
        <w:rPr>
          <w:b/>
          <w:color w:val="000000"/>
          <w:sz w:val="24"/>
          <w:rFonts w:eastAsia="宋体" w:ascii="Times New Roman" w:hAnsi="Times New Roman"/>
        </w:rPr>
        <w:t>市场中性套利</w:t>
      </w:r>
      <w:r>
        <w:rPr>
          <w:b w:val="0"/>
          <w:color w:val="000000"/>
          <w:sz w:val="24"/>
          <w:rFonts w:eastAsia="宋体" w:ascii="Times New Roman" w:hAnsi="Times New Roman"/>
        </w:rPr>
        <w:t>。</w:t>
      </w:r>
    </w:p>
    <w:p w14:paraId="1A40ECFC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Block Bootstrap 检验：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IC </w:t>
      </w:r>
      <w:r>
        <w:rPr>
          <w:b/>
          <w:color w:val="000000"/>
          <w:sz w:val="24"/>
          <w:rFonts w:eastAsia="宋体" w:ascii="Times New Roman" w:hAnsi="Times New Roman"/>
        </w:rPr>
        <w:t>Sharpe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差异 95% CI </w:t>
      </w:r>
      <w:r>
        <w:rPr>
          <w:b/>
          <w:color w:val="000000"/>
          <w:sz w:val="24"/>
          <w:rFonts w:eastAsia="宋体" w:ascii="Times New Roman" w:hAnsi="Times New Roman"/>
        </w:rPr>
        <w:t>[-0.1669, 0.8246]</w:t>
      </w:r>
      <w:r>
        <w:rPr>
          <w:b w:val="0"/>
          <w:color w:val="000000"/>
          <w:sz w:val="24"/>
          <w:rFonts w:eastAsia="宋体" w:ascii="Times New Roman" w:hAnsi="Times New Roman"/>
        </w:rPr>
        <w:t>，</w:t>
      </w:r>
      <w:r>
        <w:rPr>
          <w:b/>
          <w:color w:val="000000"/>
          <w:sz w:val="24"/>
          <w:rFonts w:eastAsia="宋体" w:ascii="Times New Roman" w:hAnsi="Times New Roman"/>
        </w:rPr>
        <w:t>p = 0.1980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；IM CI </w:t>
      </w:r>
      <w:r>
        <w:rPr>
          <w:b/>
          <w:color w:val="000000"/>
          <w:sz w:val="24"/>
          <w:rFonts w:eastAsia="宋体" w:ascii="Times New Roman" w:hAnsi="Times New Roman"/>
        </w:rPr>
        <w:t>[-0.4077, 1.0583]</w:t>
      </w:r>
      <w:r>
        <w:rPr>
          <w:b w:val="0"/>
          <w:color w:val="000000"/>
          <w:sz w:val="24"/>
          <w:rFonts w:eastAsia="宋体" w:ascii="Times New Roman" w:hAnsi="Times New Roman"/>
        </w:rPr>
        <w:t>，</w:t>
      </w:r>
      <w:r>
        <w:rPr>
          <w:b/>
          <w:color w:val="000000"/>
          <w:sz w:val="24"/>
          <w:rFonts w:eastAsia="宋体" w:ascii="Times New Roman" w:hAnsi="Times New Roman"/>
        </w:rPr>
        <w:t>p = 0.4100</w:t>
      </w:r>
      <w:r>
        <w:rPr>
          <w:b w:val="0"/>
          <w:color w:val="000000"/>
          <w:sz w:val="24"/>
          <w:rFonts w:eastAsia="宋体" w:ascii="Times New Roman" w:hAnsi="Times New Roman"/>
        </w:rPr>
        <w:t>。</w:t>
      </w:r>
      <w:r>
        <w:rPr>
          <w:b/>
          <w:color w:val="000000"/>
          <w:sz w:val="24"/>
          <w:rFonts w:eastAsia="宋体" w:ascii="Times New Roman" w:hAnsi="Times New Roman"/>
        </w:rPr>
        <w:t>置信区间覆盖 0</w:t>
      </w:r>
      <w:r>
        <w:rPr>
          <w:b w:val="0"/>
          <w:color w:val="000000"/>
          <w:sz w:val="24"/>
          <w:rFonts w:eastAsia="宋体" w:ascii="Times New Roman" w:hAnsi="Times New Roman"/>
        </w:rPr>
        <w:t>，统计上</w:t>
      </w:r>
      <w:r>
        <w:rPr>
          <w:b/>
          <w:color w:val="000000"/>
          <w:sz w:val="24"/>
          <w:rFonts w:eastAsia="宋体" w:ascii="Times New Roman" w:hAnsi="Times New Roman"/>
        </w:rPr>
        <w:t>不能拒绝</w:t>
      </w:r>
      <w:r>
        <w:rPr>
          <w:b w:val="0"/>
          <w:color w:val="000000"/>
          <w:sz w:val="24"/>
          <w:rFonts w:eastAsia="宋体" w:ascii="Times New Roman" w:hAnsi="Times New Roman"/>
        </w:rPr>
        <w:t>"超额为 0"的原假设。</w:t>
      </w:r>
    </w:p>
    <w:p w14:paraId="47D03EC9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跨期套利（日频 T+1）不可行：</w:t>
      </w:r>
      <w:r>
        <w:rPr>
          <w:b w:val="0"/>
          <w:color w:val="000000"/>
          <w:sz w:val="24"/>
          <w:rFonts w:eastAsia="宋体" w:ascii="Times New Roman" w:hAnsi="Times New Roman"/>
        </w:rPr>
        <w:t>IC 和 IM 各 16 组参数扫描，均</w:t>
      </w:r>
      <w:r>
        <w:rPr>
          <w:b/>
          <w:color w:val="000000"/>
          <w:sz w:val="24"/>
          <w:rFonts w:eastAsia="宋体" w:ascii="Times New Roman" w:hAnsi="Times New Roman"/>
        </w:rPr>
        <w:t>无正 Sharpe</w:t>
      </w:r>
      <w:r>
        <w:rPr>
          <w:b w:val="0"/>
          <w:color w:val="000000"/>
          <w:sz w:val="24"/>
          <w:rFonts w:eastAsia="宋体" w:ascii="Times New Roman" w:hAnsi="Times New Roman"/>
        </w:rPr>
        <w:t>。限制不在参数选择，在日频收盘价下价差可捕捉偏离太少。</w:t>
      </w:r>
    </w:p>
    <w:p w14:paraId="1B058A8D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组合策略的分散化价值有限：</w:t>
      </w:r>
      <w:r>
        <w:rPr>
          <w:b w:val="0"/>
          <w:color w:val="000000"/>
          <w:sz w:val="24"/>
          <w:rFonts w:eastAsia="宋体" w:ascii="Times New Roman" w:hAnsi="Times New Roman"/>
        </w:rPr>
        <w:t>IC 与 IM 日收益相关性约 0.95，品种组合不能有效降低波动。</w:t>
      </w:r>
    </w:p>
    <w:p w14:paraId="3EA0FB6B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风险控制（波动率目标/回撤控制）可降回撤，但夏普全部转负——贴水补偿的厚度不足以支撑降杠杆后的交易摩擦。</w:t>
      </w:r>
    </w:p>
    <w:p w14:paraId="40DA1A8D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本研究从原始数据出发，Notebook 可从头执行复现，所有参数和随机种子固定。</w:t>
      </w:r>
    </w:p>
    <w:p w14:paraId="0A397588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 研究口径与核心设定：概括报告的研究标的、数据区间、交易假设和评价重点。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4507"/>
        <w:gridCol w:w="4507"/>
      </w:tblGrid>
      <w:tr w:rsidR="00E44A48" w14:paraId="7F6043D2" w14:textId="77777777">
        <w:trPr>
          <w:jc w:val="center"/>
        </w:trPr>
        <w:tc>
          <w:tcPr>
            <w:tcW w:w="527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95EA1D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项目</w:t>
            </w:r>
          </w:p>
        </w:tc>
        <w:tc>
          <w:tcPr>
            <w:tcW w:w="527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E74BC1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口径</w:t>
            </w:r>
          </w:p>
        </w:tc>
      </w:tr>
      <w:tr w:rsidR="00E44A48" w14:paraId="11848044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B16D975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研究标的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6A1353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 与 IM 主力合约，交易标的使用真实合约代码</w:t>
            </w:r>
          </w:p>
        </w:tc>
      </w:tr>
      <w:tr w:rsidR="00E44A48" w14:paraId="249F5736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339640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数据区间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BBF4AA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IC：2015-04-16 至 2026-03-02；IM：2022-07-22 至 2026-03-02</w:t>
            </w:r>
          </w:p>
        </w:tc>
      </w:tr>
      <w:tr w:rsidR="00E44A48" w14:paraId="41CD5FAB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FE1802C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信号与执行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8FECB6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T 日收盘后产生信号，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T+1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日收盘价成交</w:t>
            </w:r>
          </w:p>
        </w:tc>
      </w:tr>
      <w:tr w:rsidR="00E44A48" w14:paraId="7F540CBC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EDC00A1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成本假设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91114B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手续费 0.23‱，滑点 0.2 指数点，合约乘数 200 元/点</w:t>
            </w:r>
          </w:p>
        </w:tc>
      </w:tr>
      <w:tr w:rsidR="00E44A48" w14:paraId="20E2AB1C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6799636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初始资金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18470A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1,000,000 元</w:t>
            </w:r>
          </w:p>
        </w:tc>
      </w:tr>
    </w:tbl>
    <w:p w14:paraId="32CB0EFD" w14:textId="77777777" w:rsidR="00E44A48" w:rsidRDefault="00E44A48">
      <w:pPr>
        <w:spacing w:after="0" w:before="0"/>
        <w:ind w:firstLine="0"/>
      </w:pPr>
    </w:p>
    <w:p w14:paraId="330AD421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4178D61F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1. 数据与回测设定</w:t>
      </w:r>
    </w:p>
    <w:p w14:paraId="53BB3ED3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1.1 数据来源</w:t>
      </w:r>
    </w:p>
    <w:p w14:paraId="5165FD24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原始数据为 4 个 Excel 文件：ic_data.xlsx、im_data.xlsx（期货）、000905.xlsx、000852.xlsx（指数）。期货数据含合约代码、OHLC、成交量、持仓量、主力标志及基差字段；指数数据为对应现货收盘价。</w:t>
      </w:r>
    </w:p>
    <w:p w14:paraId="50AD3BC6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数据清洗涉及以下处理：</w:t>
      </w:r>
    </w:p>
    <w:p w14:paraId="20DAF1C6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期货 Excel 中文列名含不间断空格（\xa0），需 replace + strip 后映射。</w:t>
      </w:r>
    </w:p>
    <w:p w14:paraId="0A7A006A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回测仅使用 IC2306 等真实合约代码，连续合约序列（含 "0Y" 的 contract）仅用于展示。</w:t>
      </w:r>
    </w:p>
    <w:p w14:paraId="056EA0ED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主力合约按数据自带的 main_force == 1 筛选，不手工拼接。</w:t>
      </w:r>
    </w:p>
    <w:p w14:paraId="00206357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2 数据质量检查：对比 IC 与 IM 的原始样本量、主力合约样本量、指数匹配率和合约切换统计。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005"/>
        <w:gridCol w:w="3005"/>
        <w:gridCol w:w="3005"/>
      </w:tblGrid>
      <w:tr w:rsidR="00E44A48" w14:paraId="54A3EECF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58FBFC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检查项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6BCC72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33007B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IM</w:t>
            </w:r>
          </w:p>
        </w:tc>
      </w:tr>
      <w:tr w:rsidR="00E44A48" w14:paraId="490BFC2B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00D6F6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全量期货样本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E7804C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10,568 行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D5C4D3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3,488 行</w:t>
            </w:r>
          </w:p>
        </w:tc>
      </w:tr>
      <w:tr w:rsidR="00E44A48" w14:paraId="3CD9C1E6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BD5E3B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主力合约样本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78F065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2,642 行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4F2ACB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872 行</w:t>
            </w:r>
          </w:p>
        </w:tc>
      </w:tr>
      <w:tr w:rsidR="00E44A48" w14:paraId="77CF9149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8F07C56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日期范围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CDE925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2015-04-16 ~ 2026-03-02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19FBAD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2022-07-22 ~ 2026-03-02</w:t>
            </w:r>
          </w:p>
        </w:tc>
      </w:tr>
      <w:tr w:rsidR="00E44A48" w14:paraId="1EE7543A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1058CC9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合约切换次数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CF6F12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131 次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88F5CC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44 次</w:t>
            </w:r>
          </w:p>
        </w:tc>
      </w:tr>
      <w:tr w:rsidR="00E44A48" w14:paraId="5ED76663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B96FA4E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指数匹配率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A0D55E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100.0%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CA486E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100.0%</w:t>
            </w:r>
          </w:p>
        </w:tc>
      </w:tr>
      <w:tr w:rsidR="00E44A48" w14:paraId="2E978BAB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87FDF73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距到期日范围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CABFF7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 ~ 50 天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D73628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 ~ 50 天</w:t>
            </w:r>
          </w:p>
        </w:tc>
      </w:tr>
      <w:tr w:rsidR="00E44A48" w14:paraId="037B9BC8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6D5E28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合约切换跳空范围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6614DB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-13.96%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~ 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4.25%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DEEF6B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-4.91%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~ 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4.28%</w:t>
            </w:r>
          </w:p>
        </w:tc>
      </w:tr>
    </w:tbl>
    <w:p w14:paraId="3813FE48" w14:textId="77777777" w:rsidR="00E44A48" w:rsidRDefault="00E44A48">
      <w:pPr>
        <w:spacing w:after="0" w:before="0"/>
        <w:ind w:firstLine="0"/>
      </w:pPr>
    </w:p>
    <w:p w14:paraId="720ED397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3DD833FA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IC 样本覆盖 2015 年以来多个市场阶段（股灾、熔断、熊市、COVID）；IM 自 2022 年起始，样本较短，结论稳定性弱于 IC。后文对 IM 的判断均在此前提下理解。</w:t>
      </w:r>
    </w:p>
    <w:p w14:paraId="2A4EDBDB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本报告所有数据均来源于 data/ 目录下 4 个 Excel 文件，指标计算与策略回测在 </w:t>
      </w:r>
      <w:r>
        <w:rPr>
          <w:b/>
          <w:color w:val="000000"/>
          <w:sz w:val="24"/>
          <w:rFonts w:eastAsia="宋体" w:ascii="Times New Roman" w:hAnsi="Times New Roman"/>
        </w:rPr>
        <w:t>Notebook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中完成。后续表格不再重复说明数据出处。</w:t>
      </w:r>
    </w:p>
    <w:p w14:paraId="2E5538D3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1.2 回测协议</w:t>
      </w:r>
    </w:p>
    <w:p w14:paraId="1671CF72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3 回测假设与交易口径：统一所有策略的信号时点、成交时点、合约选择、展期规则和成本设定。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4507"/>
        <w:gridCol w:w="4507"/>
      </w:tblGrid>
      <w:tr w:rsidR="00E44A48" w14:paraId="42F65B39" w14:textId="77777777">
        <w:trPr>
          <w:jc w:val="center"/>
        </w:trPr>
        <w:tc>
          <w:tcPr>
            <w:tcW w:w="527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730054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项目</w:t>
            </w:r>
          </w:p>
        </w:tc>
        <w:tc>
          <w:tcPr>
            <w:tcW w:w="527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8467B5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设定</w:t>
            </w:r>
          </w:p>
        </w:tc>
      </w:tr>
      <w:tr w:rsidR="00E44A48" w14:paraId="3137162C" w14:textId="77777777">
        <w:trPr>
          <w:jc w:val="center"/>
        </w:trPr>
        <w:tc>
          <w:tcPr>
            <w:tcW w:w="5273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016708E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信号时点</w:t>
            </w:r>
          </w:p>
        </w:tc>
        <w:tc>
          <w:tcPr>
            <w:tcW w:w="5273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7E898B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T 日收盘后，基于当日可见数据</w:t>
            </w:r>
          </w:p>
        </w:tc>
      </w:tr>
      <w:tr w:rsidR="00E44A48" w14:paraId="0882FB5A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95A62F0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成交时点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B92599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T+1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日收盘价</w:t>
            </w:r>
          </w:p>
        </w:tc>
      </w:tr>
      <w:tr w:rsidR="00E44A48" w14:paraId="7FE97B6F" w14:textId="77777777">
        <w:trPr>
          <w:jc w:val="center"/>
        </w:trPr>
        <w:tc>
          <w:tcPr>
            <w:tcW w:w="5273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3F15FD9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合约选择</w:t>
            </w:r>
          </w:p>
        </w:tc>
        <w:tc>
          <w:tcPr>
            <w:tcW w:w="5273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DF6CB7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真实期货合约，不使用连续合约作为交易标的</w:t>
            </w:r>
          </w:p>
        </w:tc>
      </w:tr>
      <w:tr w:rsidR="00E44A48" w14:paraId="29C56E8D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B31496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展期规则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CDB07C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到期前固定窗口换至下一主力/次近月合约</w:t>
            </w:r>
          </w:p>
        </w:tc>
      </w:tr>
      <w:tr w:rsidR="00E44A48" w14:paraId="6AAF043D" w14:textId="77777777">
        <w:trPr>
          <w:jc w:val="center"/>
        </w:trPr>
        <w:tc>
          <w:tcPr>
            <w:tcW w:w="5273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62EDF62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成本</w:t>
            </w:r>
          </w:p>
        </w:tc>
        <w:tc>
          <w:tcPr>
            <w:tcW w:w="5273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F3C630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手续费 + 滑点逐笔扣除</w:t>
            </w:r>
          </w:p>
        </w:tc>
      </w:tr>
      <w:tr w:rsidR="00E44A48" w14:paraId="0A7332E7" w14:textId="77777777">
        <w:trPr>
          <w:jc w:val="center"/>
        </w:trPr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742810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逐日盯市</w:t>
            </w:r>
          </w:p>
        </w:tc>
        <w:tc>
          <w:tcPr>
            <w:tcW w:w="5273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D5E01A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按实际持有合约的收盘价计算每日盈亏</w:t>
            </w:r>
          </w:p>
        </w:tc>
      </w:tr>
    </w:tbl>
    <w:p w14:paraId="00746E5C" w14:textId="77777777" w:rsidR="00E44A48" w:rsidRDefault="00E44A48">
      <w:pPr>
        <w:spacing w:after="0" w:before="0"/>
        <w:ind w:firstLine="0"/>
      </w:pPr>
    </w:p>
    <w:p w14:paraId="0DBA79DF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45E20733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逐日盯市基于实际持有合约（held-contract MTM），而非主力连续序列。若直接使用连续序列计算收益，合约切换日的跳空会被重复计入，导致收益虚高。交易流水中所有换仓记录的旧合约均不同于新合约，同合约重复换仓次数为 0。</w:t>
      </w:r>
    </w:p>
    <w:p w14:paraId="0B3B14CC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1.3 可复现性保证</w:t>
      </w:r>
    </w:p>
    <w:p w14:paraId="7499890F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本研究可以完整复现，依赖以下要素：</w:t>
      </w:r>
    </w:p>
    <w:p w14:paraId="412BF212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数据源：</w:t>
      </w:r>
      <w:r>
        <w:rPr>
          <w:b w:val="0"/>
          <w:color w:val="000000"/>
          <w:sz w:val="24"/>
          <w:rFonts w:eastAsia="宋体" w:ascii="Times New Roman" w:hAnsi="Times New Roman"/>
        </w:rPr>
        <w:t>4 个 Excel 文件存放于 data/ 目录，格式未作任何修改，对照原始文件可重建全部分析。</w:t>
      </w:r>
    </w:p>
    <w:p w14:paraId="4DF26C7D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Notebook：</w:t>
      </w:r>
      <w:r>
        <w:rPr>
          <w:b w:val="0"/>
          <w:color w:val="000000"/>
          <w:sz w:val="24"/>
          <w:rFonts w:eastAsia="宋体" w:ascii="Times New Roman" w:hAnsi="Times New Roman"/>
        </w:rPr>
        <w:t>notebooks/股指期货套利策略研究.ipynb 从 Excel 读取开始，无预处理步骤。jupyter nbconvert --execute --inplace 从头执行通过，所有数字均为运行输出，非手工填入。</w:t>
      </w:r>
    </w:p>
    <w:p w14:paraId="6838C9FB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随机种子：Bootstrap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和随机基准分析固定种子，同输入下结果逐位一致。</w:t>
      </w:r>
    </w:p>
    <w:p w14:paraId="65A98277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参数公开：</w:t>
      </w:r>
      <w:r>
        <w:rPr>
          <w:b w:val="0"/>
          <w:color w:val="000000"/>
          <w:sz w:val="24"/>
          <w:rFonts w:eastAsia="宋体" w:ascii="Times New Roman" w:hAnsi="Times New Roman"/>
        </w:rPr>
        <w:t>回测设定（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>、持仓合约 MTM）、全部策略参数（基差阈值、展期窗口、布林带 K 和 lookback）、成本假设（手续费 0.23‱、滑点 0.2 点、保证金率 12%）均在正文列出，无隐藏自由度。</w:t>
      </w:r>
    </w:p>
    <w:p w14:paraId="32FEF8BB" w14:textId="77777777" w:rsidR="00E44A48" w:rsidRDefault="00E44A48">
      <w:pPr>
        <w:spacing w:before="0" w:after="0"/>
        <w:ind w:firstLine="0"/>
        <w:sectPr w:rsidR="00E44A48">
          <w:headerReference w:type="default" r:id="rId8"/>
          <w:footerReference w:type="default" r:id="rId9"/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7A98EE2E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2. 基差因子</w:t>
      </w:r>
    </w:p>
    <w:p w14:paraId="57F64927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2.1 定义与经济含义</w:t>
      </w:r>
    </w:p>
    <w:p w14:paraId="1E61537B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本文定义基差为期货收盘价减去指数收盘价。基差为负表示期货贴水。</w:t>
      </w:r>
    </w:p>
    <w:p w14:paraId="16CC6842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贴水市场中，期货价格临近到期向现货指数收敛。多头持有贴水合约，在承担指数方向风险的同时，获取基差收敛收益及展期补偿。基差会均值回复，但不等于基差能预测指数方向——指数下跌时，基差收敛的幅度通常无法覆盖方向亏损。</w:t>
      </w:r>
    </w:p>
    <w:p w14:paraId="3AC865E6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2.2 均值回复与预测能力</w:t>
      </w:r>
    </w:p>
    <w:p w14:paraId="34F9EBB1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4 基差率统计特征与预测能力：ADF 均值回复检验、半衰期、基差对期货和指数前瞻收益的预测 IC。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005"/>
        <w:gridCol w:w="3005"/>
        <w:gridCol w:w="3005"/>
      </w:tblGrid>
      <w:tr w:rsidR="00E44A48" w14:paraId="162DBD18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2D3B58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指标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EE8AA4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EDA424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IM</w:t>
            </w:r>
          </w:p>
        </w:tc>
      </w:tr>
      <w:tr w:rsidR="00E44A48" w14:paraId="02DF672A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3BBFBC9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ADF 统计量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DB7457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-5.04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AF061A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-6.37</w:t>
            </w:r>
          </w:p>
        </w:tc>
      </w:tr>
      <w:tr w:rsidR="00E44A48" w14:paraId="55A827D9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F8576C5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ADF p 值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E2A4C7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7C46D7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</w:tr>
      <w:tr w:rsidR="00E44A48" w14:paraId="5CCCA2B9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F0DA3D3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半衰期（天）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952900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1.1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F6BFCC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0.9</w:t>
            </w:r>
          </w:p>
        </w:tc>
      </w:tr>
      <w:tr w:rsidR="00E44A48" w14:paraId="19E74AAE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18B83E6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基差→期货收益 IC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04FEF9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0.0725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5A72FF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0.0111</w:t>
            </w:r>
          </w:p>
        </w:tc>
      </w:tr>
      <w:tr w:rsidR="00E44A48" w14:paraId="50B3D8F0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928C10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p 值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B826F9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0.0002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5FF5D8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0.7436</w:t>
            </w:r>
          </w:p>
        </w:tc>
      </w:tr>
      <w:tr w:rsidR="00E44A48" w14:paraId="093ADBDB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E964150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基差→指数收益 IC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554508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-0.7985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EA273A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-0.9206</w:t>
            </w:r>
          </w:p>
        </w:tc>
      </w:tr>
      <w:tr w:rsidR="00E44A48" w14:paraId="2BFEC0E7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211176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p 值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4BBC91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31F8A0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0.0000</w:t>
            </w:r>
          </w:p>
        </w:tc>
      </w:tr>
    </w:tbl>
    <w:p w14:paraId="673B24A6" w14:textId="77777777" w:rsidR="00E44A48" w:rsidRDefault="00E44A48">
      <w:pPr>
        <w:spacing w:after="0" w:before="0"/>
        <w:ind w:firstLine="0"/>
      </w:pPr>
    </w:p>
    <w:p w14:paraId="62F9E020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27181414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基差率序列均值回复特征强（ADF p ≈ 0，半衰期约 1 天）。但基差对指数前瞻收益无正向预测力——相关关系为负（IC = -0.80）而非正——说明基差反映的是期货-现货价格关系的短期回归，不是对指数方向的判断。贴水结构给期货多头提供的是相对现货的补偿，而非择时信号。</w:t>
      </w:r>
    </w:p>
    <w:p w14:paraId="61C6FEAF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2.3 展期收益</w:t>
      </w:r>
    </w:p>
    <w:p w14:paraId="2A255AFD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5 展期收益分布统计：IC 与 IM 各展期段的累计收益分布，包含均值、中位数和正收益占比。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005"/>
        <w:gridCol w:w="3005"/>
        <w:gridCol w:w="3005"/>
      </w:tblGrid>
      <w:tr w:rsidR="00E44A48" w14:paraId="6D435EBA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620667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指标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407B2C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IC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6635F1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IM</w:t>
            </w:r>
          </w:p>
        </w:tc>
      </w:tr>
      <w:tr w:rsidR="00E44A48" w14:paraId="5D85398B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C95E4F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展期段数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D7D475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131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A25F71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44</w:t>
            </w:r>
          </w:p>
        </w:tc>
      </w:tr>
      <w:tr w:rsidR="00E44A48" w14:paraId="1549A47C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AFD83ED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平均每段展期收益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ABB13A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0.19%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5EDF7D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0.86%</w:t>
            </w:r>
          </w:p>
        </w:tc>
      </w:tr>
      <w:tr w:rsidR="00E44A48" w14:paraId="7F03B302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537F76C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中位数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F1BC3E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0.30%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7381ED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0.52%</w:t>
            </w:r>
          </w:p>
        </w:tc>
      </w:tr>
      <w:tr w:rsidR="00E44A48" w14:paraId="1D1AF193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BF74791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正收益占比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881589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51.9%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531A88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54.5%</w:t>
            </w:r>
          </w:p>
        </w:tc>
      </w:tr>
    </w:tbl>
    <w:p w14:paraId="2DB26686" w14:textId="77777777" w:rsidR="00E44A48" w:rsidRDefault="00E44A48">
      <w:pPr>
        <w:spacing w:after="0" w:before="0"/>
        <w:ind w:firstLine="0"/>
      </w:pPr>
    </w:p>
    <w:p w14:paraId="3013FF84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0A3E46D2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4E59A375" wp14:editId="5FE0AC60">
            <wp:extent cx="5472000" cy="19291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oll_yie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F8DEE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1 展期收益分布</w:t>
      </w:r>
    </w:p>
    <w:p w14:paraId="45649A4F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说明：展示每段主力持有周期的累计收益分布。IC 和 IM 的均值都为正，说明样本期内展期机制确实带来补偿，但正收益占比仅略高于一半，单次换仓仍有很大不确定性。</w:t>
      </w:r>
    </w:p>
    <w:p w14:paraId="3F80A10A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44AEDC64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每段主力持有周期的累计收益分布。IC 和 IM 均值均为正，展期机制在样本期内确实提供了补偿。但正收益占比均在 50%-55% 区间，单次换仓不确定性大。贴水提供长期正期望，但单次展期损益波动显著。</w:t>
      </w:r>
    </w:p>
    <w:p w14:paraId="0349C76B" w14:textId="77777777" w:rsidR="00E44A48" w:rsidRDefault="00E44A48">
      <w:pPr>
        <w:spacing w:before="0" w:after="0"/>
        <w:ind w:firstLine="0"/>
        <w:sectPr w:rsidR="00E44A48"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4073F43E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3. 吃贴水策略</w:t>
      </w:r>
    </w:p>
    <w:p w14:paraId="3B6DB3FC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3.1 策略设计</w:t>
      </w:r>
    </w:p>
    <w:p w14:paraId="7A9EA3A2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测试两类规则：</w:t>
      </w:r>
    </w:p>
    <w:p w14:paraId="32F87CEE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Always：</w:t>
      </w:r>
      <w:r>
        <w:rPr>
          <w:b w:val="0"/>
          <w:color w:val="000000"/>
          <w:sz w:val="24"/>
          <w:rFonts w:eastAsia="宋体" w:ascii="Times New Roman" w:hAnsi="Times New Roman"/>
        </w:rPr>
        <w:t>始终做多主力合约，到期前展期。</w:t>
      </w:r>
    </w:p>
    <w:p w14:paraId="01DD92B4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B &lt; −1.5%：</w:t>
      </w:r>
      <w:r>
        <w:rPr>
          <w:b w:val="0"/>
          <w:color w:val="000000"/>
          <w:sz w:val="24"/>
          <w:rFonts w:eastAsia="宋体" w:ascii="Times New Roman" w:hAnsi="Times New Roman"/>
        </w:rPr>
        <w:t>基差率低于 −</w:t>
      </w:r>
      <w:r>
        <w:rPr>
          <w:b/>
          <w:color w:val="000000"/>
          <w:sz w:val="24"/>
          <w:rFonts w:eastAsia="宋体" w:ascii="Times New Roman" w:hAnsi="Times New Roman"/>
        </w:rPr>
        <w:t>1.5%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时做多，否则空仓。</w:t>
      </w:r>
    </w:p>
    <w:p w14:paraId="2C51A782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近似于期货版指数多头，承担全部市场方向风险。基差阈值策略仅在贴水较深时参与，以放弃部分上涨为代价，换取更低的波动和回撤。展期窗口设定为 1 天，参数扫描中另测试 3 天、5 天。</w:t>
      </w:r>
    </w:p>
    <w:p w14:paraId="5393EED5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3.2 策略绩效</w:t>
      </w:r>
    </w:p>
    <w:p w14:paraId="6D3E5298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6 吃贴水策略主要绩效：比较 Always、B&lt;-1.5% 和指数基准在 IC 与 IM 上的收益、风险与交易统计。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 w:rsidR="00E44A48" w14:paraId="7D7C95C0" w14:textId="77777777">
        <w:trPr>
          <w:jc w:val="center"/>
        </w:trPr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AF37CA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策略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A0271E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年化收益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AD7A2B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年化波动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D897E5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Sharpe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EC0131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最大回撤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9A82FA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Calmar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43896E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胜率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A01B3B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累计收益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E59771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VaR95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93A528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交易笔数</w:t>
            </w:r>
          </w:p>
        </w:tc>
      </w:tr>
      <w:tr w:rsidR="00E44A48" w14:paraId="5945434F" w14:textId="77777777">
        <w:trPr>
          <w:jc w:val="center"/>
        </w:trPr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F89D3F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IC Always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596B12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9.62%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1181FD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30.05%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58AEED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0.22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DF9CFF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-61.38%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3AB844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0.16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5FF74C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52.6%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431063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172.49%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7C722E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-1.78%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D91B12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132</w:t>
            </w:r>
          </w:p>
        </w:tc>
      </w:tr>
      <w:tr w:rsidR="00E44A48" w14:paraId="6E4D72E4" w14:textId="77777777">
        <w:trPr>
          <w:jc w:val="center"/>
        </w:trPr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1342582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IC B&lt;-1.5%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88FD71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7.04%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13ACE7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17.81%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810826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0.23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C677FF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-34.85%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9A4D25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0.20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326228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33.2%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90692F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110.21%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C41015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-1.67%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4DD713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846</w:t>
            </w:r>
          </w:p>
        </w:tc>
      </w:tr>
      <w:tr w:rsidR="00E44A48" w14:paraId="66FC3DC7" w14:textId="77777777">
        <w:trPr>
          <w:jc w:val="center"/>
        </w:trPr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C3D974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IC 指数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1E161C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0.83%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E70C0B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24.83%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69F34B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-0.09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4B6BF8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-65.20%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1DD7BF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0.01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8E9DD9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52.6%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EE5E2E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9.43%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43ED95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-2.34%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A23B5A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</w:tr>
      <w:tr w:rsidR="00E44A48" w14:paraId="4D05F374" w14:textId="77777777">
        <w:trPr>
          <w:jc w:val="center"/>
        </w:trPr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5DAD607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IM Always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751C97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15.88%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7AAF56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32.71%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495777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0.39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513E9A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-50.81%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7F800C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0.31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042292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53.0%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531C81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70.08%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1D5C4B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-2.90%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0E785D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45</w:t>
            </w:r>
          </w:p>
        </w:tc>
      </w:tr>
      <w:tr w:rsidR="00E44A48" w14:paraId="505E5046" w14:textId="77777777">
        <w:trPr>
          <w:jc w:val="center"/>
        </w:trPr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859870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IM B&lt;-1.5%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D9DA86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10.83%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4524C5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12.74%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4466B3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0.61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C8AC6E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-12.82%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2FDB48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0.84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A02AD3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31.3%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3BC674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44.84%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DD30D7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-1.49%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4B9A0E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282</w:t>
            </w:r>
          </w:p>
        </w:tc>
      </w:tr>
      <w:tr w:rsidR="00E44A48" w14:paraId="78227FCA" w14:textId="77777777">
        <w:trPr>
          <w:jc w:val="center"/>
        </w:trPr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D3A7A86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IM 指数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77B528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5.31%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118E0F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23.74%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27AAC1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0.10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72796D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-41.60%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4D366D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0.13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D1D15A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53.4%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FD58A4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20.50%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E27A0D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-2.29%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152FF8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</w:tr>
    </w:tbl>
    <w:p w14:paraId="5E8D51BB" w14:textId="77777777" w:rsidR="00E44A48" w:rsidRDefault="00E44A48">
      <w:pPr>
        <w:spacing w:after="0" w:before="0"/>
        <w:ind w:firstLine="0"/>
      </w:pPr>
    </w:p>
    <w:p w14:paraId="6E855BC1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0D1DFFBD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4941B5CB" wp14:editId="78E7FB31">
            <wp:extent cx="5472000" cy="19289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C9E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2 策略净值曲线</w:t>
      </w:r>
    </w:p>
    <w:p w14:paraId="4598D3C3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说明：比较吃贴水策略与现货指数的净值走势。</w:t>
      </w:r>
      <w:r>
        <w:rPr>
          <w:b/>
          <w:color w:val="000000"/>
          <w:sz w:val="20"/>
          <w:rFonts w:eastAsia="宋体" w:ascii="Times New Roman" w:hAnsi="Times New Roman"/>
        </w:rPr>
        <w:t>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策略在 IC 和 IM 上都明显高于对应指数基准，但不是平滑套利曲线，而是跟随市场波动的大幅起伏。</w:t>
      </w:r>
    </w:p>
    <w:p w14:paraId="1300BBEE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1E365601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Always 策略在 IC 和 IM 上均显著跑赢指数。IC Always 累计收益 172.49%（同期指数 9.43%），IM Always 70.08%（指数 20.50%）。贴水结构的长期补偿效应明确。但净值曲线波动幅度大，策略并非平滑套利。</w:t>
      </w:r>
    </w:p>
    <w:p w14:paraId="258E3536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769C8DD2" wp14:editId="6EF9976A">
            <wp:extent cx="5472000" cy="19272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n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C3215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3 年度收益拆分</w:t>
      </w:r>
    </w:p>
    <w:p w14:paraId="123A24D3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说明：按自然年展示策略和基准的收益对比。年度收益波动很大，基差阈值策略在某些下跌阶段有帮助，但空仓会降低回撤也会错过部分上涨。</w:t>
      </w:r>
    </w:p>
    <w:p w14:paraId="5BA37A48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29970EE0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年度收益波动显著。IC 策略经历亏损年份和反弹年份交替，基差阈值策略在部分下跌年份降低了亏损，但也错失部分反弹。IM 首个完整年份（2022）即亏损，样本期内无完整牛熊周期。</w:t>
      </w:r>
    </w:p>
    <w:p w14:paraId="23225E60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7832AD86" wp14:editId="4B37DCCC">
            <wp:extent cx="5472000" cy="192990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w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48C9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4 回撤曲线</w:t>
      </w:r>
    </w:p>
    <w:p w14:paraId="127444E7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说明：比较策略与指数的回撤深度和修复过程。</w:t>
      </w:r>
      <w:r>
        <w:rPr>
          <w:b/>
          <w:color w:val="000000"/>
          <w:sz w:val="20"/>
          <w:rFonts w:eastAsia="宋体" w:ascii="Times New Roman" w:hAnsi="Times New Roman"/>
        </w:rPr>
        <w:t>IC 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</w:t>
      </w:r>
      <w:r>
        <w:rPr>
          <w:b/>
          <w:color w:val="000000"/>
          <w:sz w:val="20"/>
          <w:rFonts w:eastAsia="宋体" w:ascii="Times New Roman" w:hAnsi="Times New Roman"/>
        </w:rPr>
        <w:t>最大回撤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</w:t>
      </w:r>
      <w:r>
        <w:rPr>
          <w:b/>
          <w:color w:val="000000"/>
          <w:sz w:val="20"/>
          <w:rFonts w:eastAsia="宋体" w:ascii="Times New Roman" w:hAnsi="Times New Roman"/>
        </w:rPr>
        <w:t>-61.38%</w:t>
      </w:r>
      <w:r>
        <w:rPr>
          <w:b w:val="0"/>
          <w:color w:val="000000"/>
          <w:sz w:val="20"/>
          <w:rFonts w:eastAsia="宋体" w:ascii="Times New Roman" w:hAnsi="Times New Roman"/>
        </w:rPr>
        <w:t>，</w:t>
      </w:r>
      <w:r>
        <w:rPr>
          <w:b/>
          <w:color w:val="000000"/>
          <w:sz w:val="20"/>
          <w:rFonts w:eastAsia="宋体" w:ascii="Times New Roman" w:hAnsi="Times New Roman"/>
        </w:rPr>
        <w:t>IM 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</w:t>
      </w:r>
      <w:r>
        <w:rPr>
          <w:b/>
          <w:color w:val="000000"/>
          <w:sz w:val="20"/>
          <w:rFonts w:eastAsia="宋体" w:ascii="Times New Roman" w:hAnsi="Times New Roman"/>
        </w:rPr>
        <w:t>-50.81%</w:t>
      </w:r>
      <w:r>
        <w:rPr>
          <w:b w:val="0"/>
          <w:color w:val="000000"/>
          <w:sz w:val="20"/>
          <w:rFonts w:eastAsia="宋体" w:ascii="Times New Roman" w:hAnsi="Times New Roman"/>
        </w:rPr>
        <w:t>，超过多数绝对收益资金可接受范围，更适合作为方向性配置工具。</w:t>
      </w:r>
    </w:p>
    <w:p w14:paraId="11840B64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11B5BB05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IC Always 最大回撤 -61.38%，IM Always -50.81%。此幅度超出多数绝对收益资金的风控承受范围。策略更适合定位为指增或方向性配置工具。</w:t>
      </w:r>
    </w:p>
    <w:p w14:paraId="03D4716F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391E6656" wp14:editId="5E48BE1E">
            <wp:extent cx="5472000" cy="46475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04ECC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5 参数敏感性热力图</w:t>
      </w:r>
    </w:p>
    <w:p w14:paraId="74ABA6AC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说明：展示基差阈值与展期窗口对 </w:t>
      </w:r>
      <w:r>
        <w:rPr>
          <w:b/>
          <w:color w:val="000000"/>
          <w:sz w:val="20"/>
          <w:rFonts w:eastAsia="宋体" w:ascii="Times New Roman" w:hAnsi="Times New Roman"/>
        </w:rPr>
        <w:t>Sharpe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和 </w:t>
      </w:r>
      <w:r>
        <w:rPr>
          <w:b/>
          <w:color w:val="000000"/>
          <w:sz w:val="20"/>
          <w:rFonts w:eastAsia="宋体" w:ascii="Times New Roman" w:hAnsi="Times New Roman"/>
        </w:rPr>
        <w:t>MaxDD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的影响。展期窗口从 1 天到 5 天影响不大，基差阈值影响更明显，但 IM 样本期短，不能将阈值当作稳定最优参数。</w:t>
      </w:r>
    </w:p>
    <w:p w14:paraId="78260805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660EAB9D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展期窗口 1→3→5 天对 Sharpe 和 MaxDD 影响有限，基差阈值影响更明显。IM B&lt;-1.5% 在样本内表现优于 Always（Sharpe 0.61 vs 0.39，MaxDD -12.82% vs -50.81%），但 IM 样本仅 3.5 年，此处不宜作为稳定最优参数推论。</w:t>
      </w:r>
    </w:p>
    <w:p w14:paraId="5BDA935B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3.3 全策略换仓验证</w:t>
      </w:r>
    </w:p>
    <w:p w14:paraId="6B53E46B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覆盖 5 个基差阈值 × 3 个展期窗口 × 2 个品种，全部换仓记录中同合约展期次数为 0。策略按不同合约完成展期，未将连续合约价格跳变误计为交易收益。</w:t>
      </w:r>
    </w:p>
    <w:p w14:paraId="0C6EDF53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3.4 样本外验证</w:t>
      </w:r>
    </w:p>
    <w:p w14:paraId="147A2FC6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IC 按时间划分训练期（2015-2020）和测试期（2021-2026）。IM 仅 872 个交易日，样本过短无法形成稳定滚动窗口，不做样本外拆分。</w:t>
      </w:r>
    </w:p>
    <w:p w14:paraId="2E877062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7 样本外验证结果：IC 按时间划分的训练期与测试期绩效对比。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502"/>
        <w:gridCol w:w="1502"/>
        <w:gridCol w:w="1502"/>
        <w:gridCol w:w="1502"/>
        <w:gridCol w:w="1502"/>
        <w:gridCol w:w="1502"/>
      </w:tblGrid>
      <w:tr w:rsidR="00E44A48" w14:paraId="68B36B29" w14:textId="77777777">
        <w:trPr>
          <w:jc w:val="center"/>
        </w:trPr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CEF34F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数据集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FCEFD7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年化收益%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2DF422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年化波动%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9F9D6A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Sharpe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0AC30C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最大回撤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8D9703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胜率%</w:t>
            </w:r>
          </w:p>
        </w:tc>
      </w:tr>
      <w:tr w:rsidR="00E44A48" w14:paraId="58C0EBFF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622FB0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 训练集 (2015-2020)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705346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-6.03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DB82CB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62.84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D98EF8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-0.14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F2AEA7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-85.77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C717C7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51.9</w:t>
            </w:r>
          </w:p>
        </w:tc>
      </w:tr>
      <w:tr w:rsidR="00E44A48" w14:paraId="0AB7D969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C2A7EC2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 测试集 (2021-2026)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54DD29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7.24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595878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29.02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47C621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0.15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2CBDA5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-54.12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184B24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50.6</w:t>
            </w:r>
          </w:p>
        </w:tc>
      </w:tr>
    </w:tbl>
    <w:p w14:paraId="4A1C4A9D" w14:textId="77777777" w:rsidR="00E44A48" w:rsidRDefault="00E44A48">
      <w:pPr>
        <w:spacing w:after="0" w:before="0"/>
        <w:ind w:firstLine="0"/>
      </w:pPr>
    </w:p>
    <w:p w14:paraId="3A674F17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2851E7F8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27B26CAD" wp14:editId="02FFF248">
            <wp:extent cx="5472000" cy="2085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oo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DAED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6 样本外验证</w:t>
      </w:r>
    </w:p>
    <w:p w14:paraId="5EA79B06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说明：IC 按 </w:t>
      </w:r>
      <w:r>
        <w:rPr>
          <w:b/>
          <w:color w:val="000000"/>
          <w:sz w:val="20"/>
          <w:rFonts w:eastAsia="宋体" w:ascii="Times New Roman" w:hAnsi="Times New Roman"/>
        </w:rPr>
        <w:t>60/40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时间划分的训练期和测试期净值对比。测试期表现好于训练期，但测试期</w:t>
      </w:r>
      <w:r>
        <w:rPr>
          <w:b/>
          <w:color w:val="000000"/>
          <w:sz w:val="20"/>
          <w:rFonts w:eastAsia="宋体" w:ascii="Times New Roman" w:hAnsi="Times New Roman"/>
        </w:rPr>
        <w:t>最大回撤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仍达 </w:t>
      </w:r>
      <w:r>
        <w:rPr>
          <w:b/>
          <w:color w:val="000000"/>
          <w:sz w:val="20"/>
          <w:rFonts w:eastAsia="宋体" w:ascii="Times New Roman" w:hAnsi="Times New Roman"/>
        </w:rPr>
        <w:t>-54.12%</w:t>
      </w:r>
      <w:r>
        <w:rPr>
          <w:b w:val="0"/>
          <w:color w:val="000000"/>
          <w:sz w:val="20"/>
          <w:rFonts w:eastAsia="宋体" w:ascii="Times New Roman" w:hAnsi="Times New Roman"/>
        </w:rPr>
        <w:t>，不应解读为策略已通过样本外检验。IM 仅 872 个交易日，样本过短无法形成稳定滚动窗口，不做样本外拆分。</w:t>
      </w:r>
    </w:p>
    <w:p w14:paraId="5EF328B8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316DF821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测试期表现好于训练期，但不应解读为策略已通过样本外检验。训练期含 2015 年股灾、2016 年熔断和 2018 年熊市，极端行情对收益和回撤拖累严重。测试期虽录得正收益，最大回撤仍达 -54.12%。合理推论是贴水补偿在近年延续，但策略对市场阶段高度敏感，单段测试期不足以确认长期稳健性。</w:t>
      </w:r>
    </w:p>
    <w:p w14:paraId="62D4E94C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3.5 市场状态分段</w:t>
      </w:r>
    </w:p>
    <w:p w14:paraId="1D06E440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按三个维度将交易日划分为六种状态：市场方向（涨/跌）、贴水深度（高贴水/低贴水或升水）、波动率（高/低）。分别计算 </w:t>
      </w:r>
      <w:r>
        <w:rPr>
          <w:b/>
          <w:color w:val="000000"/>
          <w:sz w:val="24"/>
          <w:rFonts w:eastAsia="宋体" w:ascii="Times New Roman" w:hAnsi="Times New Roman"/>
        </w:rPr>
        <w:t>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策略在各状态下的绩效。</w:t>
      </w:r>
    </w:p>
    <w:p w14:paraId="2C6F2459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8 市场状态分段绩效：按市场方向、贴水深度和波动率水平三个维度分段的 Always 策略绩效。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502"/>
        <w:gridCol w:w="1502"/>
        <w:gridCol w:w="1502"/>
        <w:gridCol w:w="1502"/>
        <w:gridCol w:w="1502"/>
        <w:gridCol w:w="1502"/>
      </w:tblGrid>
      <w:tr w:rsidR="00E44A48" w14:paraId="6E20C1E5" w14:textId="77777777">
        <w:trPr>
          <w:jc w:val="center"/>
        </w:trPr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ED22D8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02A04B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状态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703A47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天数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1C8533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年化收益%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D2D992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年化波动%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95A73F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Sharpe</w:t>
            </w:r>
          </w:p>
        </w:tc>
      </w:tr>
      <w:tr w:rsidR="00E44A48" w14:paraId="71EB53BD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9BB5A3C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381AD4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上涨期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0E2466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1,264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3B3B8A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47.6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0C0CE3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16.0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FB3059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2.79</w:t>
            </w:r>
          </w:p>
        </w:tc>
      </w:tr>
      <w:tr w:rsidR="00E44A48" w14:paraId="35BCF314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BF87597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5C40C7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下跌期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D1F907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1,319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EF51D0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-13.1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C66CD6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34.2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EE22BF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-0.47</w:t>
            </w:r>
          </w:p>
        </w:tc>
      </w:tr>
      <w:tr w:rsidR="00E44A48" w14:paraId="5D8FF17C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CC60C06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4C8202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高贴水期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C85D66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1,320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57DFDC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8.8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D7DEAD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36.7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2A7771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0.16</w:t>
            </w:r>
          </w:p>
        </w:tc>
      </w:tr>
      <w:tr w:rsidR="00E44A48" w14:paraId="6DCCED83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6301D3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EDE2B9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低贴水/升水期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C3AFA8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1,321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DA9C92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18.6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596111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21.4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91B77B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0.73</w:t>
            </w:r>
          </w:p>
        </w:tc>
      </w:tr>
      <w:tr w:rsidR="00E44A48" w14:paraId="37D701E8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9C0BDB6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23AEA8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高波动期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943F6B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1,291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F5D854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31.4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1CDEB3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36.5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3C5D70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0.78</w:t>
            </w:r>
          </w:p>
        </w:tc>
      </w:tr>
      <w:tr w:rsidR="00E44A48" w14:paraId="387122C7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E70FD5E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FB4E20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低波动期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95103E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1,292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410C14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1.8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1D4091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10.9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E6D0BF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-0.11</w:t>
            </w:r>
          </w:p>
        </w:tc>
      </w:tr>
      <w:tr w:rsidR="00E44A48" w14:paraId="36A62047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750058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3F1191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上涨期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35B287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410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B2B68A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84.7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B5A438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29.4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0DC834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2.78</w:t>
            </w:r>
          </w:p>
        </w:tc>
      </w:tr>
      <w:tr w:rsidR="00E44A48" w14:paraId="4ED817E9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E310E93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B08DB8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下跌期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DDA470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403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9E4670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-39.0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A5094D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35.3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06BB3A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-1.19</w:t>
            </w:r>
          </w:p>
        </w:tc>
      </w:tr>
      <w:tr w:rsidR="00E44A48" w14:paraId="6EA5A578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31A245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CF1815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高贴水期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7FAB42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435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7DD163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22.7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7A995E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36.6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FE927B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0.54</w:t>
            </w:r>
          </w:p>
        </w:tc>
      </w:tr>
      <w:tr w:rsidR="00E44A48" w14:paraId="582EB930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3C9CE73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001F44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低贴水/升水期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6064F1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436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B142D3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17.5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0189D4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28.3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B56B37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0.51</w:t>
            </w:r>
          </w:p>
        </w:tc>
      </w:tr>
      <w:tr w:rsidR="00E44A48" w14:paraId="27218786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3834453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DE0EE7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高波动期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929C5B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406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292DFF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36.3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7A5C79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41.6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DE6B7A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0.80</w:t>
            </w:r>
          </w:p>
        </w:tc>
      </w:tr>
      <w:tr w:rsidR="00E44A48" w14:paraId="0E47D738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C58D61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719922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低波动期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B09010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407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378D34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10.5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D4E99D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20.4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B6FE24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0.37</w:t>
            </w:r>
          </w:p>
        </w:tc>
      </w:tr>
    </w:tbl>
    <w:p w14:paraId="75183FB4" w14:textId="77777777" w:rsidR="00E44A48" w:rsidRDefault="00E44A48">
      <w:pPr>
        <w:spacing w:after="0" w:before="0"/>
        <w:ind w:firstLine="0"/>
      </w:pPr>
    </w:p>
    <w:p w14:paraId="3E50DDB8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3F56A31A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2FFE67EF" wp14:editId="4DE60302">
            <wp:extent cx="5472000" cy="18485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gime_segment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EC51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7 市场状态分段分析</w:t>
      </w:r>
    </w:p>
    <w:p w14:paraId="3965D164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说明：按市场方向、贴水深度、波动率水平三个维度将交易日分段，展示各子集 </w:t>
      </w:r>
      <w:r>
        <w:rPr>
          <w:b/>
          <w:color w:val="000000"/>
          <w:sz w:val="20"/>
          <w:rFonts w:eastAsia="宋体" w:ascii="Times New Roman" w:hAnsi="Times New Roman"/>
        </w:rPr>
        <w:t>Always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策略绩效。策略首先是</w:t>
      </w:r>
      <w:r>
        <w:rPr>
          <w:b/>
          <w:color w:val="000000"/>
          <w:sz w:val="20"/>
          <w:rFonts w:eastAsia="宋体" w:ascii="Times New Roman" w:hAnsi="Times New Roman"/>
        </w:rPr>
        <w:t>权益方向暴露</w:t>
      </w:r>
      <w:r>
        <w:rPr>
          <w:b w:val="0"/>
          <w:color w:val="000000"/>
          <w:sz w:val="20"/>
          <w:rFonts w:eastAsia="宋体" w:ascii="Times New Roman" w:hAnsi="Times New Roman"/>
        </w:rPr>
        <w:t>，贴水深度也有一定信息但不是独立的择时开关。</w:t>
      </w:r>
    </w:p>
    <w:p w14:paraId="121ECDCF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42CA47EE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策略的首要驱动力是权益方向暴露。IC 涨/跌期收益差 60.7pp（47.6% − (−13.1%)），IM 差 123.7pp。贴水深度有一定区分度但并非独立信号——IC 高贴水期年化仅 8.80%，低于低贴水/升水期的 18.60%，因为在恐慌性下跌中贴水最深，而彼时方向损失远超基差补偿。</w:t>
      </w:r>
    </w:p>
    <w:p w14:paraId="6536451C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高波动状态下策略收益更高（IC </w:t>
      </w:r>
      <w:r>
        <w:rPr>
          <w:b/>
          <w:color w:val="000000"/>
          <w:sz w:val="24"/>
          <w:rFonts w:eastAsia="宋体" w:ascii="Times New Roman" w:hAnsi="Times New Roman"/>
        </w:rPr>
        <w:t>31.4%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vs </w:t>
      </w:r>
      <w:r>
        <w:rPr>
          <w:b/>
          <w:color w:val="000000"/>
          <w:sz w:val="24"/>
          <w:rFonts w:eastAsia="宋体" w:ascii="Times New Roman" w:hAnsi="Times New Roman"/>
        </w:rPr>
        <w:t>1.8%</w:t>
      </w:r>
      <w:r>
        <w:rPr>
          <w:b w:val="0"/>
          <w:color w:val="000000"/>
          <w:sz w:val="24"/>
          <w:rFonts w:eastAsia="宋体" w:ascii="Times New Roman" w:hAnsi="Times New Roman"/>
        </w:rPr>
        <w:t>），并非因为波动率本身有溢价，而是高波动期的上涨行情贡献了大部分收益。</w:t>
      </w:r>
    </w:p>
    <w:p w14:paraId="6E06203B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3.6 风险控制</w:t>
      </w:r>
    </w:p>
    <w:p w14:paraId="7C0F6833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测试两种简单风控：（1）波动率目标，动态调仓使年化波动锚定 15%；（2）回撤控制，回撤超 20% 后逐步降仓。目的为检验策略在风控约束下是否仍具正期望。</w:t>
      </w:r>
    </w:p>
    <w:p w14:paraId="761D549A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9 风险控制版本绩效对比：比较原始策略、波动率目标和回撤控制版本的收益与回撤。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803"/>
        <w:gridCol w:w="1803"/>
        <w:gridCol w:w="1803"/>
        <w:gridCol w:w="1803"/>
        <w:gridCol w:w="1803"/>
      </w:tblGrid>
      <w:tr w:rsidR="00E44A48" w14:paraId="1D1EFF33" w14:textId="77777777">
        <w:trPr>
          <w:jc w:val="center"/>
        </w:trPr>
        <w:tc>
          <w:tcPr>
            <w:tcW w:w="2109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E437D5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E2BA9D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版本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C1FDBB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年化收益%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D3D25A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Sharpe</w:t>
            </w:r>
          </w:p>
        </w:tc>
        <w:tc>
          <w:tcPr>
            <w:tcW w:w="2109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DD9F1D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最大回撤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%</w:t>
            </w:r>
          </w:p>
        </w:tc>
      </w:tr>
      <w:tr w:rsidR="00E44A48" w14:paraId="17FAC486" w14:textId="77777777">
        <w:trPr>
          <w:jc w:val="center"/>
        </w:trPr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9310F4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A2523F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 xml:space="preserve">原始 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Always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DE2760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9.62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3D6D19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0.22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3329E9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-61.38</w:t>
            </w:r>
          </w:p>
        </w:tc>
      </w:tr>
      <w:tr w:rsidR="00E44A48" w14:paraId="27E36DEE" w14:textId="77777777">
        <w:trPr>
          <w:jc w:val="center"/>
        </w:trPr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A520EF7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914DBB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波动率目标 15%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03EE2D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-0.09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7910B4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-0.20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26A6CF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-49.88</w:t>
            </w:r>
          </w:p>
        </w:tc>
      </w:tr>
      <w:tr w:rsidR="00E44A48" w14:paraId="4960442F" w14:textId="77777777">
        <w:trPr>
          <w:jc w:val="center"/>
        </w:trPr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AFD1A1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ADE4A3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回撤控制 20%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CD19E0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0.92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0A87D6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-0.33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ADF08C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-23.63</w:t>
            </w:r>
          </w:p>
        </w:tc>
      </w:tr>
      <w:tr w:rsidR="00E44A48" w14:paraId="5CCA3AC2" w14:textId="77777777">
        <w:trPr>
          <w:jc w:val="center"/>
        </w:trPr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D24980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FE89C3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 xml:space="preserve">原始 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Always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9BE67E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15.88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8A545B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0.39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771334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-50.81</w:t>
            </w:r>
          </w:p>
        </w:tc>
      </w:tr>
      <w:tr w:rsidR="00E44A48" w14:paraId="07E69B1C" w14:textId="77777777">
        <w:trPr>
          <w:jc w:val="center"/>
        </w:trPr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53D153E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364D38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波动率目标 15%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E139A0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1.36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108593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-0.11</w:t>
            </w:r>
          </w:p>
        </w:tc>
        <w:tc>
          <w:tcPr>
            <w:tcW w:w="2109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853F4E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-38.66</w:t>
            </w:r>
          </w:p>
        </w:tc>
      </w:tr>
      <w:tr w:rsidR="00E44A48" w14:paraId="7EAD91AC" w14:textId="77777777">
        <w:trPr>
          <w:jc w:val="center"/>
        </w:trPr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4D93CA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CF9282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回撤控制 20%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D85B38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-4.83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D44788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-1.03</w:t>
            </w:r>
          </w:p>
        </w:tc>
        <w:tc>
          <w:tcPr>
            <w:tcW w:w="2109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6D118B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-20.20</w:t>
            </w:r>
          </w:p>
        </w:tc>
      </w:tr>
    </w:tbl>
    <w:p w14:paraId="63BA5CFB" w14:textId="77777777" w:rsidR="00E44A48" w:rsidRDefault="00E44A48">
      <w:pPr>
        <w:spacing w:after="0" w:before="0"/>
        <w:ind w:firstLine="0"/>
      </w:pPr>
    </w:p>
    <w:p w14:paraId="7F8DFFCB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059AFD32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0C0E43A3" wp14:editId="1A458AE0">
            <wp:extent cx="5472000" cy="19246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isk_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10C0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8 风险控制策略净值</w:t>
      </w:r>
    </w:p>
    <w:p w14:paraId="05BF6853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说明：比较原始策略、波动率目标 15% 和回撤控制 20% 三个版本的净值走势。风控降低了回撤但收益同步被削弱，策略的</w:t>
      </w:r>
      <w:r>
        <w:rPr>
          <w:b/>
          <w:color w:val="000000"/>
          <w:sz w:val="20"/>
          <w:rFonts w:eastAsia="宋体" w:ascii="Times New Roman" w:hAnsi="Times New Roman"/>
        </w:rPr>
        <w:t>贴水补偿</w:t>
      </w:r>
      <w:r>
        <w:rPr>
          <w:b w:val="0"/>
          <w:color w:val="000000"/>
          <w:sz w:val="20"/>
          <w:rFonts w:eastAsia="宋体" w:ascii="Times New Roman" w:hAnsi="Times New Roman"/>
        </w:rPr>
        <w:t>本身不够厚，经不起降杠杆和频繁调仓的摩擦。</w:t>
      </w:r>
    </w:p>
    <w:p w14:paraId="1B11F213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1A80860A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风控确实降低了回撤（IC -61.38% → -23.63%，IM -50.81% → -20.20%），但所有风控版本夏普均为负。策略的贴水补偿有限，降杠杆和调仓摩擦即足以将其耗尽。若需在实盘中控制风险，更有效的方式是在组合层面管理权益敞口，而非依赖策略内部风控提升 Sharpe。</w:t>
      </w:r>
    </w:p>
    <w:p w14:paraId="4FA2FDE1" w14:textId="77777777" w:rsidR="00E44A48" w:rsidRDefault="00E44A48">
      <w:pPr>
        <w:spacing w:before="0" w:after="0"/>
        <w:ind w:firstLine="0"/>
        <w:sectPr w:rsidR="00E44A48"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3AF28F2F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4. 跨期套利</w:t>
      </w:r>
    </w:p>
    <w:p w14:paraId="066BCDE0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4.1 策略设计</w:t>
      </w:r>
    </w:p>
    <w:p w14:paraId="70C5CF02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使用近月-次近月价差。当价差偏离滚动均值（lookback 日）超过 K 倍标准差时开仓，回归至均值附近时平仓。参数空间：K ∈ {1.0, 1.5, 2.0, 2.5}，lookback ∈ {30, 60, 90, 120}，共 16 组。信号 T 日收盘计算，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日收盘执行。</w:t>
      </w:r>
    </w:p>
    <w:p w14:paraId="6FA36840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78ED71DD" wp14:editId="483617DB">
            <wp:extent cx="5472000" cy="192727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pre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4813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9 跨期价差与布林带</w:t>
      </w:r>
    </w:p>
    <w:p w14:paraId="2C50DF3D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说明：展示近月-次近月价差序列及其滚动均值和布林带边界。价差突破布林带后并不总是快速回归，日频下价差回归幅度较小，扣除双边成本后很难留下足够利润。</w:t>
      </w:r>
    </w:p>
    <w:p w14:paraId="3590F503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1514435E" w14:textId="77777777" w:rsidR="00E44A48" w:rsidRDefault="00000000">
      <w:pPr>
        <w:keepNext/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IC 和 IM 的价差围绕均值波动，但突破布林带后的回归并不稳定。日频下回归幅度有限，扣除双边手续费和滑点后剩余空间狭窄。</w:t>
      </w:r>
    </w:p>
    <w:p w14:paraId="4569275E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4.2 回测结果</w:t>
      </w:r>
    </w:p>
    <w:p w14:paraId="6E182028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执行下，IC 和 IM 均无任何参数组合取得正 </w:t>
      </w:r>
      <w:r>
        <w:rPr>
          <w:b/>
          <w:color w:val="000000"/>
          <w:sz w:val="24"/>
          <w:rFonts w:eastAsia="宋体" w:ascii="Times New Roman" w:hAnsi="Times New Roman"/>
        </w:rPr>
        <w:t>Sharpe</w:t>
      </w:r>
      <w:r>
        <w:rPr>
          <w:b w:val="0"/>
          <w:color w:val="000000"/>
          <w:sz w:val="24"/>
          <w:rFonts w:eastAsia="宋体" w:ascii="Times New Roman" w:hAnsi="Times New Roman"/>
        </w:rPr>
        <w:t>。部分参数触发了交易但收益为负或接近零；多数参数未形成有效交易。</w:t>
      </w:r>
    </w:p>
    <w:p w14:paraId="2E9684A9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4.3 失败原因</w:t>
      </w:r>
    </w:p>
    <w:p w14:paraId="5F6C110C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代表性布林带参数（K=2.0, lookback=60）下的信号拆解：</w:t>
      </w:r>
    </w:p>
    <w:p w14:paraId="4FD6E867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10 跨期套利信号统计：展示跨期套利在代表性布林带参数下的信号触发率与方向正确率。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 w:rsidR="00E44A48" w14:paraId="6632F6E7" w14:textId="77777777">
        <w:trPr>
          <w:jc w:val="center"/>
        </w:trPr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29E989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品种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95115F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信号总数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6C4DCF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信号频率%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95E6CC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价差均值(点)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67F5E0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价差波动(点)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F47805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平均偏离(点)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514951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T+1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 xml:space="preserve"> 方向正确率%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1A7EE9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T+1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 xml:space="preserve"> 平均价差变化(点)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278036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单笔成本(点)</w:t>
            </w:r>
          </w:p>
        </w:tc>
        <w:tc>
          <w:tcPr>
            <w:tcW w:w="1054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12727E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 xml:space="preserve">正 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Sharpe</w:t>
            </w: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 xml:space="preserve"> 组数</w:t>
            </w:r>
          </w:p>
        </w:tc>
      </w:tr>
      <w:tr w:rsidR="00E44A48" w14:paraId="4C45ED3B" w14:textId="77777777">
        <w:trPr>
          <w:jc w:val="center"/>
        </w:trPr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C36E3EB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IC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0D28CB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86CC98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07C2ED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71EA09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D028AB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59005C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13AED8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CB7110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6155AB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0/16</w:t>
            </w:r>
          </w:p>
        </w:tc>
      </w:tr>
      <w:tr w:rsidR="00E44A48" w14:paraId="7C6CAA3E" w14:textId="77777777">
        <w:trPr>
          <w:jc w:val="center"/>
        </w:trPr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1AAC69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IM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F91D76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902C73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AA0850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B1C62C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B05D16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0.0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93EE18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C5E45E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7AD0E5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4"/>
                <w:rFonts w:eastAsia="宋体" w:ascii="Times New Roman" w:hAnsi="Times New Roman"/>
              </w:rPr>
              <w:t>—</w:t>
            </w:r>
          </w:p>
        </w:tc>
        <w:tc>
          <w:tcPr>
            <w:tcW w:w="1054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50C858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4"/>
                <w:rFonts w:eastAsia="宋体" w:ascii="Times New Roman" w:hAnsi="Times New Roman"/>
              </w:rPr>
              <w:t>0/16</w:t>
            </w:r>
          </w:p>
        </w:tc>
      </w:tr>
    </w:tbl>
    <w:p w14:paraId="6FCC10EB" w14:textId="77777777" w:rsidR="00E44A48" w:rsidRDefault="00E44A48">
      <w:pPr>
        <w:spacing w:after="0" w:before="0"/>
        <w:ind w:firstLine="0"/>
      </w:pPr>
    </w:p>
    <w:p w14:paraId="02B20614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029FE6BD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5E3E0E0A" wp14:editId="0DAD7B8A">
            <wp:extent cx="5472000" cy="19237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pread_fail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3A05A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10 跨期套利信号拆解</w:t>
      </w:r>
    </w:p>
    <w:p w14:paraId="480B764E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说明：展示代表性布林带参数下的信号分布和 </w:t>
      </w:r>
      <w:r>
        <w:rPr>
          <w:b/>
          <w:color w:val="000000"/>
          <w:sz w:val="20"/>
          <w:rFonts w:eastAsia="宋体" w:ascii="Times New Roman" w:hAnsi="Times New Roman"/>
        </w:rPr>
        <w:t>T+1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执行后的实际收益。日频收盘价下可捕捉偏离太少，</w:t>
      </w:r>
      <w:r>
        <w:rPr>
          <w:b/>
          <w:color w:val="000000"/>
          <w:sz w:val="20"/>
          <w:rFonts w:eastAsia="宋体" w:ascii="Times New Roman" w:hAnsi="Times New Roman"/>
        </w:rPr>
        <w:t>T+1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执行进一步错过短暂回归机会。</w:t>
      </w:r>
    </w:p>
    <w:p w14:paraId="7AC669D2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28D6952D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代表性参数下两品种均无有效触发。完整 16 组参数扫描亦无正 Sharpe 组合。结论比"成本太高"更根本：日频收盘价下，近月-次近月价差的可捕捉偏离过少，T+1 执行进一步错过了可能存在的盘中回归。后续若继续此方向，应优先获取分钟级行情和盘口数据，而非在日频参数上做网格搜索。</w:t>
      </w:r>
    </w:p>
    <w:p w14:paraId="4B25AACD" w14:textId="77777777" w:rsidR="00E44A48" w:rsidRDefault="00E44A48">
      <w:pPr>
        <w:spacing w:before="0" w:after="0"/>
        <w:ind w:firstLine="0"/>
        <w:sectPr w:rsidR="00E44A48"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7F1650F0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5. IC-IM 组合策略</w:t>
      </w:r>
    </w:p>
    <w:p w14:paraId="162BF88F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本报告原计划构建"吃贴水 + 跨期套利"的双策略组合——以吃贴水获取方向性收益与展期补偿，以跨期套利提供与指数方向不相关的第二收益来源。但第 4 章结果显示，跨期套利在日频 </w:t>
      </w:r>
      <w:r>
        <w:rPr>
          <w:b/>
          <w:color w:val="000000"/>
          <w:sz w:val="24"/>
          <w:rFonts w:eastAsia="宋体" w:ascii="Times New Roman" w:hAnsi="Times New Roman"/>
        </w:rPr>
        <w:t>T+1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框架下 IC 和 IM 均无任何参数组合取得正 </w:t>
      </w:r>
      <w:r>
        <w:rPr>
          <w:b/>
          <w:color w:val="000000"/>
          <w:sz w:val="24"/>
          <w:rFonts w:eastAsia="宋体" w:ascii="Times New Roman" w:hAnsi="Times New Roman"/>
        </w:rPr>
        <w:t>Sharpe</w:t>
      </w:r>
      <w:r>
        <w:rPr>
          <w:b w:val="0"/>
          <w:color w:val="000000"/>
          <w:sz w:val="24"/>
          <w:rFonts w:eastAsia="宋体" w:ascii="Times New Roman" w:hAnsi="Times New Roman"/>
        </w:rPr>
        <w:t>，且代表性参数下无有效交易触发。将一个无正期望的策略腿加入组合，只会稀释吃贴水的收益并增加无谓的交易摩擦，不具备组合逻辑上的合理性。</w:t>
      </w:r>
    </w:p>
    <w:p w14:paraId="2FEB32AF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因此，本章实际分析转向 IC 与 IM 吃贴水策略的品种组合——检验同类策略在不同股指期货品种之间是否具备分散价值。这一转向是对研究事实的诚实回应：在研究框架内找不到第二 </w:t>
      </w:r>
      <w:r>
        <w:rPr>
          <w:b/>
          <w:color w:val="000000"/>
          <w:sz w:val="24"/>
          <w:rFonts w:eastAsia="宋体" w:ascii="Times New Roman" w:hAnsi="Times New Roman"/>
        </w:rPr>
        <w:t>alpha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来源时，不强行构造"为组合而组合"的结构。</w:t>
      </w:r>
    </w:p>
    <w:p w14:paraId="6D0427E8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5.1 组合设计的出发点</w:t>
      </w:r>
    </w:p>
    <w:p w14:paraId="537BE24C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吃贴水策略在 IC 和 IM 上都跑出了正的年化超额（IC </w:t>
      </w:r>
      <w:r>
        <w:rPr>
          <w:b/>
          <w:color w:val="000000"/>
          <w:sz w:val="24"/>
          <w:rFonts w:eastAsia="宋体" w:ascii="Times New Roman" w:hAnsi="Times New Roman"/>
        </w:rPr>
        <w:t>9.62%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vs 指数 </w:t>
      </w:r>
      <w:r>
        <w:rPr>
          <w:b/>
          <w:color w:val="000000"/>
          <w:sz w:val="24"/>
          <w:rFonts w:eastAsia="宋体" w:ascii="Times New Roman" w:hAnsi="Times New Roman"/>
        </w:rPr>
        <w:t>0.83%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，IM </w:t>
      </w:r>
      <w:r>
        <w:rPr>
          <w:b/>
          <w:color w:val="000000"/>
          <w:sz w:val="24"/>
          <w:rFonts w:eastAsia="宋体" w:ascii="Times New Roman" w:hAnsi="Times New Roman"/>
        </w:rPr>
        <w:t>15.88%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vs 指数 </w:t>
      </w:r>
      <w:r>
        <w:rPr>
          <w:b/>
          <w:color w:val="000000"/>
          <w:sz w:val="24"/>
          <w:rFonts w:eastAsia="宋体" w:ascii="Times New Roman" w:hAnsi="Times New Roman"/>
        </w:rPr>
        <w:t>5.31%</w:t>
      </w:r>
      <w:r>
        <w:rPr>
          <w:b w:val="0"/>
          <w:color w:val="000000"/>
          <w:sz w:val="24"/>
          <w:rFonts w:eastAsia="宋体" w:ascii="Times New Roman" w:hAnsi="Times New Roman"/>
        </w:rPr>
        <w:t>）。直观想法是把两个品种放在一起，降低单一品种的方向风险，拿到更平滑的收益曲线。组合方式考虑等权（各 50% 资金）和波动率倒数加权。</w:t>
      </w:r>
    </w:p>
    <w:p w14:paraId="52A5508E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但品种组合能不能有效，取决于相关性。如果两个品种的日收益高度同向，组合降不了波动——买入两个高度相关的资产，等于买入一个更大的同方向敞口。</w:t>
      </w:r>
    </w:p>
    <w:p w14:paraId="2B103459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5.2 IC-IM 相关性分析</w:t>
      </w:r>
    </w:p>
    <w:p w14:paraId="27B50F3A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取 </w:t>
      </w:r>
      <w:r>
        <w:rPr>
          <w:b/>
          <w:color w:val="000000"/>
          <w:sz w:val="24"/>
          <w:rFonts w:eastAsia="宋体" w:ascii="Times New Roman" w:hAnsi="Times New Roman"/>
        </w:rPr>
        <w:t>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和 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策略的日收益序列，对齐到共同交易日（872 天），计算 Pearson 和 Spearman 相关系数。</w:t>
      </w:r>
    </w:p>
    <w:p w14:paraId="6815F631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IC 与 IM 吃贴水策略日收益 Pearson r 约 0.95，Spearman ρ 约 0.93。两个品种几乎同涨同跌。</w:t>
      </w:r>
    </w:p>
    <w:p w14:paraId="2D9292A3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背后的逻辑在于：IC 跟踪中证 500、IM 跟踪中证 1000，两者均为中小盘风格指数，成分股高度重合于 A 股市场的同质化系统性风险。同时，两者的贴水结构由共同的市场机制驱动——对冲需求、市场情绪、资金面——而非独立的基本面因素。市场下跌时，两个品种同时下跌且贴水同步扩大；市场上涨时，两者同步反弹。</w:t>
      </w:r>
    </w:p>
    <w:p w14:paraId="6B105313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536911CE" wp14:editId="00DD0047">
            <wp:extent cx="5472000" cy="546670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rrel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F443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11 IC-IM 日收益相关性</w:t>
      </w:r>
    </w:p>
    <w:p w14:paraId="525AB1FD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说明：IC 与 IM 吃贴水策略日收益的散点图和回归线。相关性约 0.95，二者高度同涨同跌，简单组合不能形成有效分散。</w:t>
      </w:r>
    </w:p>
    <w:p w14:paraId="7C6B164A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33431DDA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每个散点代表一个交易日的 IC 与 IM 策略日收益。OLS 拟合线斜率接近 1，散点紧密围绕拟合线。左上角标注的 Pearson r 和 Spearman ρ 说明线性相关和秩相关都极强。资料来源：IC/IM 期货与指数数据，本报告计算。</w:t>
      </w:r>
    </w:p>
    <w:p w14:paraId="30DD0F89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5.3 组合的局限性</w:t>
      </w:r>
    </w:p>
    <w:p w14:paraId="2BA9BE5B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相关性 0.95 之下，品种分散基本无效。代入两品种年化波动（IC </w:t>
      </w:r>
      <w:r>
        <w:rPr>
          <w:b/>
          <w:color w:val="000000"/>
          <w:sz w:val="24"/>
          <w:rFonts w:eastAsia="宋体" w:ascii="Times New Roman" w:hAnsi="Times New Roman"/>
        </w:rPr>
        <w:t>30.05%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，IM </w:t>
      </w:r>
      <w:r>
        <w:rPr>
          <w:b/>
          <w:color w:val="000000"/>
          <w:sz w:val="24"/>
          <w:rFonts w:eastAsia="宋体" w:ascii="Times New Roman" w:hAnsi="Times New Roman"/>
        </w:rPr>
        <w:t>32.71%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）和相关性 0.95，等权组合波动率约 </w:t>
      </w:r>
      <w:r>
        <w:rPr>
          <w:b/>
          <w:color w:val="000000"/>
          <w:sz w:val="24"/>
          <w:rFonts w:eastAsia="宋体" w:ascii="Times New Roman" w:hAnsi="Times New Roman"/>
        </w:rPr>
        <w:t>31.0%</w:t>
      </w:r>
      <w:r>
        <w:rPr>
          <w:b w:val="0"/>
          <w:color w:val="000000"/>
          <w:sz w:val="24"/>
          <w:rFonts w:eastAsia="宋体" w:ascii="Times New Roman" w:hAnsi="Times New Roman"/>
        </w:rPr>
        <w:t>，仅略低于单独持有 IM（</w:t>
      </w:r>
      <w:r>
        <w:rPr>
          <w:b/>
          <w:color w:val="000000"/>
          <w:sz w:val="24"/>
          <w:rFonts w:eastAsia="宋体" w:ascii="Times New Roman" w:hAnsi="Times New Roman"/>
        </w:rPr>
        <w:t>32.71%</w:t>
      </w:r>
      <w:r>
        <w:rPr>
          <w:b w:val="0"/>
          <w:color w:val="000000"/>
          <w:sz w:val="24"/>
          <w:rFonts w:eastAsia="宋体" w:ascii="Times New Roman" w:hAnsi="Times New Roman"/>
        </w:rPr>
        <w:t>），谈不上改善。</w:t>
      </w:r>
    </w:p>
    <w:p w14:paraId="29F87CC1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实际组合结果由单品种的策略逻辑决定：</w:t>
      </w:r>
      <w:r>
        <w:rPr>
          <w:b/>
          <w:color w:val="000000"/>
          <w:sz w:val="24"/>
          <w:rFonts w:eastAsia="宋体" w:ascii="Times New Roman" w:hAnsi="Times New Roman"/>
        </w:rPr>
        <w:t>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夏普 0.22（11 年样本），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夏普 0.39（3.5 年样本）。等权组合夏普约 0.30，卡在两者之间，不会超过单独持有更好的一方。这是高相关性下的数学必然——组合权重回到无信息先验，分散化收益被相关性吃光。</w:t>
      </w:r>
    </w:p>
    <w:p w14:paraId="3CD6CDD5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更关键的是，IM 仅 3.5 年样本，没经历过完整市场周期。样本内 IM 夏普更高，不意味着 IC+IM 组合比 IC-only 更优。IC 有 11 年，穿越了 2015 年股灾、2016 年熔断、2018 年熊市和 2020 年 COVID。IC-only 的推论置信度远高于任何涉及 IM 的组合。</w:t>
      </w:r>
    </w:p>
    <w:p w14:paraId="17A3366E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5.4 结论与后续方向</w:t>
      </w:r>
    </w:p>
    <w:p w14:paraId="6B6BC977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在我们的样本中，IC 和 IM 吃贴水策略不能靠简单品种组合实现有意义的风险分散。这是负向结果，但划出了策略边界：组合管理不应指望 IC-IM 品种分散，需要引入与权益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不相关的 </w:t>
      </w:r>
      <w:r>
        <w:rPr>
          <w:b/>
          <w:color w:val="000000"/>
          <w:sz w:val="24"/>
          <w:rFonts w:eastAsia="宋体" w:ascii="Times New Roman" w:hAnsi="Times New Roman"/>
        </w:rPr>
        <w:t>alpha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来源。</w:t>
      </w:r>
    </w:p>
    <w:p w14:paraId="211CBA37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后续若要在组合层面改善，值得关注：（1）IC/IM 与 IF（沪深 300）、IH（上证 50）的跨品种分散——大盘和中小盘风格差异可能带来更低的策略收益相关性；（2）动态权重——基于基差率或波动率差异调整品种配比，不做固定组合。</w:t>
      </w:r>
    </w:p>
    <w:p w14:paraId="66209DAE" w14:textId="77777777" w:rsidR="00E44A48" w:rsidRDefault="00E44A48">
      <w:pPr>
        <w:spacing w:before="0" w:after="0"/>
        <w:ind w:firstLine="0"/>
        <w:sectPr w:rsidR="00E44A48"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0C4E03EA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6. 统计检验与收益归因</w:t>
      </w:r>
    </w:p>
    <w:p w14:paraId="27F8EA79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6.1 Block Bootstrap</w:t>
      </w:r>
    </w:p>
    <w:p w14:paraId="1347DBDB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采用循环块 </w:t>
      </w:r>
      <w:r>
        <w:rPr>
          <w:b/>
          <w:color w:val="000000"/>
          <w:sz w:val="24"/>
          <w:rFonts w:eastAsia="宋体" w:ascii="Times New Roman" w:hAnsi="Times New Roman"/>
        </w:rPr>
        <w:t>Bootstrap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（block=10 天，2000 次重采样）检验策略相对指数的 </w:t>
      </w:r>
      <w:r>
        <w:rPr>
          <w:b/>
          <w:color w:val="000000"/>
          <w:sz w:val="24"/>
          <w:rFonts w:eastAsia="宋体" w:ascii="Times New Roman" w:hAnsi="Times New Roman"/>
        </w:rPr>
        <w:t>Sharpe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差异。H0：SR_diff = 0。</w:t>
      </w:r>
    </w:p>
    <w:p w14:paraId="46CA275E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11 Bootstrap 显著性检验：Block Bootstrap 重采样下的 Sharpe 差异分布、置信区间和 p 值。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502"/>
        <w:gridCol w:w="1502"/>
        <w:gridCol w:w="1502"/>
        <w:gridCol w:w="1502"/>
        <w:gridCol w:w="1502"/>
        <w:gridCol w:w="1502"/>
      </w:tblGrid>
      <w:tr w:rsidR="00E44A48" w14:paraId="1FFEDF4F" w14:textId="77777777">
        <w:trPr>
          <w:jc w:val="center"/>
        </w:trPr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4550D9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DF6A4B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观测 SR 差异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A1A7C1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95% CI 下限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517563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95% CI 上限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B548B3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p 值</w:t>
            </w:r>
          </w:p>
        </w:tc>
        <w:tc>
          <w:tcPr>
            <w:tcW w:w="175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56CF4F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覆盖 0</w:t>
            </w:r>
          </w:p>
        </w:tc>
      </w:tr>
      <w:tr w:rsidR="00E44A48" w14:paraId="7C66E32E" w14:textId="77777777">
        <w:trPr>
          <w:jc w:val="center"/>
        </w:trPr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FC98DED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IC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25687B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0.3051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CA1C11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-0.1669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47A478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0.8246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216152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0.1980</w:t>
            </w:r>
          </w:p>
        </w:tc>
        <w:tc>
          <w:tcPr>
            <w:tcW w:w="1757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43550B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是</w:t>
            </w:r>
          </w:p>
        </w:tc>
      </w:tr>
      <w:tr w:rsidR="00E44A48" w14:paraId="28296746" w14:textId="77777777">
        <w:trPr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2266655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IM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6307FD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0.2864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DA5B82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-0.4077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996372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1.0583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2CE0F8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0.4100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635C73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是</w:t>
            </w:r>
          </w:p>
        </w:tc>
      </w:tr>
    </w:tbl>
    <w:p w14:paraId="576BA26C" w14:textId="77777777" w:rsidR="00E44A48" w:rsidRDefault="00E44A48">
      <w:pPr>
        <w:spacing w:after="0" w:before="0"/>
        <w:ind w:firstLine="0"/>
      </w:pPr>
    </w:p>
    <w:p w14:paraId="5742F9B3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3F723A85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3960619C" wp14:editId="418D71E5">
            <wp:extent cx="5472000" cy="19299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otstr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BC8C6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12 Bootstrap 显著性检验</w:t>
      </w:r>
    </w:p>
    <w:p w14:paraId="3C922035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说明：展示策略相对指数 </w:t>
      </w:r>
      <w:r>
        <w:rPr>
          <w:b/>
          <w:color w:val="000000"/>
          <w:sz w:val="20"/>
          <w:rFonts w:eastAsia="宋体" w:ascii="Times New Roman" w:hAnsi="Times New Roman"/>
        </w:rPr>
        <w:t>Sharpe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差异的 </w:t>
      </w:r>
      <w:r>
        <w:rPr>
          <w:b/>
          <w:color w:val="000000"/>
          <w:sz w:val="20"/>
          <w:rFonts w:eastAsia="宋体" w:ascii="Times New Roman" w:hAnsi="Times New Roman"/>
        </w:rPr>
        <w:t>Block Bootstrap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重采样分布。两个品种的置信区间都覆盖 0，不能认为策略在统计意义上显著优于指数。</w:t>
      </w:r>
    </w:p>
    <w:p w14:paraId="4CEA67A5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57970F57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两个品种的观测 SR 差异均为正，但 95% CI 均覆盖 0。IC p = 0.1980，IM p = 0.4100，不能拒绝"SR 差异为 0"的原假设。IM CI 更宽（[-0.41, 1.06] vs IC [-0.17, 0.82]），反映 IM 样本较短导致估计标准差更大。策略的历史超额不具备统计显著性。</w:t>
      </w:r>
    </w:p>
    <w:p w14:paraId="593453BF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6.2 无截距归因</w:t>
      </w:r>
    </w:p>
    <w:p w14:paraId="477DA9BE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采用无截距回归：r_strategy = </w:t>
      </w:r>
      <w:r>
        <w:rPr>
          <w:b/>
          <w:color w:val="000000"/>
          <w:sz w:val="24"/>
          <w:rFonts w:eastAsia="宋体" w:ascii="Times New Roman" w:hAnsi="Times New Roman"/>
        </w:rPr>
        <w:t>β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× r_index + ε。残差年均值衡量扣除指数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后的超额。</w:t>
      </w:r>
    </w:p>
    <w:p w14:paraId="3AE5B252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12 无截距收益归因：将策略日收益按无截距模型拆解为指数驱动和残差两部分。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E44A48" w14:paraId="792A3867" w14:textId="77777777">
        <w:trPr>
          <w:jc w:val="center"/>
        </w:trPr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8F6B48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品种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B78767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策略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7664BE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A7B13D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残差年化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EB4218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NW t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F77016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R²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37D793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跟踪误差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FA0715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信息比率</w:t>
            </w:r>
          </w:p>
        </w:tc>
      </w:tr>
      <w:tr w:rsidR="00E44A48" w14:paraId="1665E5E1" w14:textId="77777777">
        <w:trPr>
          <w:jc w:val="center"/>
        </w:trPr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3C2C106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IC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173FBE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993253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-0.03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D0731C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13.79%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80C883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-0.71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3D35EC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0.001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EE8EC1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30.04%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8B5ED8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0.46</w:t>
            </w:r>
          </w:p>
        </w:tc>
      </w:tr>
      <w:tr w:rsidR="00E44A48" w14:paraId="0E13BD7C" w14:textId="77777777">
        <w:trPr>
          <w:jc w:val="center"/>
        </w:trPr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E30A50E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IC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B38EC6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B&lt;-1.5%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1D19E2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0.02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1AD389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8.33%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D613E2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0.48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699CEE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0.000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5A2A2E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17.80%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B51040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0.47</w:t>
            </w:r>
          </w:p>
        </w:tc>
      </w:tr>
      <w:tr w:rsidR="00E44A48" w14:paraId="3FD284E9" w14:textId="77777777">
        <w:trPr>
          <w:jc w:val="center"/>
        </w:trPr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6590215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IM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FB1B6C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FBD86E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0.08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4EDE00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19.11%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4B853A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1.18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E6DB86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0.004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247608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32.67%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74F7F4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0.59</w:t>
            </w:r>
          </w:p>
        </w:tc>
      </w:tr>
      <w:tr w:rsidR="00E44A48" w14:paraId="21C8A1E1" w14:textId="77777777">
        <w:trPr>
          <w:jc w:val="center"/>
        </w:trPr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A41A87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IM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3E81A6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B&lt;-1.5%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A496DA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0.01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DFFAAA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11.03%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441C6F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0.37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A7AE1E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0.000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7390B2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12.74%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26E6FE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0.87</w:t>
            </w:r>
          </w:p>
        </w:tc>
      </w:tr>
    </w:tbl>
    <w:p w14:paraId="28F6F2DB" w14:textId="77777777" w:rsidR="00E44A48" w:rsidRDefault="00E44A48">
      <w:pPr>
        <w:spacing w:after="0" w:before="0"/>
        <w:ind w:firstLine="0"/>
      </w:pPr>
    </w:p>
    <w:p w14:paraId="24CF854A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48393788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lastRenderedPageBreak/>
        <w:drawing>
          <wp:inline distT="0" distB="0" distL="0" distR="0" wp14:anchorId="6A57236C" wp14:editId="2BF6E025">
            <wp:extent cx="5472000" cy="32485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t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43977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13 收益归因分解（无截距）</w:t>
      </w:r>
    </w:p>
    <w:p w14:paraId="60ED7AFF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说明：将策略收益拆解为 </w:t>
      </w:r>
      <w:r>
        <w:rPr>
          <w:b/>
          <w:color w:val="000000"/>
          <w:sz w:val="20"/>
          <w:rFonts w:eastAsia="宋体" w:ascii="Times New Roman" w:hAnsi="Times New Roman"/>
        </w:rPr>
        <w:t>beta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驱动的指数收益和残差两部分。</w:t>
      </w:r>
      <w:r>
        <w:rPr>
          <w:b/>
          <w:color w:val="000000"/>
          <w:sz w:val="20"/>
          <w:rFonts w:eastAsia="宋体" w:ascii="Times New Roman" w:hAnsi="Times New Roman"/>
        </w:rPr>
        <w:t>Beta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很低，</w:t>
      </w:r>
      <w:r>
        <w:rPr>
          <w:b/>
          <w:color w:val="000000"/>
          <w:sz w:val="20"/>
          <w:rFonts w:eastAsia="宋体" w:ascii="Times New Roman" w:hAnsi="Times New Roman"/>
        </w:rPr>
        <w:t>R²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接近 0，日收益中包含大量换仓跳跃、贴水收敛和期货自身价格路径的影响。</w:t>
      </w:r>
    </w:p>
    <w:p w14:paraId="119470A4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06B1FB8E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日频归因 β 接近 0，R² ≈ 0。策略日收益中含合约切换跳空、展期和基差收敛等噪声成分，同期指数日收益对此解释力极弱。日频无截距归因不适合用于拆分策略收益来源。</w:t>
      </w:r>
    </w:p>
    <w:p w14:paraId="750C1DFF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6.3 有截距 CAPM 归因</w:t>
      </w:r>
    </w:p>
    <w:p w14:paraId="6CE7AE4E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加入截距项：r_strategy = </w:t>
      </w:r>
      <w:r>
        <w:rPr>
          <w:b/>
          <w:color w:val="000000"/>
          <w:sz w:val="24"/>
          <w:rFonts w:eastAsia="宋体" w:ascii="Times New Roman" w:hAnsi="Times New Roman"/>
        </w:rPr>
        <w:t>α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+ </w:t>
      </w:r>
      <w:r>
        <w:rPr>
          <w:b/>
          <w:color w:val="000000"/>
          <w:sz w:val="24"/>
          <w:rFonts w:eastAsia="宋体" w:ascii="Times New Roman" w:hAnsi="Times New Roman"/>
        </w:rPr>
        <w:t>β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× r_index + ε。</w:t>
      </w:r>
      <w:r>
        <w:rPr>
          <w:b/>
          <w:color w:val="000000"/>
          <w:sz w:val="24"/>
          <w:rFonts w:eastAsia="宋体" w:ascii="Times New Roman" w:hAnsi="Times New Roman"/>
        </w:rPr>
        <w:t>α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_annual 衡量扣除 </w:t>
      </w:r>
      <w:r>
        <w:rPr>
          <w:b/>
          <w:color w:val="000000"/>
          <w:sz w:val="24"/>
          <w:rFonts w:eastAsia="宋体" w:ascii="Times New Roman" w:hAnsi="Times New Roman"/>
        </w:rPr>
        <w:t>β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暴露后的年化超额。</w:t>
      </w:r>
    </w:p>
    <w:p w14:paraId="0F16CB1E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13 有截距 CAPM 归因（日频）：加入截距项后的日频 CAPM 归因，α 衡量扣除指数 beta 后的平均日超额。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E44A48" w14:paraId="02BB65DC" w14:textId="77777777">
        <w:trPr>
          <w:jc w:val="center"/>
        </w:trPr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87AFD3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品种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150ED1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策略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8A54BF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α</w:t>
            </w: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_annual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860728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t(</w:t>
            </w: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α</w:t>
            </w: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)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715EA5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ECD361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t(</w:t>
            </w: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β</w:t>
            </w: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)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1A1330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R²</w:t>
            </w:r>
          </w:p>
        </w:tc>
        <w:tc>
          <w:tcPr>
            <w:tcW w:w="131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02F542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N</w:t>
            </w:r>
          </w:p>
        </w:tc>
      </w:tr>
      <w:tr w:rsidR="00E44A48" w14:paraId="60F24629" w14:textId="77777777">
        <w:trPr>
          <w:jc w:val="center"/>
        </w:trPr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A3F63A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IC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CDF5A3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F939D5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13.79%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D08958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1.52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D5E5F3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-0.03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876EF9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-1.28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5D3039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0.001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B3EBD5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2,641</w:t>
            </w:r>
          </w:p>
        </w:tc>
      </w:tr>
      <w:tr w:rsidR="00E44A48" w14:paraId="45BE8B1C" w14:textId="77777777">
        <w:trPr>
          <w:jc w:val="center"/>
        </w:trPr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97A7C7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IC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B05DEC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B&lt;-1.5%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B41958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8.33%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E1205E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1.55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47A438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0.02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17DFB4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1.12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91E573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0.001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C05CE0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2,641</w:t>
            </w:r>
          </w:p>
        </w:tc>
      </w:tr>
      <w:tr w:rsidR="00E44A48" w14:paraId="0D2C3457" w14:textId="77777777">
        <w:trPr>
          <w:jc w:val="center"/>
        </w:trPr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9EB8877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IM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BDF082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Always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648D8F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19.12%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3B7A3C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1.11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712669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0.08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7F6F7F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1.79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893864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0.004</w:t>
            </w:r>
          </w:p>
        </w:tc>
        <w:tc>
          <w:tcPr>
            <w:tcW w:w="1318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E938A4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871</w:t>
            </w:r>
          </w:p>
        </w:tc>
      </w:tr>
      <w:tr w:rsidR="00E44A48" w14:paraId="28BB6E25" w14:textId="77777777">
        <w:trPr>
          <w:jc w:val="center"/>
        </w:trPr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3E094B7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IM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09B629A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B&lt;-1.5%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C68477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5"/>
                <w:rFonts w:eastAsia="宋体" w:ascii="Times New Roman" w:hAnsi="Times New Roman"/>
              </w:rPr>
              <w:t>11.03%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78AF76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1.64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942DDD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0.01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545B21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0.46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DCDD12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0.000</w:t>
            </w:r>
          </w:p>
        </w:tc>
        <w:tc>
          <w:tcPr>
            <w:tcW w:w="1318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BDEADB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5"/>
                <w:rFonts w:eastAsia="宋体" w:ascii="Times New Roman" w:hAnsi="Times New Roman"/>
              </w:rPr>
              <w:t>871</w:t>
            </w:r>
          </w:p>
        </w:tc>
      </w:tr>
    </w:tbl>
    <w:p w14:paraId="397D567C" w14:textId="77777777" w:rsidR="00E44A48" w:rsidRDefault="00E44A48">
      <w:pPr>
        <w:spacing w:after="0" w:before="0"/>
        <w:ind w:firstLine="0"/>
      </w:pPr>
    </w:p>
    <w:p w14:paraId="186BB31C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76C2E766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日频 </w:t>
      </w:r>
      <w:r>
        <w:rPr>
          <w:b/>
          <w:color w:val="000000"/>
          <w:sz w:val="24"/>
          <w:rFonts w:eastAsia="宋体" w:ascii="Times New Roman" w:hAnsi="Times New Roman"/>
        </w:rPr>
        <w:t>α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为正但 t 值均 &lt; 2（</w:t>
      </w:r>
      <w:r>
        <w:rPr>
          <w:b/>
          <w:color w:val="000000"/>
          <w:sz w:val="24"/>
          <w:rFonts w:eastAsia="宋体" w:ascii="Times New Roman" w:hAnsi="Times New Roman"/>
        </w:rPr>
        <w:t>IC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t = 1.52，</w:t>
      </w:r>
      <w:r>
        <w:rPr>
          <w:b/>
          <w:color w:val="000000"/>
          <w:sz w:val="24"/>
          <w:rFonts w:eastAsia="宋体" w:ascii="Times New Roman" w:hAnsi="Times New Roman"/>
        </w:rPr>
        <w:t>IM Always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t = 1.11），不具备统计显著性。</w:t>
      </w:r>
      <w:r>
        <w:rPr>
          <w:b/>
          <w:color w:val="000000"/>
          <w:sz w:val="24"/>
          <w:rFonts w:eastAsia="宋体" w:ascii="Times New Roman" w:hAnsi="Times New Roman"/>
        </w:rPr>
        <w:t>β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和 </w:t>
      </w:r>
      <w:r>
        <w:rPr>
          <w:b/>
          <w:color w:val="000000"/>
          <w:sz w:val="24"/>
          <w:rFonts w:eastAsia="宋体" w:ascii="Times New Roman" w:hAnsi="Times New Roman"/>
        </w:rPr>
        <w:t>R²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偏低同样源于日频噪声。改为月频回归：</w:t>
      </w:r>
    </w:p>
    <w:p w14:paraId="2E343708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14 有截距 CAPM 归因（月频）：用月度收益替代日收益进行有截距 CAPM 回归，作为日频结果的稳健性检查。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E44A48" w14:paraId="37568874" w14:textId="77777777">
        <w:trPr>
          <w:jc w:val="center"/>
        </w:trPr>
        <w:tc>
          <w:tcPr>
            <w:tcW w:w="1506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42FF4D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品种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ED19CA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α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_annual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A73686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t(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α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)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878A73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β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7B479A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t(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β</w:t>
            </w: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)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1AB886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R²</w:t>
            </w:r>
          </w:p>
        </w:tc>
        <w:tc>
          <w:tcPr>
            <w:tcW w:w="1506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C9CD2F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月数</w:t>
            </w:r>
          </w:p>
        </w:tc>
      </w:tr>
      <w:tr w:rsidR="00E44A48" w14:paraId="69938B56" w14:textId="77777777">
        <w:trPr>
          <w:jc w:val="center"/>
        </w:trPr>
        <w:tc>
          <w:tcPr>
            <w:tcW w:w="1506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DBD967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IC Always</w:t>
            </w:r>
          </w:p>
        </w:tc>
        <w:tc>
          <w:tcPr>
            <w:tcW w:w="1506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D433D22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9.16%</w:t>
            </w:r>
          </w:p>
        </w:tc>
        <w:tc>
          <w:tcPr>
            <w:tcW w:w="1506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78D27A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1.94</w:t>
            </w:r>
          </w:p>
        </w:tc>
        <w:tc>
          <w:tcPr>
            <w:tcW w:w="1506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D36230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0.67</w:t>
            </w:r>
          </w:p>
        </w:tc>
        <w:tc>
          <w:tcPr>
            <w:tcW w:w="1506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0E9BD3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12.98</w:t>
            </w:r>
          </w:p>
        </w:tc>
        <w:tc>
          <w:tcPr>
            <w:tcW w:w="1506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20C0D3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0.566</w:t>
            </w:r>
          </w:p>
        </w:tc>
        <w:tc>
          <w:tcPr>
            <w:tcW w:w="1506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363DFF5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131</w:t>
            </w:r>
          </w:p>
        </w:tc>
      </w:tr>
      <w:tr w:rsidR="00E44A48" w14:paraId="33F946C1" w14:textId="77777777">
        <w:trPr>
          <w:jc w:val="center"/>
        </w:trPr>
        <w:tc>
          <w:tcPr>
            <w:tcW w:w="1506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C5555C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IM Always</w:t>
            </w:r>
          </w:p>
        </w:tc>
        <w:tc>
          <w:tcPr>
            <w:tcW w:w="1506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0C8B6F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7"/>
                <w:rFonts w:eastAsia="宋体" w:ascii="Times New Roman" w:hAnsi="Times New Roman"/>
              </w:rPr>
              <w:t>11.07%</w:t>
            </w:r>
          </w:p>
        </w:tc>
        <w:tc>
          <w:tcPr>
            <w:tcW w:w="1506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F1F1AD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1.32</w:t>
            </w:r>
          </w:p>
        </w:tc>
        <w:tc>
          <w:tcPr>
            <w:tcW w:w="1506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756459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0.76</w:t>
            </w:r>
          </w:p>
        </w:tc>
        <w:tc>
          <w:tcPr>
            <w:tcW w:w="1506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3B75E6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8.82</w:t>
            </w:r>
          </w:p>
        </w:tc>
        <w:tc>
          <w:tcPr>
            <w:tcW w:w="1506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CADA55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0.649</w:t>
            </w:r>
          </w:p>
        </w:tc>
        <w:tc>
          <w:tcPr>
            <w:tcW w:w="1506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CAD6B4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7"/>
                <w:rFonts w:eastAsia="宋体" w:ascii="Times New Roman" w:hAnsi="Times New Roman"/>
              </w:rPr>
              <w:t>44</w:t>
            </w:r>
          </w:p>
        </w:tc>
      </w:tr>
    </w:tbl>
    <w:p w14:paraId="7D1C2A48" w14:textId="77777777" w:rsidR="00E44A48" w:rsidRDefault="00E44A48">
      <w:pPr>
        <w:spacing w:after="0" w:before="0"/>
        <w:ind w:firstLine="0"/>
      </w:pPr>
    </w:p>
    <w:p w14:paraId="3C8F19FF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58E51FA1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3901B339" wp14:editId="11456C00">
            <wp:extent cx="5472000" cy="297198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pm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B5514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14 有截距 CAPM 归因</w:t>
      </w:r>
    </w:p>
    <w:p w14:paraId="0CFBC832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 xml:space="preserve">说明：加入截距项后的 </w:t>
      </w:r>
      <w:r>
        <w:rPr>
          <w:b/>
          <w:color w:val="000000"/>
          <w:sz w:val="20"/>
          <w:rFonts w:eastAsia="宋体" w:ascii="Times New Roman" w:hAnsi="Times New Roman"/>
        </w:rPr>
        <w:t>CAPM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归因结果。日频下 </w:t>
      </w:r>
      <w:r>
        <w:rPr>
          <w:b/>
          <w:color w:val="000000"/>
          <w:sz w:val="20"/>
          <w:rFonts w:eastAsia="宋体" w:ascii="Times New Roman" w:hAnsi="Times New Roman"/>
        </w:rPr>
        <w:t>α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为正但 t 值均低于 2，不能认为有稳定独立 </w:t>
      </w:r>
      <w:r>
        <w:rPr>
          <w:b/>
          <w:color w:val="000000"/>
          <w:sz w:val="20"/>
          <w:rFonts w:eastAsia="宋体" w:ascii="Times New Roman" w:hAnsi="Times New Roman"/>
        </w:rPr>
        <w:t>alpha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。月频回归 </w:t>
      </w:r>
      <w:r>
        <w:rPr>
          <w:b/>
          <w:color w:val="000000"/>
          <w:sz w:val="20"/>
          <w:rFonts w:eastAsia="宋体" w:ascii="Times New Roman" w:hAnsi="Times New Roman"/>
        </w:rPr>
        <w:t>Beta</w:t>
      </w:r>
      <w:r>
        <w:rPr>
          <w:b w:val="0"/>
          <w:color w:val="000000"/>
          <w:sz w:val="20"/>
          <w:rFonts w:eastAsia="宋体" w:ascii="Times New Roman" w:hAnsi="Times New Roman"/>
        </w:rPr>
        <w:t xml:space="preserve"> 约 0.67-0.76，更符合金融直觉。</w:t>
      </w:r>
    </w:p>
    <w:p w14:paraId="323BD72B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3CBA5E85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月频结果更合理且更符合金融直觉。IC β = 0.67（R² = 0.57），IM β = 0.76（R² = 0.65），策略确有显著的权益方向暴露。α 的 t 值仍 &lt; 2，月频下同样不能认为存在独立 alpha。综合日频和月频结果，策略收益来源于权益 beta、基差收敛和展期补偿的混合，不宜将残差项直接解释为纯 alpha。</w:t>
      </w:r>
    </w:p>
    <w:p w14:paraId="54C8DC3F" w14:textId="77777777" w:rsidR="00E44A48" w:rsidRDefault="00E44A48">
      <w:pPr>
        <w:spacing w:before="0" w:after="0"/>
        <w:ind w:firstLine="0"/>
        <w:sectPr w:rsidR="00E44A48"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38B6451D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7. 补充分析</w:t>
      </w:r>
    </w:p>
    <w:p w14:paraId="43863669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7.1 交易成本敏感性</w:t>
      </w:r>
    </w:p>
    <w:p w14:paraId="0EE241EC" w14:textId="77777777" w:rsidR="00E44A48" w:rsidRDefault="00000000">
      <w:pPr>
        <w:keepNext/>
        <w:keepLines/>
        <w:spacing w:before="80" w:after="40"/>
        <w:ind w:firstLine="0" w:left="0" w:right="0"/>
        <w:jc w:val="center"/>
      </w:pPr>
      <w:r>
        <w:rPr>
          <w:noProof/>
        </w:rPr>
        <w:drawing>
          <wp:inline distT="0" distB="0" distL="0" distR="0" wp14:anchorId="2F4CEAC2" wp14:editId="34D6D524">
            <wp:extent cx="5472000" cy="27028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st_str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C42B" w14:textId="77777777" w:rsidR="00E44A48" w:rsidRDefault="00000000">
      <w:pPr>
        <w:keepNext/>
        <w:keepLines/>
        <w:spacing w:after="60" w:before="8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图 15 成本压力测试</w:t>
      </w:r>
    </w:p>
    <w:p w14:paraId="59FD5965" w14:textId="77777777" w:rsidR="00E44A48" w:rsidRDefault="00000000">
      <w:pPr>
        <w:keepLines/>
        <w:spacing w:after="80" w:before="0"/>
        <w:ind w:left="0" w:right="0" w:firstLine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说明：将交易成本从 1 倍逐级放大到 10 倍，观察策略年化收益的变化。策略换手低，对交易成本不敏感，成本不是主要矛盾。</w:t>
      </w:r>
    </w:p>
    <w:p w14:paraId="675B653C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p w14:paraId="38479E11" w14:textId="77777777" w:rsidR="00E44A48" w:rsidRDefault="00000000">
      <w:pPr>
        <w:spacing w:after="100" w:before="0"/>
        <w:ind w:left="0" w:right="0" w:firstLine="0"/>
        <w:jc w:val="both"/>
      </w:pPr>
      <w:r>
        <w:rPr>
          <w:b/>
          <w:color w:val="000000"/>
          <w:sz w:val="20"/>
          <w:rFonts w:eastAsia="宋体" w:ascii="Times New Roman" w:hAnsi="Times New Roman"/>
        </w:rPr>
        <w:t>解读：</w:t>
      </w:r>
      <w:r>
        <w:rPr>
          <w:b w:val="0"/>
          <w:color w:val="000000"/>
          <w:sz w:val="20"/>
          <w:rFonts w:eastAsia="宋体" w:ascii="Times New Roman" w:hAnsi="Times New Roman"/>
        </w:rPr>
        <w:t>将交易成本从基准（×1）逐级放大至 ×10，IC Always 年化收益衰减有限。策略换手低（主要交易集中在展期日），期货手续费相对名义本金比例极小。成本不是策略的主要约束。</w:t>
      </w:r>
    </w:p>
    <w:p w14:paraId="2E87C1E7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策略核心风险在于贴水结构的持续性。若未来 IC/IM 贴水大幅收窄或转入升水，展期补偿将减弱或消失。</w:t>
      </w:r>
    </w:p>
    <w:p w14:paraId="29267896" w14:textId="77777777" w:rsidR="00E44A48" w:rsidRDefault="00000000">
      <w:pPr>
        <w:pStyle w:val="21"/>
        <w:keepNext/>
        <w:spacing w:before="140" w:after="60" w:lineRule="exact" w:line="400"/>
        <w:ind w:left="0" w:right="0" w:firstLine="0"/>
        <w:jc w:val="left"/>
      </w:pPr>
      <w:r>
        <w:rPr>
          <w:b/>
          <w:color w:val="000000"/>
          <w:sz w:val="25"/>
          <w:rFonts w:eastAsia="黑体" w:ascii="Times New Roman" w:hAnsi="Times New Roman"/>
        </w:rPr>
        <w:t>7.2 制度约束与资金占用</w:t>
      </w:r>
    </w:p>
    <w:p w14:paraId="43ECD8C6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实盘需关注的制度因素：</w:t>
      </w:r>
    </w:p>
    <w:p w14:paraId="70450C4D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保证金：</w:t>
      </w:r>
      <w:r>
        <w:rPr>
          <w:b w:val="0"/>
          <w:color w:val="000000"/>
          <w:sz w:val="24"/>
          <w:rFonts w:eastAsia="宋体" w:ascii="Times New Roman" w:hAnsi="Times New Roman"/>
        </w:rPr>
        <w:t>中金所保证金比例约 12%。以 IC 5,500 点计，一手名义本金约 110 万元，保证金约 13.2 万元。初始资金 100 万元可持有 3-5 手，杠杆 3-5 倍。需保留现金应对逐日盯市的盘中浮亏。</w:t>
      </w:r>
    </w:p>
    <w:p w14:paraId="23F5E727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展期操作：</w:t>
      </w:r>
      <w:r>
        <w:rPr>
          <w:b w:val="0"/>
          <w:color w:val="000000"/>
          <w:sz w:val="24"/>
          <w:rFonts w:eastAsia="宋体" w:ascii="Times New Roman" w:hAnsi="Times New Roman"/>
        </w:rPr>
        <w:t>换仓日存在双边持仓窗口，保证金占用翻倍。可拆至 2-3 天完成以降低瞬时资金压力。</w:t>
      </w:r>
    </w:p>
    <w:p w14:paraId="2BB17C57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制度变迁：</w:t>
      </w:r>
      <w:r>
        <w:rPr>
          <w:b w:val="0"/>
          <w:color w:val="000000"/>
          <w:sz w:val="24"/>
          <w:rFonts w:eastAsia="宋体" w:ascii="Times New Roman" w:hAnsi="Times New Roman"/>
        </w:rPr>
        <w:t>2015 年后保证金从 10% 升至 40%，2017-2019 年逐步松绑。当前规则已正常化，但市场异常波动时限制可能再度收紧。</w:t>
      </w:r>
    </w:p>
    <w:p w14:paraId="52FBDFC9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流动性：</w:t>
      </w:r>
      <w:r>
        <w:rPr>
          <w:b w:val="0"/>
          <w:color w:val="000000"/>
          <w:sz w:val="24"/>
          <w:rFonts w:eastAsia="宋体" w:ascii="Times New Roman" w:hAnsi="Times New Roman"/>
        </w:rPr>
        <w:t>主力合约流动性充足，但规模升至数百手以上时，展期日需注意时间分布，避免集中换仓产生的价格冲击。</w:t>
      </w:r>
    </w:p>
    <w:p w14:paraId="23C4F51E" w14:textId="77777777" w:rsidR="00E44A48" w:rsidRDefault="00E44A48">
      <w:pPr>
        <w:spacing w:before="0" w:after="0"/>
        <w:ind w:firstLine="0"/>
        <w:sectPr w:rsidR="00E44A48"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55FC443B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8. 风险提示</w:t>
      </w:r>
    </w:p>
    <w:p w14:paraId="49D27E73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1. 策略最大回撤超 50%，方向风险是主导风险，不宜定位为低波动或绝对收益策略。</w:t>
      </w:r>
      <w:r>
        <w:rPr>
          <w:b w:val="0"/>
          <w:color w:val="000000"/>
          <w:sz w:val="24"/>
          <w:rFonts w:eastAsia="宋体" w:ascii="Times New Roman" w:hAnsi="Times New Roman"/>
        </w:rPr>
      </w:r>
    </w:p>
    <w:p w14:paraId="2B49D4A6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2. Bootstrap 检验未拒绝 SR 差异为 0，α 的 t 值均 &lt; 2，历史超额在统计意义上不显著。</w:t>
      </w:r>
      <w:r>
        <w:rPr>
          <w:b w:val="0"/>
          <w:color w:val="000000"/>
          <w:sz w:val="24"/>
          <w:rFonts w:eastAsia="宋体" w:ascii="Times New Roman" w:hAnsi="Times New Roman"/>
        </w:rPr>
      </w:r>
    </w:p>
    <w:p w14:paraId="4A6FBA19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3. IM 仅 872 个主力交易日（3.5 年），未经历完整市场周期，相关结论置信度低于 IC。</w:t>
      </w:r>
      <w:r>
        <w:rPr>
          <w:b w:val="0"/>
          <w:color w:val="000000"/>
          <w:sz w:val="24"/>
          <w:rFonts w:eastAsia="宋体" w:ascii="Times New Roman" w:hAnsi="Times New Roman"/>
        </w:rPr>
      </w:r>
    </w:p>
    <w:p w14:paraId="3B432A19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4. IC 与 IM 日收益相关性约 0.95，品种组合不能替代真正的策略分散。</w:t>
      </w:r>
      <w:r>
        <w:rPr>
          <w:b w:val="0"/>
          <w:color w:val="000000"/>
          <w:sz w:val="24"/>
          <w:rFonts w:eastAsia="宋体" w:ascii="Times New Roman" w:hAnsi="Times New Roman"/>
        </w:rPr>
        <w:t>组合管理应引入与权益 beta 不相关的 alpha 来源。</w:t>
      </w:r>
    </w:p>
    <w:p w14:paraId="1AB2D2D5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5. B&lt;-1.5% 阈值为样本内观察，不代表未来最优。</w:t>
      </w:r>
      <w:r>
        <w:rPr>
          <w:b w:val="0"/>
          <w:color w:val="000000"/>
          <w:sz w:val="24"/>
          <w:rFonts w:eastAsia="宋体" w:ascii="Times New Roman" w:hAnsi="Times New Roman"/>
        </w:rPr>
        <w:t>参数在样本内存在过拟合风险。</w:t>
      </w:r>
    </w:p>
    <w:p w14:paraId="594EEF5F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6. 跨期套利在日频 T+1 下无交易价值。</w:t>
      </w:r>
      <w:r>
        <w:rPr>
          <w:b w:val="0"/>
          <w:color w:val="000000"/>
          <w:sz w:val="24"/>
          <w:rFonts w:eastAsia="宋体" w:ascii="Times New Roman" w:hAnsi="Times New Roman"/>
        </w:rPr>
        <w:t>若使用更高频数据，结论可能不同。</w:t>
      </w:r>
    </w:p>
    <w:p w14:paraId="4441FFFB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7. 风控版本夏普均为负，策略的贴水补偿不足以支撑降杠杆和调仓摩擦。</w:t>
      </w:r>
      <w:r>
        <w:rPr>
          <w:b w:val="0"/>
          <w:color w:val="000000"/>
          <w:sz w:val="24"/>
          <w:rFonts w:eastAsia="宋体" w:ascii="Times New Roman" w:hAnsi="Times New Roman"/>
        </w:rPr>
      </w:r>
    </w:p>
    <w:p w14:paraId="33060C50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8. 股指期货历史上经历过手续费、保证金和开平仓限制的重大变化，制度风险不可忽视。</w:t>
      </w:r>
      <w:r>
        <w:rPr>
          <w:b w:val="0"/>
          <w:color w:val="000000"/>
          <w:sz w:val="24"/>
          <w:rFonts w:eastAsia="宋体" w:ascii="Times New Roman" w:hAnsi="Times New Roman"/>
        </w:rPr>
      </w:r>
    </w:p>
    <w:p w14:paraId="0A132186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9. 当前基差未经分红调整。</w:t>
      </w:r>
      <w:r>
        <w:rPr>
          <w:b w:val="0"/>
          <w:color w:val="000000"/>
          <w:sz w:val="24"/>
          <w:rFonts w:eastAsia="宋体" w:ascii="Times New Roman" w:hAnsi="Times New Roman"/>
        </w:rPr>
        <w:t>中证 500/1000 成分股每年 5-8 月集中分红，期间现货指数自然下跌会虚增贴水幅度。</w:t>
      </w:r>
    </w:p>
    <w:p w14:paraId="1AF9B799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10. 本研究基于公开历史数据的回测，样本外表现可能与回测结果有重大偏差。</w:t>
      </w:r>
      <w:r>
        <w:rPr>
          <w:b w:val="0"/>
          <w:color w:val="000000"/>
          <w:sz w:val="24"/>
          <w:rFonts w:eastAsia="宋体" w:ascii="Times New Roman" w:hAnsi="Times New Roman"/>
        </w:rPr>
        <w:t>所有结论均为历史观察，不构成投资建议。</w:t>
      </w:r>
    </w:p>
    <w:p w14:paraId="7905189C" w14:textId="77777777" w:rsidR="00E44A48" w:rsidRDefault="00E44A48">
      <w:pPr>
        <w:spacing w:before="0" w:after="0"/>
        <w:ind w:firstLine="0"/>
        <w:sectPr w:rsidR="00E44A48">
          <w:pgSz w:w="11906" w:h="16838"/>
          <w:pgMar w:top="709" w:right="680" w:bottom="680" w:left="680" w:header="454" w:footer="454" w:gutter="0"/>
          <w:cols w:space="720"/>
          <w:docGrid w:linePitch="360"/>
        </w:sectPr>
      </w:pPr>
    </w:p>
    <w:p w14:paraId="538E0312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9. 结论</w:t>
      </w:r>
    </w:p>
    <w:p w14:paraId="0A18A0AF" w14:textId="77777777" w:rsidR="00E44A48" w:rsidRDefault="00000000">
      <w:pPr>
        <w:spacing w:before="0" w:after="0" w:lineRule="exact" w:line="40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策略定位</w:t>
      </w:r>
    </w:p>
    <w:p w14:paraId="6DD91690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吃贴水策略的定位：带有展期补偿的股指期货多头工具，不是</w:t>
      </w:r>
      <w:r>
        <w:rPr>
          <w:b/>
          <w:color w:val="000000"/>
          <w:sz w:val="24"/>
          <w:rFonts w:eastAsia="宋体" w:ascii="Times New Roman" w:hAnsi="Times New Roman"/>
        </w:rPr>
        <w:t>市场中性套利</w:t>
      </w:r>
      <w:r>
        <w:rPr>
          <w:b w:val="0"/>
          <w:color w:val="000000"/>
          <w:sz w:val="24"/>
          <w:rFonts w:eastAsia="宋体" w:ascii="Times New Roman" w:hAnsi="Times New Roman"/>
        </w:rPr>
        <w:t>。其超额来自贴水结构下的基差收敛与展期补偿，主要风险来自指数的方向波动。</w:t>
      </w:r>
    </w:p>
    <w:p w14:paraId="3C438CF8" w14:textId="77777777" w:rsidR="00E44A48" w:rsidRDefault="00000000">
      <w:pPr>
        <w:spacing w:before="0" w:after="0" w:lineRule="exact" w:line="40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稳定性评估</w:t>
      </w:r>
    </w:p>
    <w:p w14:paraId="0683ED46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从三个维度看策略的稳定程度：</w:t>
      </w:r>
    </w:p>
    <w:p w14:paraId="0E324E7B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样本外：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IC 测试期（2021-2026）年化 </w:t>
      </w:r>
      <w:r>
        <w:rPr>
          <w:b/>
          <w:color w:val="000000"/>
          <w:sz w:val="24"/>
          <w:rFonts w:eastAsia="宋体" w:ascii="Times New Roman" w:hAnsi="Times New Roman"/>
        </w:rPr>
        <w:t>7.24%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，方向正确但回撤仍达 </w:t>
      </w:r>
      <w:r>
        <w:rPr>
          <w:b/>
          <w:color w:val="000000"/>
          <w:sz w:val="24"/>
          <w:rFonts w:eastAsia="宋体" w:ascii="Times New Roman" w:hAnsi="Times New Roman"/>
        </w:rPr>
        <w:t>-54.12%</w:t>
      </w:r>
      <w:r>
        <w:rPr>
          <w:b w:val="0"/>
          <w:color w:val="000000"/>
          <w:sz w:val="24"/>
          <w:rFonts w:eastAsia="宋体" w:ascii="Times New Roman" w:hAnsi="Times New Roman"/>
        </w:rPr>
        <w:t>。训练期含 2015 年股灾，表现差，不宜简单对比。关键约束：测试期本身未经历 2015 级极端行情，不能以此推断策略能扛住下一次市场冲击。</w:t>
      </w:r>
    </w:p>
    <w:p w14:paraId="3AF97311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市场状态依赖：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策略上涨期年化 </w:t>
      </w:r>
      <w:r>
        <w:rPr>
          <w:b/>
          <w:color w:val="000000"/>
          <w:sz w:val="24"/>
          <w:rFonts w:eastAsia="宋体" w:ascii="Times New Roman" w:hAnsi="Times New Roman"/>
        </w:rPr>
        <w:t>47.6%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、下跌期 </w:t>
      </w:r>
      <w:r>
        <w:rPr>
          <w:b/>
          <w:color w:val="000000"/>
          <w:sz w:val="24"/>
          <w:rFonts w:eastAsia="宋体" w:ascii="Times New Roman" w:hAnsi="Times New Roman"/>
        </w:rPr>
        <w:t>-13.1%</w:t>
      </w:r>
      <w:r>
        <w:rPr>
          <w:b w:val="0"/>
          <w:color w:val="000000"/>
          <w:sz w:val="24"/>
          <w:rFonts w:eastAsia="宋体" w:ascii="Times New Roman" w:hAnsi="Times New Roman"/>
        </w:rPr>
        <w:t>，涨跌收益差 60.7pp。市场方向是第一驱动力，</w:t>
      </w:r>
      <w:r>
        <w:rPr>
          <w:b/>
          <w:color w:val="000000"/>
          <w:sz w:val="24"/>
          <w:rFonts w:eastAsia="宋体" w:ascii="Times New Roman" w:hAnsi="Times New Roman"/>
        </w:rPr>
        <w:t>贴水补偿</w:t>
      </w:r>
      <w:r>
        <w:rPr>
          <w:b w:val="0"/>
          <w:color w:val="000000"/>
          <w:sz w:val="24"/>
          <w:rFonts w:eastAsia="宋体" w:ascii="Times New Roman" w:hAnsi="Times New Roman"/>
        </w:rPr>
        <w:t>只给相对指数的超额，不给绝对保护。高波动期的更高收益是期间上涨行情带的，高波动本身没有溢价。</w:t>
      </w:r>
    </w:p>
    <w:p w14:paraId="0EC0175D" w14:textId="77777777" w:rsidR="00E44A48" w:rsidRDefault="00000000">
      <w:pPr>
        <w:pStyle w:val="a0"/>
        <w:spacing w:after="0" w:line="400" w:lineRule="exact" w:before="0"/>
        <w:ind w:firstLine="0" w:left="425" w:right="0"/>
        <w:jc w:val="both"/>
      </w:pPr>
      <w:r>
        <w:rPr>
          <w:b/>
          <w:color w:val="000000"/>
          <w:sz w:val="24"/>
          <w:rFonts w:eastAsia="宋体" w:ascii="Times New Roman" w:hAnsi="Times New Roman"/>
        </w:rPr>
        <w:t>风控代价：</w:t>
      </w:r>
      <w:r>
        <w:rPr>
          <w:b w:val="0"/>
          <w:color w:val="000000"/>
          <w:sz w:val="24"/>
          <w:rFonts w:eastAsia="宋体" w:ascii="Times New Roman" w:hAnsi="Times New Roman"/>
        </w:rPr>
        <w:t>波动率目标和回撤控制可以机械降回撤，但所有风控版本夏普为负。</w:t>
      </w:r>
      <w:r>
        <w:rPr>
          <w:b/>
          <w:color w:val="000000"/>
          <w:sz w:val="24"/>
          <w:rFonts w:eastAsia="宋体" w:ascii="Times New Roman" w:hAnsi="Times New Roman"/>
        </w:rPr>
        <w:t>贴水补偿</w:t>
      </w:r>
      <w:r>
        <w:rPr>
          <w:b w:val="0"/>
          <w:color w:val="000000"/>
          <w:sz w:val="24"/>
          <w:rFonts w:eastAsia="宋体" w:ascii="Times New Roman" w:hAnsi="Times New Roman"/>
        </w:rPr>
        <w:t>太薄，经不起主动降杠杆——这是策略的根本约束：降风险就要牺牲收益，两头不能兼顾。</w:t>
      </w:r>
    </w:p>
    <w:p w14:paraId="7A4D097F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总体看：吃贴水策略的历史表现对市场阶段高度敏感。样本内有正超额，但超额不穿越牛熊。策略更适合做仓位置换——用期货替代 ETF 或指增，拿额外展期补偿——而非押注策略本身的绝对收益能力。</w:t>
      </w:r>
    </w:p>
    <w:p w14:paraId="78724E9C" w14:textId="77777777" w:rsidR="00E44A48" w:rsidRDefault="00000000">
      <w:pPr>
        <w:spacing w:before="0" w:after="0" w:lineRule="exact" w:line="40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品种组合</w:t>
      </w:r>
    </w:p>
    <w:p w14:paraId="543EB214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IC 和 IM 日收益相关性约 0.95，品种分散化价值有限。IC-only 有 11 年完整周期覆盖，是比任何涉及 IM 的组合更可信的基准配置。组合管理的改善方向在于引入与权益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不相关的策略，而非在同质资产内部调权重。</w:t>
      </w:r>
    </w:p>
    <w:p w14:paraId="04428967" w14:textId="77777777" w:rsidR="00E44A48" w:rsidRDefault="00000000">
      <w:pPr>
        <w:spacing w:before="0" w:after="0" w:lineRule="exact" w:line="40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适用场景</w:t>
      </w:r>
    </w:p>
    <w:p w14:paraId="079DE99F" w14:textId="77777777" w:rsidR="00E44A48" w:rsidRDefault="00000000">
      <w:pPr>
        <w:spacing w:after="0" w:line="400" w:lineRule="exact" w:before="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 xml:space="preserve">指增和方向性产品可以把策略当作指数增强模块，年化增厚约 3-9pp，视品种和时段而定。绝对收益和低回撤产品不建议单独配置——风控降杠杆后夏普为负，策略没有独立于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的超额。多策略组合中可以占 10-20% 仓位充当权益 </w:t>
      </w:r>
      <w:r>
        <w:rPr>
          <w:b/>
          <w:color w:val="000000"/>
          <w:sz w:val="24"/>
          <w:rFonts w:eastAsia="宋体" w:ascii="Times New Roman" w:hAnsi="Times New Roman"/>
        </w:rPr>
        <w:t>beta</w:t>
      </w:r>
      <w:r>
        <w:rPr>
          <w:b w:val="0"/>
          <w:color w:val="000000"/>
          <w:sz w:val="24"/>
          <w:rFonts w:eastAsia="宋体" w:ascii="Times New Roman" w:hAnsi="Times New Roman"/>
        </w:rPr>
        <w:t xml:space="preserve"> 来源，但需要搭配与权益负相关或不相关的策略。</w:t>
      </w:r>
    </w:p>
    <w:p w14:paraId="50182AE3" w14:textId="77777777" w:rsidR="00E44A48" w:rsidRDefault="00000000">
      <w:pPr>
        <w:spacing w:before="0" w:after="0" w:lineRule="exact" w:line="400"/>
        <w:ind w:firstLine="420" w:left="0" w:right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优先后续方向</w:t>
      </w:r>
    </w:p>
    <w:p w14:paraId="4A323429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1. 分钟级行情回测跨期价差，检验 T+0 执行是否可捕捉日频下被滞后吃掉的价差回归</w:t>
      </w:r>
    </w:p>
    <w:p w14:paraId="0307DFBE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2. 多腿价差（蝶式套利）探索更稳定的均值回复结构</w:t>
      </w:r>
    </w:p>
    <w:p w14:paraId="601F1D24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3. 分红调整基差以更准确衡量展期补偿</w:t>
      </w:r>
    </w:p>
    <w:p w14:paraId="24ADD2DC" w14:textId="77777777" w:rsidR="00E44A48" w:rsidRDefault="00000000">
      <w:pPr>
        <w:pStyle w:val="a"/>
        <w:keepNext/>
        <w:spacing w:after="0" w:line="400" w:lineRule="exact" w:before="0"/>
        <w:ind w:left="425" w:right="0" w:firstLine="0"/>
        <w:jc w:val="both"/>
      </w:pPr>
      <w:r>
        <w:rPr>
          <w:b w:val="0"/>
          <w:color w:val="000000"/>
          <w:sz w:val="24"/>
          <w:rFonts w:eastAsia="宋体" w:ascii="Times New Roman" w:hAnsi="Times New Roman"/>
        </w:rPr>
        <w:t>4. 跨品种（IF/IH）的分散化分析——大盘 vs 中小盘风格差异可能提供更有意义的低相关性</w:t>
      </w:r>
    </w:p>
    <w:p w14:paraId="3B7F182A" w14:textId="77777777" w:rsidR="00E44A48" w:rsidRDefault="00000000">
      <w:pPr>
        <w:pStyle w:val="1"/>
        <w:keepNext/>
        <w:pBdr>
          <w:bottom w:val="single" w:sz="8" w:space="1" w:color="808080"/>
        </w:pBdr>
        <w:spacing w:before="200" w:after="100" w:lineRule="exact" w:line="400"/>
        <w:ind w:left="0" w:right="0" w:firstLine="0"/>
        <w:jc w:val="left"/>
      </w:pPr>
      <w:r>
        <w:rPr>
          <w:b/>
          <w:color w:val="000000"/>
          <w:sz w:val="29"/>
          <w:rFonts w:eastAsia="黑体" w:ascii="Times New Roman" w:hAnsi="Times New Roman"/>
        </w:rPr>
        <w:t>附录：图表清单</w:t>
      </w:r>
    </w:p>
    <w:p w14:paraId="15CEDFB9" w14:textId="77777777" w:rsidR="00E44A48" w:rsidRDefault="00000000">
      <w:pPr>
        <w:keepNext/>
        <w:spacing w:before="80" w:after="60"/>
        <w:ind w:firstLine="0" w:left="0" w:right="0"/>
        <w:jc w:val="center"/>
      </w:pPr>
      <w:r>
        <w:rPr>
          <w:b/>
          <w:color w:val="000000"/>
          <w:sz w:val="21"/>
          <w:rFonts w:eastAsia="宋体" w:ascii="Times New Roman" w:hAnsi="Times New Roman"/>
        </w:rPr>
        <w:t>表 15 图表清单：报告中全部 15 张图表的编号、文件名和内容说明。</w:t>
      </w:r>
    </w:p>
    <w:tbl>
      <w:tblPr>
        <w:tblStyle w:val="aff1"/>
        <w:tblW w:w="10546" w:type="dxa"/>
        <w:jc w:val="center"/>
        <w:tblLook w:val="04A0" w:firstRow="1" w:lastRow="0" w:firstColumn="1" w:lastColumn="0" w:noHBand="0" w:noVBand="1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3005"/>
        <w:gridCol w:w="3005"/>
        <w:gridCol w:w="3005"/>
      </w:tblGrid>
      <w:tr w:rsidR="00E44A48" w14:paraId="18C95107" w14:textId="77777777">
        <w:trPr>
          <w:jc w:val="center"/>
        </w:trPr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C69753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图号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4C314A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文件</w:t>
            </w:r>
          </w:p>
        </w:tc>
        <w:tc>
          <w:tcPr>
            <w:tcW w:w="351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AFD0C3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内容</w:t>
            </w:r>
          </w:p>
        </w:tc>
      </w:tr>
      <w:tr w:rsidR="00E44A48" w14:paraId="69155425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E3626D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E7E351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fig_roll_yield.png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AC7ABC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展期收益分布</w:t>
            </w:r>
          </w:p>
        </w:tc>
      </w:tr>
      <w:tr w:rsidR="00E44A48" w14:paraId="3764BD5D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249F66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2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A7E4A3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fig_nav.png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9F1415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策略净值曲线</w:t>
            </w:r>
          </w:p>
        </w:tc>
      </w:tr>
      <w:tr w:rsidR="00E44A48" w14:paraId="4D1B00C3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EC15DF2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3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B3DD97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fig_annual.png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ECD82A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年度收益拆分</w:t>
            </w:r>
          </w:p>
        </w:tc>
      </w:tr>
      <w:tr w:rsidR="00E44A48" w14:paraId="654785C1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FF9117B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4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12070F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fig_drawdown.png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49A0F3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回撤曲线</w:t>
            </w:r>
          </w:p>
        </w:tc>
      </w:tr>
      <w:tr w:rsidR="00E44A48" w14:paraId="5A2798E9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3E31AD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5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A89D99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fig_heatmap.png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56D38C4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参数敏感性热力图</w:t>
            </w:r>
          </w:p>
        </w:tc>
      </w:tr>
      <w:tr w:rsidR="00E44A48" w14:paraId="0CD57B80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C21F717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6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E10FC07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fig_oos_validation.png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CA18E1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样本外验证（训练/测试期）</w:t>
            </w:r>
          </w:p>
        </w:tc>
      </w:tr>
      <w:tr w:rsidR="00E44A48" w14:paraId="4D28ACB0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4EFA14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7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280C3C4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fig_regime_segmentation.png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78721F5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市场状态分段分析</w:t>
            </w:r>
          </w:p>
        </w:tc>
      </w:tr>
      <w:tr w:rsidR="00E44A48" w14:paraId="5846198E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2C75A764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8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8A37DC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fig_risk_control.png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731DC61C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风险控制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策略净值对比</w:t>
            </w:r>
          </w:p>
        </w:tc>
      </w:tr>
      <w:tr w:rsidR="00E44A48" w14:paraId="496ECE7E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44F4052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9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F633433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fig_spread.png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BD65B06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跨期价差与布林带</w:t>
            </w:r>
          </w:p>
        </w:tc>
      </w:tr>
      <w:tr w:rsidR="00E44A48" w14:paraId="55D07132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3AF4A565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10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5679E390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fig_spread_failure.png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D1BFD4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跨期套利失败原因拆解</w:t>
            </w:r>
          </w:p>
        </w:tc>
      </w:tr>
      <w:tr w:rsidR="00E44A48" w14:paraId="0499E5FD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893744A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11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BE10EA8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fig_correlation.png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53FBF95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IC-IM 日收益相关性</w:t>
            </w:r>
          </w:p>
        </w:tc>
      </w:tr>
      <w:tr w:rsidR="00E44A48" w14:paraId="743091CC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F18CACB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12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52883D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fig_bootstrap.png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4E56D4DA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Bootstrap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显著性检验</w:t>
            </w:r>
          </w:p>
        </w:tc>
      </w:tr>
      <w:tr w:rsidR="00E44A48" w14:paraId="767FA61B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065640D0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13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36012F39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fig_attribution.png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67D785E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收益归因分解（无截距）</w:t>
            </w:r>
          </w:p>
        </w:tc>
      </w:tr>
      <w:tr w:rsidR="00E44A48" w14:paraId="4CDB5196" w14:textId="77777777">
        <w:trPr>
          <w:jc w:val="center"/>
        </w:trPr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A145298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14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18B16391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fig_capm_attribution.png</w:t>
            </w:r>
          </w:p>
        </w:tc>
        <w:tc>
          <w:tcPr>
            <w:tcW w:w="3515" w:type="dxa"/>
            <w:shd w:val="clear" w:color="auto" w:fill="FFFFFF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</w:tcPr>
          <w:p w14:paraId="68457D0D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有截距 </w:t>
            </w:r>
            <w:r>
              <w:rPr>
                <w:b/>
                <w:color w:val="000000"/>
                <w:sz w:val="19"/>
                <w:rFonts w:eastAsia="宋体" w:ascii="Times New Roman" w:hAnsi="Times New Roman"/>
              </w:rPr>
              <w:t>CAPM</w:t>
            </w: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 xml:space="preserve"> 归因</w:t>
            </w:r>
          </w:p>
        </w:tc>
      </w:tr>
      <w:tr w:rsidR="00E44A48" w14:paraId="3AD29D44" w14:textId="77777777">
        <w:trPr>
          <w:jc w:val="center"/>
        </w:trPr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14D5B69F" w14:textId="77777777" w:rsidR="00E44A48" w:rsidRDefault="00000000">
            <w:pPr>
              <w:spacing w:before="0" w:after="0"/>
              <w:ind w:firstLine="0" w:left="0" w:right="0"/>
              <w:jc w:val="left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图 15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65CB9E0B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fig_cost_stress.png</w:t>
            </w:r>
          </w:p>
        </w:tc>
        <w:tc>
          <w:tcPr>
            <w:tcW w:w="3515" w:type="dxa"/>
            <w:tcMar>
              <w:top w:w="70" w:type="dxa"/>
              <w:left w:w="60" w:type="dxa"/>
              <w:bottom w:w="70" w:type="dxa"/>
              <w:right w:w="60" w:type="dxa"/>
              <w:start w:w="80" w:type="dxa"/>
              <w:end w:w="80" w:type="dxa"/>
            </w:tcMar>
            <w:vAlign w:val="center"/>
            <w:shd w:fill="FFFFFF" w:val="clear"/>
          </w:tcPr>
          <w:p w14:paraId="4F7AF33F" w14:textId="77777777" w:rsidR="00E44A48" w:rsidRDefault="00000000">
            <w:pPr>
              <w:spacing w:before="0" w:after="0"/>
              <w:ind w:firstLine="0" w:left="0" w:right="0"/>
              <w:jc w:val="center"/>
            </w:pPr>
            <w:r>
              <w:rPr>
                <w:b w:val="0"/>
                <w:color w:val="000000"/>
                <w:sz w:val="19"/>
                <w:rFonts w:eastAsia="宋体" w:ascii="Times New Roman" w:hAnsi="Times New Roman"/>
              </w:rPr>
              <w:t>成本压力测试</w:t>
            </w:r>
          </w:p>
        </w:tc>
      </w:tr>
    </w:tbl>
    <w:p w14:paraId="3CE80A54" w14:textId="77777777" w:rsidR="00E44A48" w:rsidRDefault="00E44A48">
      <w:pPr>
        <w:spacing w:after="0" w:before="0"/>
        <w:ind w:firstLine="0"/>
      </w:pPr>
    </w:p>
    <w:p w14:paraId="2CE0FD14" w14:textId="77777777" w:rsidR="00E44A48" w:rsidRDefault="00000000">
      <w:pPr>
        <w:spacing w:after="80" w:before="0"/>
        <w:ind w:firstLine="0" w:left="0" w:right="0"/>
        <w:jc w:val="both"/>
      </w:pPr>
      <w:r>
        <w:rPr>
          <w:b w:val="0"/>
          <w:color w:val="000000"/>
          <w:sz w:val="20"/>
          <w:rFonts w:eastAsia="宋体" w:ascii="Times New Roman" w:hAnsi="Times New Roman"/>
        </w:rPr>
        <w:t>资料来源：IC/IM 期货与指数数据，本报告计算</w:t>
      </w:r>
    </w:p>
    <w:sectPr w:rsidR="00E44A48" w:rsidSect="00034616">
      <w:pgSz w:w="11906" w:h="16838"/>
      <w:pgMar w:top="709" w:right="680" w:bottom="680" w:left="680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C76558" w14:textId="77777777" w:rsidR="003F4253" w:rsidRDefault="003F4253">
      <w:pPr>
        <w:spacing w:after="0" w:line="240" w:lineRule="auto"/>
      </w:pPr>
      <w:r>
        <w:separator/>
      </w:r>
    </w:p>
  </w:endnote>
  <w:endnote w:type="continuationSeparator" w:id="0">
    <w:p w14:paraId="732881A4" w14:textId="77777777" w:rsidR="003F4253" w:rsidRDefault="003F4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EBCA9" w14:textId="77777777" w:rsidR="00E44A48" w:rsidRDefault="00000000">
    <w:pPr>
      <w:pStyle w:val="a7"/>
      <w:jc w:val="center"/>
    </w:pPr>
    <w:r>
      <w:rPr>
        <w:color w:val="555555"/>
        <w:sz w:val="19"/>
      </w:rPr>
      <w:t>第</w:t>
    </w:r>
    <w:r>
      <w:rPr>
        <w:color w:val="555555"/>
        <w:sz w:val="19"/>
      </w:rPr>
      <w:t xml:space="preserve"> </w:t>
    </w:r>
    <w:r>
      <w:rPr>
        <w:color w:val="555555"/>
        <w:sz w:val="19"/>
      </w:rPr>
      <w:fldChar w:fldCharType="begin"/>
    </w:r>
    <w:r>
      <w:rPr>
        <w:color w:val="555555"/>
        <w:sz w:val="19"/>
      </w:rPr>
      <w:instrText xml:space="preserve"> PAGE </w:instrText>
    </w:r>
    <w:r w:rsidR="001D3C76">
      <w:rPr>
        <w:color w:val="555555"/>
        <w:sz w:val="19"/>
      </w:rPr>
      <w:fldChar w:fldCharType="separate"/>
    </w:r>
    <w:r w:rsidR="001D3C76">
      <w:rPr>
        <w:noProof/>
        <w:color w:val="555555"/>
        <w:sz w:val="19"/>
      </w:rPr>
      <w:t>1</w:t>
    </w:r>
    <w:r>
      <w:rPr>
        <w:color w:val="555555"/>
        <w:sz w:val="19"/>
      </w:rPr>
      <w:fldChar w:fldCharType="end"/>
    </w:r>
    <w:r>
      <w:rPr>
        <w:color w:val="555555"/>
        <w:sz w:val="19"/>
      </w:rPr>
      <w:t xml:space="preserve"> </w:t>
    </w:r>
    <w:r>
      <w:rPr>
        <w:color w:val="555555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9FE54E" w14:textId="77777777" w:rsidR="003F4253" w:rsidRDefault="003F4253">
      <w:pPr>
        <w:spacing w:after="0" w:line="240" w:lineRule="auto"/>
      </w:pPr>
      <w:r>
        <w:separator/>
      </w:r>
    </w:p>
  </w:footnote>
  <w:footnote w:type="continuationSeparator" w:id="0">
    <w:p w14:paraId="3C16018D" w14:textId="77777777" w:rsidR="003F4253" w:rsidRDefault="003F4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51B00" w14:textId="77777777" w:rsidR="00E44A48" w:rsidRDefault="00000000">
    <w:pPr>
      <w:pStyle w:val="a5"/>
      <w:jc w:val="right"/>
    </w:pPr>
    <w:r>
      <w:rPr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25854">
    <w:abstractNumId w:val="8"/>
  </w:num>
  <w:num w:numId="2" w16cid:durableId="1301303967">
    <w:abstractNumId w:val="6"/>
  </w:num>
  <w:num w:numId="3" w16cid:durableId="561212900">
    <w:abstractNumId w:val="5"/>
  </w:num>
  <w:num w:numId="4" w16cid:durableId="680932376">
    <w:abstractNumId w:val="4"/>
  </w:num>
  <w:num w:numId="5" w16cid:durableId="1823348941">
    <w:abstractNumId w:val="7"/>
  </w:num>
  <w:num w:numId="6" w16cid:durableId="1092774005">
    <w:abstractNumId w:val="3"/>
  </w:num>
  <w:num w:numId="7" w16cid:durableId="994381755">
    <w:abstractNumId w:val="2"/>
  </w:num>
  <w:num w:numId="8" w16cid:durableId="629750090">
    <w:abstractNumId w:val="1"/>
  </w:num>
  <w:num w:numId="9" w16cid:durableId="431586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C76"/>
    <w:rsid w:val="0029639D"/>
    <w:rsid w:val="00326F90"/>
    <w:rsid w:val="003F4253"/>
    <w:rsid w:val="00AA1D8D"/>
    <w:rsid w:val="00B47730"/>
    <w:rsid w:val="00C535BA"/>
    <w:rsid w:val="00CB0664"/>
    <w:rsid w:val="00E44A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4FC43D"/>
  <w14:defaultImageDpi w14:val="300"/>
  <w15:docId w15:val="{E475B5F3-6364-40F6-979A-D8F14C1E9BB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2202</Words>
  <Characters>12558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2</cp:revision>
  <dcterms:created xsi:type="dcterms:W3CDTF">2013-12-23T23:15:00Z</dcterms:created>
  <dcterms:modified xsi:type="dcterms:W3CDTF">2026-06-02T07:37:00Z</dcterms:modified>
  <cp:category/>
</cp:coreProperties>
</file>