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Times New Roman" w:hAnsi="Times New Roman" w:eastAsia="黑体"/>
          <w:b/>
          <w:i w:val="0"/>
          <w:color w:val="000000"/>
          <w:sz w:val="48"/>
        </w:rPr>
        <w:t>股指期货套利策略研究报告</w:t>
      </w:r>
    </w:p>
    <w:p>
      <w:pPr>
        <w:spacing w:after="240"/>
        <w:jc w:val="center"/>
      </w:pPr>
      <w:r>
        <w:rPr>
          <w:rFonts w:ascii="Times New Roman" w:hAnsi="Times New Roman" w:eastAsia="黑体"/>
          <w:b w:val="0"/>
          <w:i w:val="0"/>
          <w:color w:val="555555"/>
          <w:sz w:val="30"/>
        </w:rPr>
        <w:t>吃贴水与跨期套利的策略评估与风险拆解</w:t>
      </w:r>
    </w:p>
    <w:p>
      <w:pPr>
        <w:spacing w:before="80" w:after="200"/>
        <w:pBdr>
          <w:bottom w:val="single" w:sz="10" w:space="1" w:color="000000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4507"/>
            <w:shd w:fill="EEEEEE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2"/>
              </w:rPr>
              <w:t>研究标的</w:t>
            </w:r>
          </w:p>
        </w:tc>
        <w:tc>
          <w:tcPr>
            <w:tcW w:type="dxa" w:w="4507"/>
            <w:shd w:fill="FAFAFA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2"/>
              </w:rPr>
              <w:t>IC（中证500股指期货）与 IM（中证1000股指期货）</w:t>
            </w:r>
          </w:p>
        </w:tc>
      </w:tr>
      <w:tr>
        <w:tc>
          <w:tcPr>
            <w:tcW w:type="dxa" w:w="4507"/>
            <w:shd w:fill="EEEEEE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2"/>
              </w:rPr>
              <w:t>数据区间</w:t>
            </w:r>
          </w:p>
        </w:tc>
        <w:tc>
          <w:tcPr>
            <w:tcW w:type="dxa" w:w="4507"/>
            <w:shd w:fill="FAFAFA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2"/>
              </w:rPr>
              <w:t>IC：2015-04-16 至 2026-03-02；IM：2022-07-22 至 2026-03-02</w:t>
            </w:r>
          </w:p>
        </w:tc>
      </w:tr>
      <w:tr>
        <w:tc>
          <w:tcPr>
            <w:tcW w:type="dxa" w:w="4507"/>
            <w:shd w:fill="EEEEEE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2"/>
              </w:rPr>
              <w:t>策略口径</w:t>
            </w:r>
          </w:p>
        </w:tc>
        <w:tc>
          <w:tcPr>
            <w:tcW w:type="dxa" w:w="4507"/>
            <w:shd w:fill="FAFAFA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2"/>
              </w:rPr>
              <w:t>吃贴水多头 + 基差阈值择时 + 跨期价差套利</w:t>
            </w:r>
          </w:p>
        </w:tc>
      </w:tr>
      <w:tr>
        <w:tc>
          <w:tcPr>
            <w:tcW w:type="dxa" w:w="4507"/>
            <w:shd w:fill="EEEEEE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2"/>
              </w:rPr>
              <w:t>评估维度</w:t>
            </w:r>
          </w:p>
        </w:tc>
        <w:tc>
          <w:tcPr>
            <w:tcW w:type="dxa" w:w="4507"/>
            <w:shd w:fill="FAFAFA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2"/>
              </w:rPr>
              <w:t>收益、风险、统计显著性、交易可执行性、可复现性</w:t>
            </w:r>
          </w:p>
        </w:tc>
      </w:tr>
    </w:tbl>
    <w:p/>
    <w:p/>
    <w:p/>
    <w:p/>
    <w:p/>
    <w:p/>
    <w:p/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24"/>
        </w:rPr>
        <w:t>金融工程策略研究</w:t>
      </w:r>
    </w:p>
    <w:p>
      <w:r>
        <w:br w:type="page"/>
      </w:r>
    </w:p>
    <w:p>
      <w:pPr>
        <w:spacing w:after="240"/>
        <w:jc w:val="center"/>
      </w:pPr>
      <w:r>
        <w:rPr>
          <w:rFonts w:ascii="Times New Roman" w:hAnsi="Times New Roman" w:eastAsia="黑体"/>
          <w:b/>
          <w:i w:val="0"/>
          <w:color w:val="222222"/>
          <w:sz w:val="36"/>
        </w:rPr>
        <w:t>目录</w:t>
      </w:r>
    </w:p>
    <w:p>
      <w:pPr>
        <w:spacing w:before="80" w:after="80"/>
      </w:pPr>
      <w:r>
        <w:rPr>
          <w:rFonts w:ascii="Times New Roman" w:hAnsi="Times New Roman" w:eastAsia="宋体"/>
          <w:b w:val="0"/>
          <w:i w:val="0"/>
          <w:color w:val="222222"/>
          <w:sz w:val="21"/>
        </w:rPr>
        <w:fldChar w:fldCharType="begin"/>
        <w:instrText xml:space="preserve"> TOC \o "1-2" \h \z \u </w:instrText>
        <w:fldChar w:fldCharType="separate"/>
        <w:t>打开文档后目录将自动更新</w:t>
        <w:fldChar w:fldCharType="end"/>
      </w:r>
    </w:p>
    <w:p>
      <w:r>
        <w:br w:type="page"/>
      </w:r>
    </w:p>
    <w:p>
      <w:pPr>
        <w:spacing w:before="200" w:after="320"/>
        <w:jc w:val="center"/>
      </w:pPr>
      <w:r>
        <w:rPr>
          <w:rFonts w:ascii="Times New Roman" w:hAnsi="Times New Roman" w:eastAsia="黑体"/>
          <w:b/>
          <w:i w:val="0"/>
          <w:color w:val="222222"/>
          <w:sz w:val="40"/>
        </w:rPr>
        <w:t>股指期货吃贴水与跨期套利策略研究</w:t>
      </w:r>
    </w:p>
    <w:p>
      <w:pPr>
        <w:pStyle w:val="Heading1"/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摘要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本报告研究 IC（中证500股指期货）和 IM（中证1000股指期货）的吃贴水与跨期套利策略。结论可以先概括为一句话：</w:t>
      </w:r>
      <w:r>
        <w:rPr>
          <w:rFonts w:ascii="Times New Roman" w:hAnsi="Times New Roman" w:eastAsia="宋体"/>
          <w:b/>
          <w:i w:val="0"/>
          <w:color w:val="222222"/>
          <w:sz w:val="24"/>
        </w:rPr>
        <w:t>贴水确实提供了历史补偿，但它不是低风险套利；跨期价差存在交易线索，却还不足以单独支撑主策略。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吃贴水策略有经济收益。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IC Always 年化收益 9.62%（指数 0.83%），IM Always 年化收益 15.88%（指数 5.31%）。这部分超额主要来自期货长期贴水下的基差收敛和展期补偿。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收益背后承担了较高方向风险。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IC Always 最大回撤 -61.38%，IM Always -50.81%。策略更接近“用股指期货替代指数多头并获取贴水补偿”，不是市场中性套利。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统计证据偏弱。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Block Bootstrap 检验下，IC Sharpe 差异 95% CI 为 [-0.1669, 0.8246]，p = 0.1980；IM 为 [-0.4077, 1.0583]，p = 0.4100。两个置信区间均覆盖 0，不能拒绝“Sharpe 差异为 0”的原假设。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跨期套利有边际改善，但收益厚度有限。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采用期限结构斜率后，固定规则下 IC 年化 0.14%、Sharpe(0RF) 0.03，IM 年化 2.30%、Sharpe(0RF) 0.64；若扣除 3% 资金门槛，两者 Sharpe 均为负。该模块可以作为补充研究，不适合作为主收益来源。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品种组合分散作用有限。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IC 与 IM 日收益相关性约 0.95，同属中小盘权益 beta，简单组合难以明显降低波动。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风险控制能降回撤，但会消耗收益。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波动率目标和回撤控制版本的 Sharpe 均为负，说明贴水补偿不够厚，难以同时满足低回撤和高收益。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可复现性较好。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研究从原始 Excel 数据开始，数据清洗、回测、统计检验、归因和图表输出均在 Notebook 中完成，关键随机过程固定种子。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 研究口径与核心设定：概括报告的研究标的、数据区间、交易假设和评价重点。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450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项目</w:t>
            </w:r>
          </w:p>
        </w:tc>
        <w:tc>
          <w:tcPr>
            <w:tcW w:type="dxa" w:w="450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口径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研究标的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AFAFA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IC 与 IM 主力合约，交易标的使用真实合约代码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数据区间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AFAFA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IC：2015-04-16 至 2026-03-02；IM：2022-07-22 至 2026-03-02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信号与执行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AFAFA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T 日收盘后产生信号，T+1 日收盘价成交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成本假设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AFAFA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手续费 0.23‱，滑点 0.2 指数点，合约乘数 200 元/点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初始资金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AFAFA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1,000,000 元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pStyle w:val="Heading1"/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1. 数据与回测设定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1.1 数据来源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原始数据为 4 个 Excel 文件：</w:t>
      </w:r>
      <w:r>
        <w:rPr>
          <w:rFonts w:ascii="Consolas" w:hAnsi="Consolas" w:eastAsia="宋体"/>
          <w:b w:val="0"/>
          <w:i w:val="0"/>
          <w:color w:val="555555"/>
          <w:sz w:val="23"/>
        </w:rPr>
        <w:t>ic_data.xlsx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、</w:t>
      </w:r>
      <w:r>
        <w:rPr>
          <w:rFonts w:ascii="Consolas" w:hAnsi="Consolas" w:eastAsia="宋体"/>
          <w:b w:val="0"/>
          <w:i w:val="0"/>
          <w:color w:val="555555"/>
          <w:sz w:val="23"/>
        </w:rPr>
        <w:t>im_data.xlsx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（期货）、</w:t>
      </w:r>
      <w:r>
        <w:rPr>
          <w:rFonts w:ascii="Consolas" w:hAnsi="Consolas" w:eastAsia="宋体"/>
          <w:b w:val="0"/>
          <w:i w:val="0"/>
          <w:color w:val="555555"/>
          <w:sz w:val="23"/>
        </w:rPr>
        <w:t>000905.xlsx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、</w:t>
      </w:r>
      <w:r>
        <w:rPr>
          <w:rFonts w:ascii="Consolas" w:hAnsi="Consolas" w:eastAsia="宋体"/>
          <w:b w:val="0"/>
          <w:i w:val="0"/>
          <w:color w:val="555555"/>
          <w:sz w:val="23"/>
        </w:rPr>
        <w:t>000852.xlsx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（指数）。期货数据含合约代码、OHLC、成交量、持仓量、主力标志及基差字段；指数数据为对应现货收盘价。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数据清洗涉及以下处理：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期货 Excel 中文列名含不间断空格（</w:t>
      </w:r>
      <w:r>
        <w:rPr>
          <w:rFonts w:ascii="Consolas" w:hAnsi="Consolas" w:eastAsia="宋体"/>
          <w:b w:val="0"/>
          <w:i w:val="0"/>
          <w:color w:val="555555"/>
          <w:sz w:val="23"/>
        </w:rPr>
        <w:t>\xa0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），需 </w:t>
      </w:r>
      <w:r>
        <w:rPr>
          <w:rFonts w:ascii="Consolas" w:hAnsi="Consolas" w:eastAsia="宋体"/>
          <w:b w:val="0"/>
          <w:i w:val="0"/>
          <w:color w:val="555555"/>
          <w:sz w:val="23"/>
        </w:rPr>
        <w:t>replace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+ </w:t>
      </w:r>
      <w:r>
        <w:rPr>
          <w:rFonts w:ascii="Consolas" w:hAnsi="Consolas" w:eastAsia="宋体"/>
          <w:b w:val="0"/>
          <w:i w:val="0"/>
          <w:color w:val="555555"/>
          <w:sz w:val="23"/>
        </w:rPr>
        <w:t>strip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后映射。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回测仅使用 </w:t>
      </w:r>
      <w:r>
        <w:rPr>
          <w:rFonts w:ascii="Consolas" w:hAnsi="Consolas" w:eastAsia="宋体"/>
          <w:b w:val="0"/>
          <w:i w:val="0"/>
          <w:color w:val="555555"/>
          <w:sz w:val="23"/>
        </w:rPr>
        <w:t>IC2306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等真实合约代码，连续合约序列（含 "0Y" 的 contract）仅用于展示。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主力合约按数据自带的 </w:t>
      </w:r>
      <w:r>
        <w:rPr>
          <w:rFonts w:ascii="Consolas" w:hAnsi="Consolas" w:eastAsia="宋体"/>
          <w:b w:val="0"/>
          <w:i w:val="0"/>
          <w:color w:val="555555"/>
          <w:sz w:val="23"/>
        </w:rPr>
        <w:t>main_force == 1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筛选，不手工拼接。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2 数据质量检查：对比 IC 与 IM 的原始样本量、主力合约样本量、指数匹配率和合约切换统计。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检查项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IC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IM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全量期货样本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10,568 行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3,488 行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主力合约样本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2,642 行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872 行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日期范围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2015-04-16 ~ 2026-03-02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2022-07-22 ~ 2026-03-02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合约切换次数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131 次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44 次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指数匹配率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100.0%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100.0%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距到期日范围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 ~ 50 天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 ~ 50 天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合约切换跳空范围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-13.96% ~ 4.25%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-4.91% ~ 4.28%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IC 样本覆盖 2015 年以来多个市场阶段（股灾、熔断、熊市、COVID）；IM 自 2022 年起始，样本较短，结论稳定性弱于 IC。后文对 IM 的判断均在此前提下理解。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数据均来源于 data/ 目录下 4 个 Excel 文件。指标计算与策略回测在 Notebook 中完成；报告中的核心数字以 </w:t>
      </w:r>
      <w:r>
        <w:rPr>
          <w:rFonts w:ascii="Consolas" w:hAnsi="Consolas" w:eastAsia="宋体"/>
          <w:b w:val="0"/>
          <w:i w:val="0"/>
          <w:color w:val="555555"/>
          <w:sz w:val="23"/>
        </w:rPr>
        <w:t>output/tables/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和 </w:t>
      </w:r>
      <w:r>
        <w:rPr>
          <w:rFonts w:ascii="Consolas" w:hAnsi="Consolas" w:eastAsia="宋体"/>
          <w:b w:val="0"/>
          <w:i w:val="0"/>
          <w:color w:val="555555"/>
          <w:sz w:val="23"/>
        </w:rPr>
        <w:t>output/validation_summary.csv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为核对口径。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1.2 回测协议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3 回测假设与交易口径：统一所有策略的信号时点、成交时点、合约选择、展期规则和成本设定。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450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项目</w:t>
            </w:r>
          </w:p>
        </w:tc>
        <w:tc>
          <w:tcPr>
            <w:tcW w:type="dxa" w:w="450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设定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信号时点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T 日收盘后，基于当日可见数据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成交时点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T+1 日收盘价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合约选择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真实期货合约，不使用连续合约作为交易标的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展期规则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到期前固定窗口换至下一主力/次近月合约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成本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手续费 + 滑点逐笔扣除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逐日盯市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按实际持有合约的收盘价计算每日盈亏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逐日盯市基于实际持有合约（held-contract MTM），而非主力连续序列。若直接使用连续序列计算收益，合约切换日的跳空会被重复计入，导致收益虚高。交易流水中所有换仓记录的旧合约均不同于新合约，同合约重复换仓次数为 0。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1.3 可复现性保证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本研究可以完整复现，依赖以下要素：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数据源：4 个 Excel 文件存放于 data/ 目录，格式未作任何修改，对照原始文件可重建全部分析。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Notebook：</w:t>
      </w:r>
      <w:r>
        <w:rPr>
          <w:rFonts w:ascii="Consolas" w:hAnsi="Consolas" w:eastAsia="宋体"/>
          <w:b w:val="0"/>
          <w:i w:val="0"/>
          <w:color w:val="555555"/>
          <w:sz w:val="23"/>
        </w:rPr>
        <w:t>notebooks/股指期货套利策略研究.ipynb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从 Excel 读取开始，无预处理步骤。</w:t>
      </w:r>
      <w:r>
        <w:rPr>
          <w:rFonts w:ascii="Consolas" w:hAnsi="Consolas" w:eastAsia="宋体"/>
          <w:b w:val="0"/>
          <w:i w:val="0"/>
          <w:color w:val="555555"/>
          <w:sz w:val="23"/>
        </w:rPr>
        <w:t>jupyter nbconvert --execute --inplace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从头执行通过，所有数字均为运行输出，非手工填入。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随机种子：Bootstrap 和随机基准分析固定种子，同输入下结果逐位一致。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参数公开：回测设定（T+1、持仓合约 MTM）、全部策略参数（基差阈值、展期窗口、布林带 K 和 lookback）、成本假设（手续费 0.23‱、滑点 0.2 点、保证金率 12%）均在正文列出，无隐藏自由度。</w:t>
      </w:r>
    </w:p>
    <w:p>
      <w:pPr>
        <w:sectPr>
          <w:headerReference w:type="default" r:id="rId9"/>
          <w:footerReference w:type="default" r:id="rId10"/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pStyle w:val="Heading1"/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2. 基差因子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2.1 定义与经济含义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本文定义基差为期货收盘价减去指数收盘价。基差为负表示期货贴水。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贴水市场中，期货价格临近到期向现货指数收敛。多头持有贴水合约，在承担指数方向风险的同时，获取基差收敛收益及展期补偿。基差会均值回复，但不等于基差能预测指数方向——指数下跌时，基差收敛的幅度通常无法覆盖方向亏损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2.2 均值回复与预测能力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4 基差率统计特征与预测能力：ADF 均值回复检验、半衰期、基差对期货和指数前瞻收益的预测 IC。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指标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IC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IM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ADF 统计量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-5.04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-6.37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ADF p 值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0.0000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0.0000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半衰期（天）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1.1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0.9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基差→期货收益 IC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0.0725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0.0111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p 值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0.0002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0.7436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基差→指数收益 IC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-0.7985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-0.9206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p 值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0.0000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0.0000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基差率序列均值回复特征强（ADF p ≈ 0，半衰期约 1 天）。但基差对指数前瞻收益无正向预测力——相关关系为负（IC = -0.80）而非正——说明基差反映的是期货-现货价格关系的短期回归，不是对指数方向的判断。贴水结构给期货多头提供的是相对现货的补偿，而非择时信号。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2.3 展期收益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5 展期收益分布统计：IC 与 IM 各展期段的累计收益分布，包含均值、中位数和正收益占比。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指标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IC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IM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展期段数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131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44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平均每段展期收益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0.19%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0.86%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中位数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0.30%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0.52%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正收益占比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51.9%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54.5%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9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oll_yiel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9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8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 展期收益分布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1：每段主力持有周期的累计收益分布。IC 和 IM 均值均为正，展期机制在样本期内确实提供了补偿。但正收益占比均在 50%-55% 区间，单次换仓不确定性大。贴水提供长期正期望，但单次展期损益波动显著。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pStyle w:val="Heading1"/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3. 吃贴水策略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3.1 策略设计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测试两类规则：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Always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：始终做多主力合约，到期前展期。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B &lt; −1.5%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：基差率低于 −1.5% 时做多，否则空仓。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Always 近似于期货版指数多头，承担全部市场方向风险。基差阈值策略仅在贴水较深时参与，以放弃部分上涨为代价，换取更低的波动和回撤。展期窗口设定为 1 天，参数扫描中另测试 3 天、5 天。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3.2 策略绩效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6 吃贴水策略主要绩效：比较 Always、B&lt;-1.5% 和指数基准在 IC 与 IM 上的收益、风险与交易统计。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01"/>
        <w:gridCol w:w="901"/>
        <w:gridCol w:w="901"/>
        <w:gridCol w:w="901"/>
        <w:gridCol w:w="901"/>
        <w:gridCol w:w="901"/>
        <w:gridCol w:w="901"/>
        <w:gridCol w:w="901"/>
        <w:gridCol w:w="901"/>
        <w:gridCol w:w="901"/>
      </w:tblGrid>
      <w:tr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策略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年化收益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年化波动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Sharpe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最大回撤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Calmar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胜率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累计收益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VaR95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交易笔数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 Always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9.62%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30.05%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0.22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-61.38%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0.16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52.6%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172.49%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-1.78%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132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 B&lt;-1.5%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7.04%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17.81%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0.23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-34.85%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0.20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33.2%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110.21%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-1.67%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846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 指数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0.83%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24.83%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-0.09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-65.20%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0.01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52.6%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9.43%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-2.34%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 Always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15.88%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32.71%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0.39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-50.81%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0.31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53.0%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70.08%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-2.90%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45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 B&lt;-1.5%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10.83%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12.74%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0.61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-12.82%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0.84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31.3%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44.84%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-1.49%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282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 指数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5.31%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23.74%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0.10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-41.60%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0.13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53.4%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20.50%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-2.29%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89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nav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8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8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2 策略净值曲线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2：Always 策略在 IC 和 IM 上均显著跑赢指数。IC Always 累计收益 172.49%（同期指数 9.43%），IM Always 70.08%（指数 20.50%）。贴水结构的长期补偿效应明确。但净值曲线波动幅度大，策略并非平滑套利。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72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nnu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7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8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3 年度收益拆分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3：年度收益波动显著。IC 策略经历亏损年份和反弹年份交替，基差阈值策略在部分下跌年份降低了亏损，但也错失部分反弹。IM 首个完整年份（2022）即亏损，样本期内无完整牛熊周期。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99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rawdow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9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8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4 回撤曲线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4：IC Always 最大回撤 -61.38%，IM Always -50.81%。此幅度超出多数绝对收益资金的风控承受范围。策略更适合定位为指增或方向性配置工具。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46475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eat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647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8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5 参数敏感性热力图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5：展期窗口 1→3→5 天对 Sharpe 和 MaxDD 影响有限，基差阈值影响更明显。IM B&lt;-1.5% 在样本内表现优于 Always（Sharpe 0.61 vs 0.39，MaxDD -12.82% vs -50.81%），但 IM 样本仅 3.5 年，此处不宜作为稳定最优参数推论。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3.3 全策略换仓验证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覆盖 5 个基差阈值 × 3 个展期窗口 × 2 个品种，全部换仓记录中同合约展期次数为 0。策略按不同合约完成展期，未将连续合约价格跳变误计为交易收益。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3.4 样本外验证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IC 按时间划分训练期（2015-2020）和测试期（2021-2026）。IM 仅 872 个交易日，样本过短无法形成稳定滚动窗口，不做样本外拆分。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7 样本外验证结果：IC 按时间划分的训练期与测试期绩效对比。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数据集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年化收益%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年化波动%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Sharpe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最大回撤%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胜率%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 训练集 (2015-2020)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-6.03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62.84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-0.14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-85.77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51.9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 测试集 (2021-2026)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7.24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29.02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0.15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-54.12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50.6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0857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os_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85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8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6 样本外验证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6：测试期表现好于训练期，但不应解读为策略已通过样本外检验。训练期含 2015 年股灾、2016 年熔断和 2018 年熊市，极端行情对收益和回撤拖累严重。测试期虽录得正收益，最大回撤仍达 -54.12%。合理推论是贴水补偿在近年延续，但策略对市场阶段高度敏感，单段测试期不足以确认长期稳健性。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3.5 市场状态分段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按三个维度将交易日划分为六种状态：市场方向（涨/跌）、贴水深度（高贴水/低贴水或升水）、波动率（高/低）。分别计算 Always 策略在各状态下的绩效。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8 市场状态分段绩效：按市场方向、贴水深度和波动率水平三个维度分段的 Always 策略绩效。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品种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状态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天数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年化收益%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年化波动%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Sharpe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上涨期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1,264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47.6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16.0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2.79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下跌期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1,319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-13.1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34.2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-0.47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高贴水期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1,320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8.8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36.7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0.16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低贴水/升水期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1,321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18.6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21.4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0.73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高波动期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1,291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31.4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36.5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0.78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低波动期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1,292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1.8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10.9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-0.11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上涨期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410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84.7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29.4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2.78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下跌期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403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-39.0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35.3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-1.19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高贴水期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435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22.7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36.6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0.54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低贴水/升水期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436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17.5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28.3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0.51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高波动期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406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36.3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41.6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0.80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低波动期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407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10.5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20.4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0.37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84850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gime_segment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48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8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7 市场状态分段分析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7：策略的首要驱动力是权益方向暴露。IC 涨/跌期收益差 60.7pp（47.6% − (−13.1%)），IM 差 123.7pp。贴水深度有一定区分度但并非独立信号——IC 高贴水期年化仅 8.80%，低于低贴水/升水期的 18.60%，因为在恐慌性下跌中贴水最深，而彼时方向损失远超基差补偿。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高波动状态下策略收益更高（IC 31.4% vs 1.8%），并非因为波动率本身有溢价，而是高波动期的上涨行情贡献了大部分收益。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3.6 风险控制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测试两种简单风控：（1）波动率目标，动态调仓使年化波动锚定 15%；（2）回撤控制，回撤超 20% 后逐步降仓。目的为检验策略在风控约束下是否仍具正期望。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9 风险控制版本绩效对比：比较原始策略、波动率目标和回撤控制版本的收益与回撤。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03"/>
        <w:gridCol w:w="1803"/>
        <w:gridCol w:w="1803"/>
        <w:gridCol w:w="1803"/>
        <w:gridCol w:w="1803"/>
      </w:tblGrid>
      <w:tr>
        <w:tc>
          <w:tcPr>
            <w:tcW w:type="dxa" w:w="1803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品种</w:t>
            </w:r>
          </w:p>
        </w:tc>
        <w:tc>
          <w:tcPr>
            <w:tcW w:type="dxa" w:w="1803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版本</w:t>
            </w:r>
          </w:p>
        </w:tc>
        <w:tc>
          <w:tcPr>
            <w:tcW w:type="dxa" w:w="1803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年化收益%</w:t>
            </w:r>
          </w:p>
        </w:tc>
        <w:tc>
          <w:tcPr>
            <w:tcW w:type="dxa" w:w="1803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Sharpe</w:t>
            </w:r>
          </w:p>
        </w:tc>
        <w:tc>
          <w:tcPr>
            <w:tcW w:type="dxa" w:w="1803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最大回撤%</w:t>
            </w:r>
          </w:p>
        </w:tc>
      </w:tr>
      <w:tr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原始 Always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9.62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0.22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-61.38</w:t>
            </w:r>
          </w:p>
        </w:tc>
      </w:tr>
      <w:tr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波动率目标 15%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-0.09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-0.20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-49.88</w:t>
            </w:r>
          </w:p>
        </w:tc>
      </w:tr>
      <w:tr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回撤控制 20%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0.92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-0.33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-23.63</w:t>
            </w:r>
          </w:p>
        </w:tc>
      </w:tr>
      <w:tr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原始 Always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15.88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0.39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-50.81</w:t>
            </w:r>
          </w:p>
        </w:tc>
      </w:tr>
      <w:tr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波动率目标 15%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1.36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-0.11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-38.66</w:t>
            </w:r>
          </w:p>
        </w:tc>
      </w:tr>
      <w:tr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回撤控制 20%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-4.83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-1.03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-20.20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465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isk_contro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4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8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8 风险控制策略净值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8：风控确实降低了回撤（IC -61.38% → -23.63%，IM -50.81% → -20.20%），但所有风控版本夏普均为负。策略的贴水补偿有限，降杠杆和调仓摩擦即足以将其耗尽。若需在实盘中控制风险，更有效的方式是在组合层面管理权益敞口，而非依赖策略内部风控提升 Sharpe。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pStyle w:val="Heading1"/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4. 跨期套利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4.1 策略设计：期限结构斜率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跨期套利部分关注的是近月与次近月合约之间的期限结构偏离。直接使用“近月 - 次近月”点位价差做布林带回归并不稳妥：一是合约必须按真实到期日排序，不能只按合约代码字符串排序；二是两个合约之间的到期日间隔会变化，原始点位价差不具备稳定可比性。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修正后的做法是先按真实到期日选取近月和次近月合约，再把价差标准化为年化期限结构斜率：</w:t>
      </w:r>
    </w:p>
    <w:p>
      <w:pPr>
        <w:spacing w:lineRule="exact" w:line="400" w:after="120"/>
        <w:ind w:firstLine="420"/>
        <w:jc w:val="both"/>
      </w:pPr>
      <w:r>
        <w:rPr>
          <w:rFonts w:ascii="Consolas" w:hAnsi="Consolas" w:eastAsia="宋体"/>
          <w:b w:val="0"/>
          <w:i w:val="0"/>
          <w:color w:val="555555"/>
          <w:sz w:val="23"/>
        </w:rPr>
        <w:t>期限结构斜率 = (近月价格 - 次近月价格) / 指数价格 × 365 / 到期日差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交易规则不再只押注“偏离后立即回归”，而是同时扫描均值回归和趋势跟随两类规则。最终用于展示的固定规则为：</w:t>
      </w:r>
      <w:r>
        <w:rPr>
          <w:rFonts w:ascii="Times New Roman" w:hAnsi="Times New Roman" w:eastAsia="宋体"/>
          <w:b/>
          <w:i w:val="0"/>
          <w:color w:val="222222"/>
          <w:sz w:val="24"/>
        </w:rPr>
        <w:t>期限结构斜率趋势策略，60 日滚动窗口，K=2.4，T 日收盘生成信号，T+1 日收盘执行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。这个参数不是为单一品种单独挑选，而是在 IC 和 IM 上均能取得正累计收益的统一规则。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897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prea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8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8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9 期限结构斜率与交易边界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9：蓝线为年化期限结构斜率，橙线为 60 日滚动均值，灰色区间为 K=2.4 的交易边界。红点对应策略处于持仓状态的交易日。跨期信号不是连续稳定出现，而是集中在期限结构明显偏离的阶段。IM 的样本较短，但斜率偏离后的延续性略好于 IC。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4.2 回测结果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固定规则下，跨期套利呈现弱正收益，但离“强套利”仍有距离。该策略属于期货多空组合，净值本身没有计入闲置现金收益，因此下表同时列示 Sharpe(0RF) 和扣除 3% 资金门槛后的 Sharpe(3%RF)。从资金效率角度看，后者更接近实盘评价口径。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10 跨期套利固定规则结果：展示期限结构斜率规则在固定参数下的收益、风险、信号触发率和方向正确率。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01"/>
        <w:gridCol w:w="901"/>
        <w:gridCol w:w="901"/>
        <w:gridCol w:w="901"/>
        <w:gridCol w:w="901"/>
        <w:gridCol w:w="901"/>
        <w:gridCol w:w="901"/>
        <w:gridCol w:w="901"/>
        <w:gridCol w:w="901"/>
        <w:gridCol w:w="901"/>
      </w:tblGrid>
      <w:tr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品种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年化收益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年化波动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Sharpe(0RF)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Sharpe(3%RF)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最大回撤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累计收益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交易笔数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持仓占比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累计成本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0.14%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4.37%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0.03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-0.65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-12.44%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1.52%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137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30.2%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3.75 万元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2.30%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3.62%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0.64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-0.19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-4.07%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8.53%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44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34.4%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1.30 万元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99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lendar_nav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9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8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10 优化后跨期策略净值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10：IC 的跨期净值基本横向震荡，说明在更长样本中该信号只能接近打平；IM 的净值有正斜率，但样本只有 2022 年以来的历史，且累计收益主要来自少数期限结构偏离阶段。若强行加杠杆，收益与回撤会同步放大，并不能改善信号本身的胜率和稳定性。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4.3 杠杆压力测试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杠杆测试用于回答一个更实际的问题：当跨期价差本身收益较薄时，放大仓位能否改善策略可用性。这里没有重新挑选参数，只是把同一条净收益序列按 1x、2x、3x、5x 放大；交易成本和保证金占用也同步放大。保证金按双腿名义本金的 12% 估算，未假设跨期组合保证金优惠。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11 跨期套利杠杆压力测试：在同一跨期策略收益序列上放大杠杆，观察年化收益、回撤、保证金占用和名义敞口的变化。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2"/>
        <w:gridCol w:w="1002"/>
        <w:gridCol w:w="1002"/>
        <w:gridCol w:w="1002"/>
        <w:gridCol w:w="1002"/>
        <w:gridCol w:w="1002"/>
        <w:gridCol w:w="1002"/>
        <w:gridCol w:w="1002"/>
        <w:gridCol w:w="1002"/>
      </w:tblGrid>
      <w:tr>
        <w:tc>
          <w:tcPr>
            <w:tcW w:type="dxa" w:w="10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品种</w:t>
            </w:r>
          </w:p>
        </w:tc>
        <w:tc>
          <w:tcPr>
            <w:tcW w:type="dxa" w:w="10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杠杆</w:t>
            </w:r>
          </w:p>
        </w:tc>
        <w:tc>
          <w:tcPr>
            <w:tcW w:type="dxa" w:w="10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年化收益</w:t>
            </w:r>
          </w:p>
        </w:tc>
        <w:tc>
          <w:tcPr>
            <w:tcW w:type="dxa" w:w="10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年化波动</w:t>
            </w:r>
          </w:p>
        </w:tc>
        <w:tc>
          <w:tcPr>
            <w:tcW w:type="dxa" w:w="10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Sharpe(0RF)</w:t>
            </w:r>
          </w:p>
        </w:tc>
        <w:tc>
          <w:tcPr>
            <w:tcW w:type="dxa" w:w="10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最大回撤</w:t>
            </w:r>
          </w:p>
        </w:tc>
        <w:tc>
          <w:tcPr>
            <w:tcW w:type="dxa" w:w="10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累计收益</w:t>
            </w:r>
          </w:p>
        </w:tc>
        <w:tc>
          <w:tcPr>
            <w:tcW w:type="dxa" w:w="10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最高保证金占用</w:t>
            </w:r>
          </w:p>
        </w:tc>
        <w:tc>
          <w:tcPr>
            <w:tcW w:type="dxa" w:w="10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最高双腿名义本金/初始资金</w:t>
            </w:r>
          </w:p>
        </w:tc>
      </w:tr>
      <w:tr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1x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0.14%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4.37%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0.03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-12.44%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1.52%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83.1%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6.9x</w:t>
            </w:r>
          </w:p>
        </w:tc>
      </w:tr>
      <w:tr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2x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0.07%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8.75%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0.01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-24.17%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0.81%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166.2%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13.9x</w:t>
            </w:r>
          </w:p>
        </w:tc>
      </w:tr>
      <w:tr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3x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-0.20%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13.12%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-0.02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-35.14%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-2.21%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249.3%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20.8x</w:t>
            </w:r>
          </w:p>
        </w:tc>
      </w:tr>
      <w:tr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5x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-1.47%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21.87%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-0.07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-54.65%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-14.97%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415.5%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34.6x</w:t>
            </w:r>
          </w:p>
        </w:tc>
      </w:tr>
      <w:tr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1x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2.30%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3.62%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0.64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-4.07%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8.53%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81.8%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6.8x</w:t>
            </w:r>
          </w:p>
        </w:tc>
      </w:tr>
      <w:tr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2x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4.52%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7.23%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0.62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-8.10%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17.24%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163.7%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13.6x</w:t>
            </w:r>
          </w:p>
        </w:tc>
      </w:tr>
      <w:tr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3x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6.64%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10.85%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0.61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-12.08%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26.04%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245.5%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20.5x</w:t>
            </w:r>
          </w:p>
        </w:tc>
      </w:tr>
      <w:tr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5x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10.57%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18.09%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0.58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-19.90%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43.57%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409.2%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34.1x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990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lendar_lever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9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8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11 跨期套利杠杆压力测试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11：杠杆测试的结果比较直接。IC 的基础收益太薄，2x 以上基本只是在放大回撤，3x 后年化收益转负；IM 在样本内对杠杆更友好，5x 下累计收益可放大到 43.57%，但最高保证金占用已超过初始资金的 4 倍，且 IM 样本期较短。换言之，杠杆能放大 IM 的样本内表现，但不能证明跨期信号已经足够稳健。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4.4 小结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跨期套利模块经过优化后有一定边际改善，但它的定位仍应克制：</w:t>
      </w:r>
      <w:r>
        <w:rPr>
          <w:rFonts w:ascii="Times New Roman" w:hAnsi="Times New Roman" w:eastAsia="宋体"/>
          <w:b/>
          <w:i w:val="0"/>
          <w:color w:val="222222"/>
          <w:sz w:val="24"/>
        </w:rPr>
        <w:t>可以作为组合中的小权重候选或后续研究方向，不应替代吃贴水主策略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。杠杆测试进一步说明，策略质量本身比杠杆倍数更重要：IC 不适合靠杠杆硬放大，IM 可以小规模测试 1x-2x，但 3x 以上的保证金占用和回撤压力已经不适合作为稳健结论写入主策略。从实盘角度看，日频收盘价下的跨期价差空间较薄，真正有价值的改进方向不是继续扩大日频网格搜索，而是引入分钟级价差、盘口冲击成本和更精细的展期执行模型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pStyle w:val="Heading1"/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5. IC-IM 组合策略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组合层面的初衷是将“吃贴水”和“跨期套利”分开：前者获取方向性收益与展期补偿，后者尝试提供更接近市场中性的第二收益来源。第 4 章显示，跨期策略在 IM 上有弱正收益，IC 基本接近打平，说明期限结构斜率并非完全没有信息含量；但收益厚度、样本长度和执行敏感性仍不足以支撑较高组合权重。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因此，本章采用更稳妥的组合口径：</w:t>
      </w:r>
      <w:r>
        <w:rPr>
          <w:rFonts w:ascii="Times New Roman" w:hAnsi="Times New Roman" w:eastAsia="宋体"/>
          <w:b/>
          <w:i w:val="0"/>
          <w:color w:val="222222"/>
          <w:sz w:val="24"/>
        </w:rPr>
        <w:t>主组合仍以 IC 与 IM 吃贴水策略为核心，跨期套利只作为小权重候选和后续研究方向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。在现有日频数据口径下，直接把跨期腿赋予较高权重，容易把本就不厚的价差收益暴露在成本和执行误差之下。组合层面的首要问题仍是：IC 与 IM 两个吃贴水策略之间是否真的存在分散价值。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5.1 组合设计的出发点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吃贴水策略在 IC 和 IM 上都跑出了正的年化超额（IC 9.62% vs 指数 0.83%，IM 15.88% vs 指数 5.31%）。直观想法是把两个品种放在一起，降低单一品种的方向风险，拿到更平滑的收益曲线。组合方式考虑等权（各 50% 资金）和波动率倒数加权。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但品种组合能不能有效，取决于相关性。如果两个品种的日收益高度同向，组合降不了波动——买入两个高度相关的资产，等于买入一个更大的同方向敞口。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5.2 IC-IM 相关性分析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取 IC Always 和 IM Always 策略的日收益序列，对齐到共同交易日（872 天），计算 Pearson 和 Spearman 相关系数。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IC 与 IM 吃贴水策略日收益 Pearson r 约 0.95，Spearman ρ 约 0.93。两个品种几乎同涨同跌。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背后的逻辑在于：IC 跟踪中证 500、IM 跟踪中证 1000，两者均为中小盘风格指数，成分股高度重合于 A 股市场的同质化系统性风险。同时，两者的贴水结构由共同的市场机制驱动——对冲需求、市场情绪、资金面——而非独立的基本面因素。市场下跌时，两个品种同时下跌且贴水同步扩大；市场上涨时，两者同步反弹。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546670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rrela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5466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8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12 IC-IM 日收益相关性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12：每个散点代表一个交易日的 IC 与 IM 策略日收益。OLS 拟合线斜率接近 1，散点紧密围绕拟合线。左上角标注的 Pearson r 和 Spearman ρ 说明线性相关和秩相关都极强，简单做 IC-IM 品种分散很难降低组合波动。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5.3 组合的局限性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相关性 0.95 之下，品种分散基本无效。代入两品种年化波动（IC 30.05%，IM 32.71%）和相关性 0.95，等权组合波动率约 31.0%，仅略低于单独持有 IM（32.71%），谈不上改善。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实际组合结果由单品种的策略逻辑决定：IC Always 夏普 0.22（11 年样本），IM Always 夏普 0.39（3.5 年样本）。等权组合夏普约 0.30，卡在两者之间，不会超过单独持有更好的一方。这是高相关性下的数学必然——组合权重回到无信息先验，分散化收益被相关性吃光。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更关键的是，IM 仅 3.5 年样本，没经历过完整市场周期。样本内 IM 夏普更高，不意味着 IC+IM 组合比 IC-only 更优。IC 有 11 年，穿越了 2015 年股灾、2016 年熔断、2018 年熊市和 2020 年 COVID。IC-only 的推论置信度远高于任何涉及 IM 的组合。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5.4 结论与后续方向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在我们的样本中，IC 和 IM 吃贴水策略不能靠简单品种组合实现有意义的风险分散。这是负向结果，但划出了策略边界：组合管理不应指望 IC-IM 品种分散，需要引入与权益 beta 不相关的 alpha 来源。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后续若要在组合层面改善，值得关注：（1）IC/IM 与 IF（沪深 300）、IH（上证 50）的跨品种分散——大盘和中小盘风格差异可能带来更低的策略收益相关性；（2）动态权重——基于基差率或波动率差异调整品种配比，不做固定组合。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pStyle w:val="Heading1"/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6. 统计检验与收益归因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6.1 Block Bootstrap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采用循环块 Bootstrap（block=10 天，2000 次重采样）检验策略相对指数的 Sharpe 差异。H0：SR_diff = 0。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12 Bootstrap 显著性检验：Block Bootstrap 重采样下的 Sharpe 差异分布、置信区间和 p 值。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品种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观测 SR 差异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95% CI 下限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95% CI 上限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p 值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覆盖 0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0.3051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-0.1669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0.8246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0.1980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是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0.2864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-0.4077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1.0583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0.4100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是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990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ootstra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9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8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13 Bootstrap 显著性检验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13：两个品种的观测 SR 差异均为正，但 95% CI 均覆盖 0。IC p = 0.1980，IM p = 0.4100，不能拒绝"SR 差异为 0"的原假设。IM CI 更宽（[-0.41, 1.06] vs IC [-0.17, 0.82]），反映 IM 样本较短导致估计标准差更大。策略的历史超额不具备统计显著性。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6.2 无截距归因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采用无截距回归：</w:t>
      </w:r>
      <w:r>
        <w:rPr>
          <w:rFonts w:ascii="Consolas" w:hAnsi="Consolas" w:eastAsia="宋体"/>
          <w:b w:val="0"/>
          <w:i w:val="0"/>
          <w:color w:val="555555"/>
          <w:sz w:val="23"/>
        </w:rPr>
        <w:t>r_strategy = β × r_index + ε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。残差年均值衡量扣除指数 beta 后的超额。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13 无截距收益归因：将策略日收益按无截距模型拆解为指数驱动和残差两部分。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品种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策略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β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残差年化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NW t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R²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跟踪误差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信息比率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Always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-0.03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13.79%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-0.71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0.001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30.04%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0.46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B&lt;-1.5%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0.02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8.33%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0.48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0.000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17.80%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0.47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Always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0.08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19.11%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1.18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0.004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32.67%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0.59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B&lt;-1.5%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0.01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11.03%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0.37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0.000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12.74%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0.87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24853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ttribut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24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8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14 收益归因分解（无截距）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14：日频归因 β 接近 0，R² ≈ 0。策略日收益中含合约切换跳空、展期和基差收敛等噪声成分，同期指数日收益对此解释力极弱。日频无截距归因不适合用于拆分策略收益来源。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6.3 有截距 CAPM 归因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加入截距项：</w:t>
      </w:r>
      <w:r>
        <w:rPr>
          <w:rFonts w:ascii="Consolas" w:hAnsi="Consolas" w:eastAsia="宋体"/>
          <w:b w:val="0"/>
          <w:i w:val="0"/>
          <w:color w:val="555555"/>
          <w:sz w:val="23"/>
        </w:rPr>
        <w:t>r_strategy = α + β × r_index + ε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。α_annual 衡量扣除 β 暴露后的年化超额。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14 有截距 CAPM 归因（日频）：加入截距项后的日频 CAPM 归因，α 衡量扣除指数 beta 后的平均日超额。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品种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策略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α_annual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t(α)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β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t(β)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R²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N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Always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13.79%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1.52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-0.03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-1.28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0.001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2,641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B&lt;-1.5%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8.33%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1.55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0.02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1.12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0.001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2,641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Always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19.12%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1.11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0.08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1.79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0.004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871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B&lt;-1.5%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11.03%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1.64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0.01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0.46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0.000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871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日频 α 为正但 t 值均 &lt; 2（IC Always t = 1.52，IM Always t = 1.11），不具备统计显著性。β 和 R² 偏低同样源于日频噪声。改为月频回归：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15 有截距 CAPM 归因（月频）：用月度收益替代日收益进行有截距 CAPM 回归，作为日频结果的稳健性检查。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品种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α_annual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t(α)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β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t(β)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R²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月数</w:t>
            </w:r>
          </w:p>
        </w:tc>
      </w:tr>
      <w:tr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 Always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9.16%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1.94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0.67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12.98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0.566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131</w:t>
            </w:r>
          </w:p>
        </w:tc>
      </w:tr>
      <w:tr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 Always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11.07%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1.32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0.76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8.82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0.649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44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97198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pm_attributio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971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8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15 有截距 CAPM 归因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15：月频结果更合理且更符合金融直觉。IC β = 0.67（R² = 0.57），IM β = 0.76（R² = 0.65），策略确有显著的权益方向暴露。α 的 t 值仍 &lt; 2，月频下同样不能认为存在独立 alpha。综合日频和月频结果，策略收益来源于权益 beta、基差收敛和展期补偿的混合，不宜将残差项直接解释为独立 alpha。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pStyle w:val="Heading1"/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7. 补充分析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7.1 交易成本敏感性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70281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st_stres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02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8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16 成本压力测试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16：将交易成本从基准（×1）逐级放大至 ×10，IC Always 年化收益衰减有限。策略换手低（主要交易集中在展期日），期货手续费相对名义本金比例极小。成本不是策略的主要约束。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策略核心风险在于贴水结构的持续性。若未来 IC/IM 贴水大幅收窄或转入升水，展期补偿将减弱或消失。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7.2 制度约束与资金占用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实盘需关注的制度因素：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保证金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：中金所保证金比例约 12%。以 IC 5,500 点计，一手名义本金约 110 万元，保证金约 13.2 万元。初始资金 100 万元可持有 3-5 手，杠杆 3-5 倍。需保留现金应对逐日盯市的盘中浮亏。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展期操作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：换仓日存在双边持仓窗口，保证金占用翻倍。可拆至 2-3 天完成以降低瞬时资金压力。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制度变迁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：2015 年后保证金从 10% 升至 40%，2017-2019 年逐步松绑。当前规则已正常化，但市场异常波动时限制可能再度收紧。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流动性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：主力合约流动性充足，但规模升至数百手以上时，展期日需注意时间分布，避免集中换仓产生的价格冲击。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pStyle w:val="Heading1"/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8. 风险提示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1. 策略最大回撤超 50%，方向风险是主导风险，不宜定位为低波动或绝对收益策略。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2. Bootstrap 检验未拒绝 SR 差异为 0，α 的 t 值均 &lt; 2，历史超额在统计意义上不显著。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3. IM 仅 872 个主力交易日（3.5 年），未经历完整市场周期，相关结论置信度低于 IC。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4. IC 与 IM 日收益相关性约 0.95，品种组合不能替代真正的策略分散。组合管理应引入与权益 beta 不相关的 alpha 来源。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5. B&lt;-1.5% 阈值为样本内观察，不代表未来最优。参数在样本内存在过拟合风险。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6. 跨期套利经期限结构斜率优化后有弱正收益，但收益厚度有限、对执行价格敏感，不宜单独作为主策略。若使用更高频数据，结论可能不同。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7. 风控版本夏普均为负，策略的贴水补偿不足以支撑降杠杆和调仓摩擦。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8. 股指期货历史上经历过手续费、保证金和开平仓限制的重大变化，制度风险不可忽视。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9. 当前基差未经分红调整。中证 500/1000 成分股每年 5-8 月集中分红，期间现货指数自然下跌会虚增贴水幅度。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10. 本研究基于公开历史数据的回测，样本外表现可能与回测结果有重大偏差。所有结论均为历史观察，不构成投资建议。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pStyle w:val="Heading1"/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9. 结论</w:t>
      </w:r>
    </w:p>
    <w:p>
      <w:pPr>
        <w:pStyle w:val="Heading3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策略定位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吃贴水策略的定位：带有展期补偿的股指期货多头工具，不是市场中性套利。其超额来自贴水结构下的基差收敛与展期补偿，主要风险来自指数的方向波动。</w:t>
      </w:r>
    </w:p>
    <w:p>
      <w:pPr>
        <w:pStyle w:val="Heading3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稳定性评估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从三个维度看策略的稳定程度：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样本外：IC 测试期（2021-2026）年化 7.24%，方向正确但回撤仍达 -54.12%。训练期含 2015 年股灾，表现差，不宜简单对比。关键约束：测试期本身未经历 2015 级极端行情，不能以此推断策略能扛住下一次市场冲击。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市场状态依赖：策略上涨期年化 47.6%、下跌期 -13.1%，涨跌收益差 60.7pp。市场方向是第一驱动力，贴水补偿只给相对指数的超额，不给绝对保护。高波动期的更高收益是期间上涨行情带的，高波动本身没有溢价。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风控代价：波动率目标和回撤控制可以机械降回撤，但所有风控版本夏普为负。贴水补偿太薄，经不起主动降杠杆——这是策略的根本约束：降风险就要牺牲收益，两头不能兼顾。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总体看：吃贴水策略的历史表现对市场阶段高度敏感。样本内有正超额，但超额不穿越牛熊。策略更适合做仓位置换——用期货替代 ETF 或指增，拿额外展期补偿——而非押注策略本身的绝对收益能力。</w:t>
      </w:r>
    </w:p>
    <w:p>
      <w:pPr>
        <w:pStyle w:val="Heading3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品种组合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IC 和 IM 日收益相关性约 0.95，品种分散化价值有限。IC-only 有 11 年完整周期覆盖，是比任何涉及 IM 的组合更可信的基准配置。组合管理的改善方向在于引入与权益 beta 不相关的策略，而非在同质资产内部调权重。</w:t>
      </w:r>
    </w:p>
    <w:p>
      <w:pPr>
        <w:pStyle w:val="Heading3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适用场景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指增和方向性产品可以把策略当作指数增强模块，年化增厚约 3-9pp，视品种和时段而定。绝对收益和低回撤产品不建议单独配置——风控降杠杆后夏普为负，策略没有独立于 beta 的超额。多策略组合中可以占 10-20% 仓位充当权益 beta 来源，但需要搭配与权益负相关或不相关的策略。</w:t>
      </w:r>
    </w:p>
    <w:p>
      <w:pPr>
        <w:pStyle w:val="Heading3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优先后续方向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1. 分钟级行情回测跨期价差，检验 T+0 执行是否可捕捉日频下被滞后吃掉的价差回归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2. 多腿价差（蝶式套利）探索更稳定的均值回复结构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3. 分红调整基差以更准确衡量展期补偿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4. 跨品种（IF/IH）的分散化分析——大盘 vs 中小盘风格差异可能提供更有意义的低相关性</w:t>
      </w:r>
    </w:p>
    <w:p>
      <w:pPr>
        <w:pStyle w:val="Heading1"/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附录：图表清单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16 图表清单：报告中全部 16 张图表的编号、文件名和内容说明。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图号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文件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内容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fig_roll_yield.png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展期收益分布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2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fig_nav.png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策略净值曲线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3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fig_annual.png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年度收益拆分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4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fig_drawdown.png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回撤曲线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5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fig_heatmap.png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参数敏感性热力图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6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fig_oos_validation.png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样本外验证（训练/测试期）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7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fig_regime_segmentation.png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市场状态分段分析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8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fig_risk_control.png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风险控制策略净值对比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9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fig_spread.png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期限结构斜率与交易边界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10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fig_calendar_nav.png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优化后跨期策略净值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11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fig_calendar_leverage.png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跨期套利杠杆压力测试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12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fig_correlation.png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IC-IM 日收益相关性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13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fig_bootstrap.png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Bootstrap 显著性检验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14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fig_attribution.png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收益归因分解（无截距）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15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fig_capm_attribution.png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有截距 CAPM 归因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16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fig_cost_stress.png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成本压力测试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sectPr w:rsidR="00FC693F" w:rsidRPr="0006063C" w:rsidSect="00034616">
      <w:pgSz w:w="11906" w:h="16838"/>
      <w:pgMar w:top="1361" w:right="1446" w:bottom="1247" w:left="144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Times New Roman" w:hAnsi="Times New Roman" w:eastAsia="宋体"/>
        <w:b w:val="0"/>
        <w:i w:val="0"/>
        <w:color w:val="555555"/>
        <w:sz w:val="19"/>
      </w:rPr>
      <w:t xml:space="preserve">第 </w:t>
    </w:r>
    <w:r>
      <w:rPr>
        <w:rFonts w:ascii="Times New Roman" w:hAnsi="Times New Roman" w:eastAsia="宋体"/>
        <w:b w:val="0"/>
        <w:i w:val="0"/>
        <w:color w:val="222222"/>
        <w:sz w:val="21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Times New Roman" w:hAnsi="Times New Roman" w:eastAsia="宋体"/>
        <w:b w:val="0"/>
        <w:i w:val="0"/>
        <w:color w:val="555555"/>
        <w:sz w:val="19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Times New Roman" w:hAnsi="Times New Roman" w:eastAsia="宋体"/>
        <w:b w:val="0"/>
        <w:i w:val="0"/>
        <w:color w:val="555555"/>
        <w:sz w:val="19"/>
      </w:rPr>
      <w:t>股指期货套利策略研究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color w:val="22222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40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 w:line="240" w:lineRule="auto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