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48"/>
        </w:rPr>
        <w:t>股指期货吃贴水与跨期套利策略研究</w:t>
      </w:r>
    </w:p>
    <w:p>
      <w:pPr>
        <w:spacing w:after="104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30"/>
        </w:rPr>
        <w:t>金融程序化交易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819"/>
        <w:gridCol w:w="4819"/>
      </w:tblGrid>
      <w:tr>
        <w:trPr/>
        <w:tc>
          <w:tcPr>
            <w:tcW w:type="dxa" w:w="5273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研究对象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DEDED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IC/IM 股指期货吃贴水与跨期套利</w:t>
            </w:r>
          </w:p>
        </w:tc>
      </w:tr>
      <w:tr>
        <w:trPr/>
        <w:tc>
          <w:tcPr>
            <w:tcW w:type="dxa" w:w="5273"/>
            <w:vAlign w:val="center"/>
            <w:shd w:fill="FFFFFF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数据区间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 2015-04 至 2026-03 / IM 2022-07 至 2026-03</w:t>
            </w:r>
          </w:p>
        </w:tc>
      </w:tr>
      <w:tr>
        <w:trPr/>
        <w:tc>
          <w:tcPr>
            <w:tcW w:type="dxa" w:w="5273"/>
            <w:vAlign w:val="center"/>
            <w:shd w:fill="FFFFFF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策略口径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做多主力合约 + 到期前展期，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T+1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执行，含手续费与滑点</w:t>
            </w:r>
          </w:p>
        </w:tc>
      </w:tr>
      <w:tr>
        <w:trPr/>
        <w:tc>
          <w:tcPr>
            <w:tcW w:type="dxa" w:w="5273"/>
            <w:vAlign w:val="center"/>
            <w:shd w:fill="FFFFFF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评估维度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收益、稳定性、可交易性、可复现性</w:t>
            </w:r>
          </w:p>
        </w:tc>
      </w:tr>
    </w:tbl>
    <w:p>
      <w:pPr>
        <w:spacing w:before="0" w:after="0"/>
        <w:ind w:firstLine="0"/>
      </w:pPr>
      <w:r>
        <w:br w:type="page"/>
      </w:r>
    </w:p>
    <w:p>
      <w:pPr>
        <w:spacing w:after="160" w:before="160"/>
        <w:ind w:left="0" w:right="0" w:firstLine="0"/>
        <w:jc w:val="center"/>
      </w:pPr>
      <w:r>
        <w:rPr>
          <w:b/>
          <w:color w:val="000000"/>
          <w:sz w:val="36"/>
          <w:rFonts w:eastAsia="黑体" w:ascii="Times New Roman" w:hAnsi="Times New Roman"/>
        </w:rPr>
        <w:t>报告目录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主要结论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 数据与交易口径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 基差与展期收益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 吃贴水策略回测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 跨期套利策略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5. 统计验证与收益归因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6. 补充分析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7. 风险与局限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8. 结论与建议</w:t>
      </w:r>
    </w:p>
    <w:p>
      <w:pPr>
        <w:spacing w:after="40"/>
        <w:ind w:left="3005" w:firstLine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附录：图表清单</w:t>
      </w:r>
    </w:p>
    <w:p>
      <w:pPr>
        <w:spacing w:before="0" w:after="0"/>
        <w:ind w:firstLine="0"/>
      </w:pPr>
      <w:r>
        <w:br w:type="page"/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股指期货吃贴水与跨期套利策略研究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主要结论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本报告研究 IC（中证500股指期货）和 IM（中证1000股指期货）两个品种，重点评估四件事：第一，长期做多贴水期货并展期是否能跑赢现货指数；第二，近月与次近月价差是否能形成独立的跨期套利；第三，IC 与 IM 组合后是否能改善风险收益特征；第四，策略在不同市场状态下的表现差异以及风险控制手段是否有效。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 主要结论：项目、口径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819"/>
        <w:gridCol w:w="4819"/>
      </w:tblGrid>
      <w:tr>
        <w:trPr/>
        <w:tc>
          <w:tcPr>
            <w:tcW w:type="dxa" w:w="5273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项目</w:t>
            </w:r>
          </w:p>
        </w:tc>
        <w:tc>
          <w:tcPr>
            <w:tcW w:type="dxa" w:w="5273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口径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研究标的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 与 IM 主力合约，交易标的使用真实合约代码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数据区间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IC：2015-04-16 至 2026-03-02；IM：2022-07-22 至 2026-03-02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交易假设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T 日收盘后产生信号，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T+1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日按收盘价成交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成本假设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手续费万分之 0.23，滑点 0.2 指数点，合约乘数 200 元/点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策略方向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吃贴水多头、基差阈值择时、近月-次近月跨期价差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评价重点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收益、回撤、统计显著性、交易可执行性、可复现性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样本内，吃贴水多头策略确实跑赢指数。IC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策略年化收益 </w:t>
      </w:r>
      <w:r>
        <w:rPr>
          <w:b/>
          <w:color w:val="000000"/>
          <w:sz w:val="24"/>
          <w:rFonts w:eastAsia="宋体" w:ascii="Times New Roman" w:hAnsi="Times New Roman"/>
        </w:rPr>
        <w:t>9.62%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，高于 IC 指数的 </w:t>
      </w:r>
      <w:r>
        <w:rPr>
          <w:b/>
          <w:color w:val="000000"/>
          <w:sz w:val="24"/>
          <w:rFonts w:eastAsia="宋体" w:ascii="Times New Roman" w:hAnsi="Times New Roman"/>
        </w:rPr>
        <w:t>0.83%</w:t>
      </w:r>
      <w:r>
        <w:rPr>
          <w:b w:val="0"/>
          <w:color w:val="000000"/>
          <w:sz w:val="24"/>
          <w:rFonts w:eastAsia="宋体" w:ascii="Times New Roman" w:hAnsi="Times New Roman"/>
        </w:rPr>
        <w:t>；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策略年化收益 </w:t>
      </w:r>
      <w:r>
        <w:rPr>
          <w:b/>
          <w:color w:val="000000"/>
          <w:sz w:val="24"/>
          <w:rFonts w:eastAsia="宋体" w:ascii="Times New Roman" w:hAnsi="Times New Roman"/>
        </w:rPr>
        <w:t>15.88%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，高于 IM 指数的 </w:t>
      </w:r>
      <w:r>
        <w:rPr>
          <w:b/>
          <w:color w:val="000000"/>
          <w:sz w:val="24"/>
          <w:rFonts w:eastAsia="宋体" w:ascii="Times New Roman" w:hAnsi="Times New Roman"/>
        </w:rPr>
        <w:t>5.31%</w:t>
      </w:r>
      <w:r>
        <w:rPr>
          <w:b w:val="0"/>
          <w:color w:val="000000"/>
          <w:sz w:val="24"/>
          <w:rFonts w:eastAsia="宋体" w:ascii="Times New Roman" w:hAnsi="Times New Roman"/>
        </w:rPr>
        <w:t>。但这不是低风险套利。</w:t>
      </w:r>
      <w:r>
        <w:rPr>
          <w:b/>
          <w:color w:val="000000"/>
          <w:sz w:val="24"/>
          <w:rFonts w:eastAsia="宋体" w:ascii="Times New Roman" w:hAnsi="Times New Roman"/>
        </w:rPr>
        <w:t>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最大回撤达到 </w:t>
      </w:r>
      <w:r>
        <w:rPr>
          <w:b/>
          <w:color w:val="000000"/>
          <w:sz w:val="24"/>
          <w:rFonts w:eastAsia="宋体" w:ascii="Times New Roman" w:hAnsi="Times New Roman"/>
        </w:rPr>
        <w:t>-61.38%</w:t>
      </w:r>
      <w:r>
        <w:rPr>
          <w:b w:val="0"/>
          <w:color w:val="000000"/>
          <w:sz w:val="24"/>
          <w:rFonts w:eastAsia="宋体" w:ascii="Times New Roman" w:hAnsi="Times New Roman"/>
        </w:rPr>
        <w:t>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最大回撤达到 </w:t>
      </w:r>
      <w:r>
        <w:rPr>
          <w:b/>
          <w:color w:val="000000"/>
          <w:sz w:val="24"/>
          <w:rFonts w:eastAsia="宋体" w:ascii="Times New Roman" w:hAnsi="Times New Roman"/>
        </w:rPr>
        <w:t>-50.81%</w:t>
      </w:r>
      <w:r>
        <w:rPr>
          <w:b w:val="0"/>
          <w:color w:val="000000"/>
          <w:sz w:val="24"/>
          <w:rFonts w:eastAsia="宋体" w:ascii="Times New Roman" w:hAnsi="Times New Roman"/>
        </w:rPr>
        <w:t>，说明策略仍然承担很重的指数方向风险。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统计检验的结果是：Block Bootstrap 检验显示，IC 策略相对指数的 Sharpe 差异 95% 置信区间为 [-0.1669, 0.8246]，p 值为 0.1980；IM 对应区间为 [-0.4077, 1.0583]，p 值为 0.4100。</w:t>
      </w:r>
      <w:r>
        <w:rPr>
          <w:b w:val="0"/>
          <w:color w:val="000000"/>
          <w:sz w:val="24"/>
          <w:rFonts w:eastAsia="宋体" w:ascii="Times New Roman" w:hAnsi="Times New Roman"/>
        </w:rPr>
        <w:t>两个品种的置信区间都覆盖 0，不能认为策略在统计意义上显著优于指数。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市场状态分段分析进一步证实了这个判断。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策略收益高度依赖市场方向：IC 在上涨期年化 </w:t>
      </w:r>
      <w:r>
        <w:rPr>
          <w:b/>
          <w:color w:val="000000"/>
          <w:sz w:val="24"/>
          <w:rFonts w:eastAsia="宋体" w:ascii="Times New Roman" w:hAnsi="Times New Roman"/>
        </w:rPr>
        <w:t>47.60%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，下跌期年化 </w:t>
      </w:r>
      <w:r>
        <w:rPr>
          <w:b/>
          <w:color w:val="000000"/>
          <w:sz w:val="24"/>
          <w:rFonts w:eastAsia="宋体" w:ascii="Times New Roman" w:hAnsi="Times New Roman"/>
        </w:rPr>
        <w:t>-13.10%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；IM 在上涨期年化 </w:t>
      </w:r>
      <w:r>
        <w:rPr>
          <w:b/>
          <w:color w:val="000000"/>
          <w:sz w:val="24"/>
          <w:rFonts w:eastAsia="宋体" w:ascii="Times New Roman" w:hAnsi="Times New Roman"/>
        </w:rPr>
        <w:t>84.70%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，下跌期年化 </w:t>
      </w:r>
      <w:r>
        <w:rPr>
          <w:b/>
          <w:color w:val="000000"/>
          <w:sz w:val="24"/>
          <w:rFonts w:eastAsia="宋体" w:ascii="Times New Roman" w:hAnsi="Times New Roman"/>
        </w:rPr>
        <w:t>-39.00%</w:t>
      </w:r>
      <w:r>
        <w:rPr>
          <w:b w:val="0"/>
          <w:color w:val="000000"/>
          <w:sz w:val="24"/>
          <w:rFonts w:eastAsia="宋体" w:ascii="Times New Roman" w:hAnsi="Times New Roman"/>
        </w:rPr>
        <w:t>。贴水深度有一定解释力，但不能单独作为加仓信号。风险控制版本可以明显压低回撤，但收益也同步下降，说明策略的核心矛盾仍是方向风险和贴水补偿之间的权衡。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跨期价差策略的拆解给出的结论更直接：在代表性布林带条件下，IC 和 IM 都没有形成有效触发；完整参数扫描中也没有任何一组取得正 Sharpe。</w:t>
      </w:r>
      <w:r>
        <w:rPr>
          <w:b w:val="0"/>
          <w:color w:val="000000"/>
          <w:sz w:val="24"/>
          <w:rFonts w:eastAsia="宋体" w:ascii="Times New Roman" w:hAnsi="Times New Roman"/>
        </w:rPr>
        <w:t>问题不是换一个阈值就能解决，而是日频价差机会本身太薄，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执行无法捕捉到足够稳定的回归空间。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我的判断是：吃贴水策略可以作为指数多头的增强型工具，而不是绝对收益套利。</w:t>
      </w:r>
      <w:r>
        <w:rPr>
          <w:b w:val="0"/>
          <w:color w:val="000000"/>
          <w:sz w:val="24"/>
          <w:rFonts w:eastAsia="宋体" w:ascii="Times New Roman" w:hAnsi="Times New Roman"/>
        </w:rPr>
        <w:t>它的优势来自期货贴水结构下的基差收敛和展期补偿；它的主要风险来自指数本身的涨跌。跨期价差策略在本次日频、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执行条件下没有表现出交易价值。后续如果要在这一方向深入，应该优先做两件事：一是获取更高频数据检验跨期价差，二是寻找与股指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不相关的其他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1. 数据与交易口径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1.1 数据来源与清洗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研究使用 4 个原始 Excel 文件：ic_data.xlsx、im_data.xlsx、000905.xlsx、000852.xlsx。期货数据包含合约代码、OHLC、成交量、持仓量、主力标志和基差字段；指数数据提供对应现货指数的收盘价。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数据清洗的关键点有三个。第一，期货 Excel 的中文列名中包含不间断空格，需要先清理列名再映射字段。第二，连续合约序列只用于分析和展示，真实回测只能使用如 IC2306、IM2409 这类可交易合约代码。第三，主力合约由数据自带的 main_force == 1 标志筛选，不手工拼接主力序列。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2 数据来源与清洗：检查项、IC、IM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213"/>
        <w:gridCol w:w="3213"/>
        <w:gridCol w:w="3213"/>
      </w:tblGrid>
      <w:tr>
        <w:trPr/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检查项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全量期货样本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10568 行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3488 行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主力合约样本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2642 行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872 行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主力样本日期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2015-04-16 ~ 2026-03-02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2022-07-22 ~ 2026-03-02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主力合约切换次数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131 次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44 次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指数匹配率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100.0%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100.0%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距到期日范围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 ~ 50 天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 ~ 50 天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合约切换跳空范围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-13.96%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~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4.25%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-4.91%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~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4.28%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这组数据的一个特点是 IC 样本明显更长，覆盖 2015 年以来多个市场阶段；IM 从 2022 年才开始，样本期更短，结论稳定性天然弱一些。报告后面对 IM 的判断都按这个前提理解。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1.2 回测假设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所有策略使用统一的交易口径：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3 回测假设：项目、设定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819"/>
        <w:gridCol w:w="4819"/>
      </w:tblGrid>
      <w:tr>
        <w:trPr/>
        <w:tc>
          <w:tcPr>
            <w:tcW w:type="dxa" w:w="5273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项目</w:t>
            </w:r>
          </w:p>
        </w:tc>
        <w:tc>
          <w:tcPr>
            <w:tcW w:type="dxa" w:w="5273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设定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信号时点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T 日收盘后，根据当日可见数据计算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成交时点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T+1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日收盘价成交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合约选择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使用真实期货合约，不使用连续合约作为交易标的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展期规则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到期前固定窗口换至下一主力/次近月合约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手续费 + 滑点逐笔扣除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逐日盯市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按实际持有合约的收盘价计算每日盈亏</w:t>
            </w:r>
          </w:p>
        </w:tc>
      </w:tr>
      <w:tr>
        <w:trPr/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初始资金</w:t>
            </w:r>
          </w:p>
        </w:tc>
        <w:tc>
          <w:tcPr>
            <w:tcW w:type="dxa" w:w="527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1,000,000 元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这里最重要的是"按实际持有合约逐日盯市"。如果直接拿主力连续合约计算收益，合约切换日的跳空容易被重复计入，收益会被高估。本报告的交易流水中还专门检查了展期记录，所有换仓记录的旧合约和新合约都不同，没有出现同合约重复换仓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2. 基差与展期收益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2.1 基差的经济含义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本报告定义：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基差 = 期货收盘价 - 指数收盘价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基差为负表示期货贴水。贴水市场中，期货价格在临近到期时通常向现货指数收敛。多头持有贴水合约，本质上是在承担指数方向风险的同时，争取基差收敛和展期补偿。这个逻辑清楚，但不等于无风险套利，因为指数下跌时基差收敛很难抵消方向亏损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2.2 均值回复和预测能力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4 均值回复和预测能力：指标、IC、IM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213"/>
        <w:gridCol w:w="3213"/>
        <w:gridCol w:w="3213"/>
      </w:tblGrid>
      <w:tr>
        <w:trPr/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指标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ADF 统计量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-5.04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-6.37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ADF p 值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半衰期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1.1 天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0.9 天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期货收益 Pearson IC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0.0725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0.0111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期货收益 p 值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0.0002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0.7436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指数收益 Pearson IC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-0.7985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-0.9206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指数收益 p 值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ADF 检验显示基差率序列具有明显均值回复特征，半衰期也很短。但这里要分清两件事：基差会回归，不代表它能稳定预测指数未来涨跌。更合理的解释是，贴水结构给期货多头提供了一部分相对现货的补偿，补偿来自期货价格向现货靠拢，而不是来自对股票指数方向的准确判断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2.3 展期收益分布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5 展期收益分布：指标、IC、IM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213"/>
        <w:gridCol w:w="3213"/>
        <w:gridCol w:w="3213"/>
      </w:tblGrid>
      <w:tr>
        <w:trPr/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指标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展期段数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131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44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平均每段展期收益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0.19%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0.86%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展期收益中位数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0.30%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0.52%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正收益占比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51.9%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54.5%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 展期收益分布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说明：每段主力持有周期的累计收益分布。IC 和 IM 的均值都为正，说明样本期内展期机制确实带来补偿。但正收益占比只是略高于一半，收益并不是每次展期都稳定出现。更准确的说法是：贴水提供了长期正期望的可能，但单次换仓仍然有很大不确定性。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3. 吃贴水策略回测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3.1 策略设计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本节测试两类策略：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Always：始终持有主力合约，到期前展期。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B&lt;-1.5%：只有当基差率低于 -1.5% 时才做多，否则空仓。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策略更像期货版指数多头，完整承担市场涨跌；基差阈值策略试图只在贴水较深时参与，牺牲一部分上涨行情，换取更低波动和回撤。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3.2 主要绩效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6 主要绩效：策略、年化收益、年化波动、Sharpe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/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策略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年化收益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年化波动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Sharpe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最大回撤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Calmar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胜率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累计收益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VaR95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交易笔数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IC Always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9.62%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30.05%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0.22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-61.38%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52.6%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172.49%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-1.78%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132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IC B&lt;-1.5%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7.04%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17.81%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0.23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-34.85%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0.20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33.2%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110.21%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-1.67%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846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 指数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0.83%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24.83%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-0.09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-65.20%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0.01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52.6%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9.43%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-2.34%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IM Always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15.88%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32.71%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0.39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-50.81%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0.31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53.0%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70.08%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-2.90%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45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IM B&lt;-1.5%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10.83%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12.74%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0.61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-12.82%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0.84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31.3%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44.84%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-1.49%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282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 指数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5.31%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23.74%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0.10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-41.60%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0.13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53.4%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20.50%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-2.29%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图2 策略净值曲线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</w:t>
      </w:r>
      <w:r>
        <w:rPr>
          <w:b/>
          <w:color w:val="000000"/>
          <w:sz w:val="20"/>
          <w:rFonts w:eastAsia="宋体" w:ascii="Times New Roman" w:hAnsi="Times New Roman"/>
        </w:rPr>
        <w:t>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策略在 IC 和 IM 上都明显高于对应指数基准。这个结果支持"贴水结构有长期补偿"的判断。不过净值曲线也很直观地说明，它不是平滑套利曲线，而是跟随市场波动的大幅起伏。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图3 年度收益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说明：年度收益波动很大。IC 样本中，策略经历过明显的亏损年份，也经历过反弹行情中的较高收益。基差阈值策略在某些下跌阶段有帮助，但它并不是免费保护：空仓会降低回撤，也会错过一部分上涨。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图4 回撤曲线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说明：本策略最需要重视的部分。</w:t>
      </w:r>
      <w:r>
        <w:rPr>
          <w:b/>
          <w:color w:val="000000"/>
          <w:sz w:val="20"/>
          <w:rFonts w:eastAsia="宋体" w:ascii="Times New Roman" w:hAnsi="Times New Roman"/>
        </w:rPr>
        <w:t>IC 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最大回撤 </w:t>
      </w:r>
      <w:r>
        <w:rPr>
          <w:b/>
          <w:color w:val="000000"/>
          <w:sz w:val="20"/>
          <w:rFonts w:eastAsia="宋体" w:ascii="Times New Roman" w:hAnsi="Times New Roman"/>
        </w:rPr>
        <w:t>-61.38%</w:t>
      </w:r>
      <w:r>
        <w:rPr>
          <w:b w:val="0"/>
          <w:color w:val="000000"/>
          <w:sz w:val="20"/>
          <w:rFonts w:eastAsia="宋体" w:ascii="Times New Roman" w:hAnsi="Times New Roman"/>
        </w:rPr>
        <w:t>，</w:t>
      </w:r>
      <w:r>
        <w:rPr>
          <w:b/>
          <w:color w:val="000000"/>
          <w:sz w:val="20"/>
          <w:rFonts w:eastAsia="宋体" w:ascii="Times New Roman" w:hAnsi="Times New Roman"/>
        </w:rPr>
        <w:t>IM 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最大回撤 </w:t>
      </w:r>
      <w:r>
        <w:rPr>
          <w:b/>
          <w:color w:val="000000"/>
          <w:sz w:val="20"/>
          <w:rFonts w:eastAsia="宋体" w:ascii="Times New Roman" w:hAnsi="Times New Roman"/>
        </w:rPr>
        <w:t>-50.81%</w:t>
      </w:r>
      <w:r>
        <w:rPr>
          <w:b w:val="0"/>
          <w:color w:val="000000"/>
          <w:sz w:val="20"/>
          <w:rFonts w:eastAsia="宋体" w:ascii="Times New Roman" w:hAnsi="Times New Roman"/>
        </w:rPr>
        <w:t>，这已经超过多数绝对收益资金可以接受的范围。因此它更适合作为指数增强或方向性配置工具，而不是独立的低波动策略。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39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3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图5 参数敏感性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说明：基差阈值和展期窗口的参数扫描。整体看，展期窗口从 1 天改到 3 天、5 天，对结果影响不大；基差阈值影响更明显。尤其是 IM 的 </w:t>
      </w:r>
      <w:r>
        <w:rPr>
          <w:b/>
          <w:color w:val="000000"/>
          <w:sz w:val="20"/>
          <w:rFonts w:eastAsia="宋体" w:ascii="Times New Roman" w:hAnsi="Times New Roman"/>
        </w:rPr>
        <w:t>B&lt;-1.5%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在样本内表现较好，但 IM 样本期短，不能把这个阈值当作稳定最优参数。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3.3 交易可执行性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全策略扫描覆盖 5 个基差阈值、3 个展期窗口和 2 个品种。所有展期记录中，同合约换仓次数为 0。这说明策略实际按不同合约完成展期，没有把连续合约的价格跳变误当作可交易收益。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3.4 样本外验证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为了评估策略的泛化能力，把 IC 数据按时间划分为训练期（2015-2020）和测试期（2021-2026）。IM 样本较短，不适合再硬拆训练/测试，因此用滚动窗口做稳定性观察。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7 样本外验证：数据集、年化收益%、年化波动%、Sharpe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/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数据集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年化波动%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最大回撤%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胜率%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VaR95%</w:t>
            </w:r>
          </w:p>
        </w:tc>
      </w:tr>
      <w:tr>
        <w:trPr/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训练集 (2015-2020)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-6.03%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62.84%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-0.14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-85.77%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51.9%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</w:t>
            </w:r>
          </w:p>
        </w:tc>
      </w:tr>
      <w:tr>
        <w:trPr/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测试集 (2021-2026)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7.24%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29.02%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0.15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-54.12%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50.6%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269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图6 样本外验证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说明：测试期表现好于训练期，但这不应被解读成“策略已经通过样本外检验”。训练期包含 2015 年股灾、2016 年熔断和 2018 年熊市，极端行情对回撤和收益都有很大拖累；测试期虽然收益为正，最大回撤仍达到 </w:t>
      </w:r>
      <w:r>
        <w:rPr>
          <w:b/>
          <w:color w:val="000000"/>
          <w:sz w:val="20"/>
          <w:rFonts w:eastAsia="宋体" w:ascii="Times New Roman" w:hAnsi="Times New Roman"/>
        </w:rPr>
        <w:t>-54.12%</w:t>
      </w:r>
      <w:r>
        <w:rPr>
          <w:b w:val="0"/>
          <w:color w:val="000000"/>
          <w:sz w:val="20"/>
          <w:rFonts w:eastAsia="宋体" w:ascii="Times New Roman" w:hAnsi="Times New Roman"/>
        </w:rPr>
        <w:t>。比较稳妥的结论是：贴水补偿在近年仍有延续，但策略对市场阶段高度敏感，不能只凭一段测试期就推断长期稳健。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3.5 市场状态分段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把全部交易日按三种维度切分：市场方向（上涨/下跌）、贴水深度（高贴水/低贴水或升水）、波动率水平（高波动/低波动）。每个子集中单独计算 </w:t>
      </w:r>
      <w:r>
        <w:rPr>
          <w:b/>
          <w:color w:val="000000"/>
          <w:sz w:val="24"/>
          <w:rFonts w:eastAsia="宋体" w:ascii="Times New Roman" w:hAnsi="Times New Roman"/>
        </w:rPr>
        <w:t>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策略绩效。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8 市场状态分段：品种、状态、天数、年化收益%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/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状态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天数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年化波动%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上涨期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1264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47.6%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16.0%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2.79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下跌期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1319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-13.1%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34.2%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-0.47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高贴水期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1320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8.8%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36.7%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0.16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低贴水/升水期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1321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18.6%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21.4%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0.73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高波动期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1291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31.4%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36.5%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0.78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低波动期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1292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1.8%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10.9%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-0.11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上涨期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410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84.7%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29.4%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2.78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下跌期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403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-39.0%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35.3%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-1.19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高贴水期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435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22.7%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36.6%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0.54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低贴水/升水期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436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17.5%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28.3%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0.51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高波动期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406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36.3%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41.6%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0.80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低波动期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407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10.5%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20.4%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0.37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849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图7 市场状态分段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说明：分段结果说明，策略首先是权益方向暴露。上涨期收益显著高于下跌期，IM 的差异尤其明显。贴水深度也有一定信息，但不是独立择时开关：IC 高贴水期年化 </w:t>
      </w:r>
      <w:r>
        <w:rPr>
          <w:b/>
          <w:color w:val="000000"/>
          <w:sz w:val="20"/>
          <w:rFonts w:eastAsia="宋体" w:ascii="Times New Roman" w:hAnsi="Times New Roman"/>
        </w:rPr>
        <w:t>8.80%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，低贴水/升水期反而达到 </w:t>
      </w:r>
      <w:r>
        <w:rPr>
          <w:b/>
          <w:color w:val="000000"/>
          <w:sz w:val="20"/>
          <w:rFonts w:eastAsia="宋体" w:ascii="Times New Roman" w:hAnsi="Times New Roman"/>
        </w:rPr>
        <w:t>18.60%</w:t>
      </w:r>
      <w:r>
        <w:rPr>
          <w:b w:val="0"/>
          <w:color w:val="000000"/>
          <w:sz w:val="20"/>
          <w:rFonts w:eastAsia="宋体" w:ascii="Times New Roman" w:hAnsi="Times New Roman"/>
        </w:rPr>
        <w:t>；这说明贴水补偿和指数方向经常纠缠在一起。实盘上不能因为贴水更深就机械加仓。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3.6 风险控制版本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测试两种简单风控：波动率目标（目标年化波动 15%）和最大回撤控制（回撤超过 20% 后逐步降仓）。它们不是为了优化收益，而是检验策略能否被改造成更接近产品可用的形态。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9 风险控制版本：品种、策略、年化收益%、Sharpe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tcW w:type="dxa" w:w="2109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2109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策略</w:t>
            </w:r>
          </w:p>
        </w:tc>
        <w:tc>
          <w:tcPr>
            <w:tcW w:type="dxa" w:w="2109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type="dxa" w:w="2109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  <w:tc>
          <w:tcPr>
            <w:tcW w:type="dxa" w:w="2109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最大回撤%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 xml:space="preserve">原始 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9.62%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0.22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-61.38%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波动率目标 15%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-0.09%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-0.20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-49.88%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回撤控制 20%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0.92%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-0.33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-23.63%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 xml:space="preserve">原始 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15.88%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0.39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-50.81%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波动率目标 15%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1.36%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-0.11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-38.66%</w:t>
            </w:r>
          </w:p>
        </w:tc>
      </w:tr>
      <w:tr>
        <w:trPr/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回撤控制 20%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-4.83%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-1.03</w:t>
            </w:r>
          </w:p>
        </w:tc>
        <w:tc>
          <w:tcPr>
            <w:tcW w:type="dxa" w:w="21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-20.20%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26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图8 风险控制策略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说明：风控确实降低了回撤。以 IC 为例，回撤控制版把最大回撤从 </w:t>
      </w:r>
      <w:r>
        <w:rPr>
          <w:b/>
          <w:color w:val="000000"/>
          <w:sz w:val="20"/>
          <w:rFonts w:eastAsia="宋体" w:ascii="Times New Roman" w:hAnsi="Times New Roman"/>
        </w:rPr>
        <w:t>-61.38%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压到 </w:t>
      </w:r>
      <w:r>
        <w:rPr>
          <w:b/>
          <w:color w:val="000000"/>
          <w:sz w:val="20"/>
          <w:rFonts w:eastAsia="宋体" w:ascii="Times New Roman" w:hAnsi="Times New Roman"/>
        </w:rPr>
        <w:t>-23.63%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；IM 回撤控制版也压到约 </w:t>
      </w:r>
      <w:r>
        <w:rPr>
          <w:b/>
          <w:color w:val="000000"/>
          <w:sz w:val="20"/>
          <w:rFonts w:eastAsia="宋体" w:ascii="Times New Roman" w:hAnsi="Times New Roman"/>
        </w:rPr>
        <w:t>-20.20%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。但收益同步被削弱，尤其 IM 回撤控制版年化变成 </w:t>
      </w:r>
      <w:r>
        <w:rPr>
          <w:b/>
          <w:color w:val="000000"/>
          <w:sz w:val="20"/>
          <w:rFonts w:eastAsia="宋体" w:ascii="Times New Roman" w:hAnsi="Times New Roman"/>
        </w:rPr>
        <w:t>-4.83%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。这说明策略的收益补偿并不厚，简单降仓会把风险降下来，也会把收益一起降掉。实盘若使用这类策略，更合理的做法是先控制组合层面的权益敞口，而不是指望单策略风控提升 </w:t>
      </w:r>
      <w:r>
        <w:rPr>
          <w:b/>
          <w:color w:val="000000"/>
          <w:sz w:val="20"/>
          <w:rFonts w:eastAsia="宋体" w:ascii="Times New Roman" w:hAnsi="Times New Roman"/>
        </w:rPr>
        <w:t>Sharpe</w:t>
      </w:r>
      <w:r>
        <w:rPr>
          <w:b w:val="0"/>
          <w:color w:val="000000"/>
          <w:sz w:val="20"/>
          <w:rFonts w:eastAsia="宋体" w:ascii="Times New Roman" w:hAnsi="Times New Roman"/>
        </w:rPr>
        <w:t>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4. 跨期套利策略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4.1 策略逻辑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跨期套利使用近月与次近月价差，核心想法是：当价差偏离滚动均值超过一定倍数标准差时开仓，等待价差回归后平仓。参数空间为 K ∈ {1.0, 1.5, 2.0, 2.5}、lookback ∈ {30, 60, 90, 120}，共 16 组。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图9 价差与布林带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说明：价差确实围绕均值波动，但突破布林带后并不总是快速回归。日频数据下，价差回归幅度较小，扣除双边成本后很难留下足够利润。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4.2 回测结果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在 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执行下，IC 和 IM 均为 </w:t>
      </w:r>
      <w:r>
        <w:rPr>
          <w:b/>
          <w:color w:val="000000"/>
          <w:sz w:val="24"/>
          <w:rFonts w:eastAsia="宋体" w:ascii="Times New Roman" w:hAnsi="Times New Roman"/>
        </w:rPr>
        <w:t>0/16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组参数取得正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>。部分参数有交易触发，但收益统计不是负值就是接近零；更多参数没有形成有效交易。这个结果说明，当前日频布林带规则不适合作为独立跨期套利策略。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4.3 失败原因拆解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既然结论是“没有交易价值”，更重要的问题是为什么。下面把信号触发、执行摩擦和参数结果拆开看。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10 失败原因拆解：品种、信号总数、信号频率%、价差均值(点)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/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信号总数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信号频率%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价差均值(点)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价差波动(点)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平均偏离(点)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T+1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方向正确率%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T+1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平均价差变化(点)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单笔成本(点)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参数组总数</w:t>
            </w:r>
          </w:p>
        </w:tc>
        <w:tc>
          <w:tcPr>
            <w:tcW w:type="dxa" w:w="95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正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Sharpe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组数</w:t>
            </w:r>
          </w:p>
        </w:tc>
      </w:tr>
      <w:tr>
        <w:trPr/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0.0%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0.0%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16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</w:tr>
      <w:tr>
        <w:trPr/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0.0%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0.0%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16</w:t>
            </w:r>
          </w:p>
        </w:tc>
        <w:tc>
          <w:tcPr>
            <w:tcW w:type="dxa" w:w="9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1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图10 跨期套利失败原因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说明：代表性布林带条件下没有形成有效触发，完整参数扫描也没有正 </w:t>
      </w:r>
      <w:r>
        <w:rPr>
          <w:b/>
          <w:color w:val="000000"/>
          <w:sz w:val="20"/>
          <w:rFonts w:eastAsia="宋体" w:ascii="Times New Roman" w:hAnsi="Times New Roman"/>
        </w:rPr>
        <w:t>Sharpe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组合。这个结果比“成本太高”更本质：日频收盘价下，近月-次近月价差的可捕捉偏离太少，</w:t>
      </w:r>
      <w:r>
        <w:rPr>
          <w:b/>
          <w:color w:val="000000"/>
          <w:sz w:val="20"/>
          <w:rFonts w:eastAsia="宋体" w:ascii="Times New Roman" w:hAnsi="Times New Roman"/>
        </w:rPr>
        <w:t>T+1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执行进一步错过了可能存在的短暂回归。后续如果继续研究跨期价差，应该先换成分钟级行情和盘口数据，而不是继续在日频参数上做网格搜索。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5. 统计验证与收益归因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5.1 Bootstrap 检验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11 Bootstrap 检验：品种、观测 Sharpe 差异、95% CI 下限、95% CI 上限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/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 xml:space="preserve">观测 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 xml:space="preserve"> 差异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95% CI 下限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95% CI 上限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p 值</w:t>
            </w:r>
          </w:p>
        </w:tc>
        <w:tc>
          <w:tcPr>
            <w:tcW w:type="dxa" w:w="1757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是否覆盖 0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0.3051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-0.1669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0.8246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0.1980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是</w:t>
            </w:r>
          </w:p>
        </w:tc>
      </w:tr>
      <w:tr>
        <w:trPr/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0.2864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-0.4077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1.0583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0.4100</w:t>
            </w:r>
          </w:p>
        </w:tc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图11 Bootstrap 分布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</w:t>
      </w:r>
      <w:r>
        <w:rPr>
          <w:b/>
          <w:color w:val="000000"/>
          <w:sz w:val="20"/>
          <w:rFonts w:eastAsia="宋体" w:ascii="Times New Roman" w:hAnsi="Times New Roman"/>
        </w:rPr>
        <w:t>Bootstrap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的结果比较关键。策略相对指数的 </w:t>
      </w:r>
      <w:r>
        <w:rPr>
          <w:b/>
          <w:color w:val="000000"/>
          <w:sz w:val="20"/>
          <w:rFonts w:eastAsia="宋体" w:ascii="Times New Roman" w:hAnsi="Times New Roman"/>
        </w:rPr>
        <w:t>Sharpe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差异为正，但置信区间覆盖 0。换句话说，历史样本中看到了超额，但从统计角度还不能排除"这只是样本波动"的可能。IM 的区间更宽，原因是样本更短。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5.2 无截距收益归因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采用无截距回归：策略收益 = β × 指数收益 + 残差。这个设定把策略收益拆成"指数驱动"和"其他来源"两部分。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12 无截距收益归因：品种、策略、Beta、残差年化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/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策略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Beta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残差年化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Newey-West t 值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R²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跟踪误差</w:t>
            </w:r>
          </w:p>
        </w:tc>
        <w:tc>
          <w:tcPr>
            <w:tcW w:type="dxa" w:w="1318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信息比率</w:t>
            </w:r>
          </w:p>
        </w:tc>
      </w:tr>
      <w:tr>
        <w:trPr/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-0.03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13.79%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-0.71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0.001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30.04%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0.46</w:t>
            </w:r>
          </w:p>
        </w:tc>
      </w:tr>
      <w:tr>
        <w:trPr/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0.02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8.33%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0.48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0.000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17.80%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0.47</w:t>
            </w:r>
          </w:p>
        </w:tc>
      </w:tr>
      <w:tr>
        <w:trPr/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0.08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19.11%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1.18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0.004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32.67%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0.59</w:t>
            </w:r>
          </w:p>
        </w:tc>
      </w:tr>
      <w:tr>
        <w:trPr/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0.01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11.03%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0.37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0.000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12.74%</w:t>
            </w:r>
          </w:p>
        </w:tc>
        <w:tc>
          <w:tcPr>
            <w:tcW w:type="dxa" w:w="131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0.87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2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图12 收益归因分解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</w:t>
      </w:r>
      <w:r>
        <w:rPr>
          <w:b/>
          <w:color w:val="000000"/>
          <w:sz w:val="20"/>
          <w:rFonts w:eastAsia="宋体" w:ascii="Times New Roman" w:hAnsi="Times New Roman"/>
        </w:rPr>
        <w:t>Beta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很低，</w:t>
      </w:r>
      <w:r>
        <w:rPr>
          <w:b/>
          <w:color w:val="000000"/>
          <w:sz w:val="20"/>
          <w:rFonts w:eastAsia="宋体" w:ascii="Times New Roman" w:hAnsi="Times New Roman"/>
        </w:rPr>
        <w:t>R²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也接近 0。用同期指数日收益解释策略日收益的效果很差——策略日收益里包含大量换仓跳跃、贴水收敛和期货自身价格路径的影响，简单一元回归拆不干净。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5.3 有截距 CAPM 归因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加入截距项后，归因变为：策略收益 = α + β × 指数收益 + ε。α 衡量扣除指数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暴露后的平均日超额。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13 有截距 CAPM 归因：品种、策略、alpha_annual%、t_alpha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/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策略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alpha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_annual%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t_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alpha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beta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t_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beta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R²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beta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_无截距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R²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_无截距</w:t>
            </w:r>
          </w:p>
        </w:tc>
        <w:tc>
          <w:tcPr>
            <w:tcW w:type="dxa" w:w="1054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N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13.79%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1.52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-0.030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-1.28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-0.030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2641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B&lt;-1.5%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8.33%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1.55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0.016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1.12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0.0005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0.016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0.0005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2641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Always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19.12%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1.11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0.084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1.79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0.0037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0.085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0.0038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871</w:t>
            </w:r>
          </w:p>
        </w:tc>
      </w:tr>
      <w:tr>
        <w:trPr/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B&lt;-1.5%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11.03%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1.64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0.008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0.46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0.0002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0.009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0.0003</w:t>
            </w:r>
          </w:p>
        </w:tc>
        <w:tc>
          <w:tcPr>
            <w:tcW w:type="dxa" w:w="105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871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0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0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图13 有截距CAPM归因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说明：日频 </w:t>
      </w:r>
      <w:r>
        <w:rPr>
          <w:b/>
          <w:color w:val="000000"/>
          <w:sz w:val="20"/>
          <w:rFonts w:eastAsia="宋体" w:ascii="Times New Roman" w:hAnsi="Times New Roman"/>
        </w:rPr>
        <w:t>CAPM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下，α 为正但 t 值均低于 2，不能认为有稳定独立 </w:t>
      </w:r>
      <w:r>
        <w:rPr>
          <w:b/>
          <w:color w:val="000000"/>
          <w:sz w:val="20"/>
          <w:rFonts w:eastAsia="宋体" w:ascii="Times New Roman" w:hAnsi="Times New Roman"/>
        </w:rPr>
        <w:t>alpha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。β 和 </w:t>
      </w:r>
      <w:r>
        <w:rPr>
          <w:b/>
          <w:color w:val="000000"/>
          <w:sz w:val="20"/>
          <w:rFonts w:eastAsia="宋体" w:ascii="Times New Roman" w:hAnsi="Times New Roman"/>
        </w:rPr>
        <w:t>R²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也偏低，说明同期指数日收益不能充分解释策略日收益。这个结果并不意味着策略没有权益风险，而是日频收益里混入了合约切换、展期、基差收敛和现金时段等噪声。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为了做一个稳健性检查，进一步用月度收益重新回归：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14 有截距 CAPM 归因：品种、alpha年化%、t(alpha)、beta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/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alpha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年化%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alpha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)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beta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beta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)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R²</w:t>
            </w:r>
          </w:p>
        </w:tc>
        <w:tc>
          <w:tcPr>
            <w:tcW w:type="dxa" w:w="1506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月数</w:t>
            </w:r>
          </w:p>
        </w:tc>
      </w:tr>
      <w:tr>
        <w:trPr/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9.16%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1.94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0.67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12.98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0.566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131</w:t>
            </w:r>
          </w:p>
        </w:tc>
      </w:tr>
      <w:tr>
        <w:trPr/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11.07%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1.32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0.76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8.82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0.649</w:t>
            </w:r>
          </w:p>
        </w:tc>
        <w:tc>
          <w:tcPr>
            <w:tcW w:type="dxa" w:w="15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44</w:t>
            </w:r>
          </w:p>
        </w:tc>
      </w:tr>
    </w:tbl>
    <w:p>
      <w:pPr>
        <w:spacing w:before="0" w:after="0"/>
        <w:ind w:firstLine="0"/>
      </w:pP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月频结果更符合金融直觉：</w:t>
      </w:r>
      <w:r>
        <w:rPr>
          <w:b/>
          <w:color w:val="000000"/>
          <w:sz w:val="24"/>
          <w:rFonts w:eastAsia="宋体" w:ascii="Times New Roman" w:hAnsi="Times New Roman"/>
        </w:rPr>
        <w:t>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的 β 约 0.67，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的 β 约 0.76，</w:t>
      </w:r>
      <w:r>
        <w:rPr>
          <w:b/>
          <w:color w:val="000000"/>
          <w:sz w:val="24"/>
          <w:rFonts w:eastAsia="宋体" w:ascii="Times New Roman" w:hAnsi="Times New Roman"/>
        </w:rPr>
        <w:t>R²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分别为 0.566 和 0.649。这说明策略确实有明显权益方向暴露，只是日频回归容易被期货合约和展期噪声稀释。报告采用的归因结论是：收益来自权益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、贴水收敛和展期补偿的混合，不应把日频残差直接解释为纯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>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6. 补充分析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6.1 成本压力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61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图14 成本压力测试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说明：成本压力测试显示，</w:t>
      </w:r>
      <w:r>
        <w:rPr>
          <w:b/>
          <w:color w:val="000000"/>
          <w:sz w:val="20"/>
          <w:rFonts w:eastAsia="宋体" w:ascii="Times New Roman" w:hAnsi="Times New Roman"/>
        </w:rPr>
        <w:t>IC 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对交易成本并不敏感。原因很直接：策略换手低，主要交易发生在展期时，期货手续费相对名义本金很小。即便成本提高到基准的 10 倍，年化收益下降也有限。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这并不等于策略稳健。成本不是主要矛盾，主要矛盾是市场方向风险和贴水结构能否持续。如果未来股指期货贴水明显收窄，或转入长期升水，策略的收益来源会变弱。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6.2 IC 与 IM 的组合价值</w:t>
      </w:r>
    </w:p>
    <w:p>
      <w:pPr>
        <w:keepNext/>
        <w:spacing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745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7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图15 IC-IM 日收益相关性</w:t>
      </w:r>
    </w:p>
    <w:p>
      <w:pPr>
        <w:spacing w:after="10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说明：IC 和 IM 日收益相关性约为 0.95，说明二者高度同涨同跌。把两个品种简单组合，并不能形成有效分散。对私募组合管理而言，IC 和 IM 更像同一类权益 </w:t>
      </w:r>
      <w:r>
        <w:rPr>
          <w:b/>
          <w:color w:val="000000"/>
          <w:sz w:val="20"/>
          <w:rFonts w:eastAsia="宋体" w:ascii="Times New Roman" w:hAnsi="Times New Roman"/>
        </w:rPr>
        <w:t>beta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暴露的不同载体，而不是两条独立收益曲线。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6.3 交易制度与资金占用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吃贴水策略在实际交易中需要考虑制度层面的约束。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保证金与杠杆。中金所股指期货保证金比例通常在 12% 左右。以 IC 当前约 5500 点的价格计算，一手合约名义本金约 110 万元（5500 × 200），保证金约 13.2 万元。如果初始资金 100 万元，保守估计可以持有 3-5 手，杠杆倍数约 3-5 倍。如果追求更高杠杆，账户内需要保留足够现金应对逐日盯市的浮动亏损——一旦盘中保证金不足又没有及时补缴，持仓会被期货公司强平。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展期操作。主力合约切换日通常伴随着成交量从近月向次近月转移。在换仓当天，需要同时平掉旧合约、开仓新合约。两个操作之间有一个短暂的双边持仓期，这期间的保证金占用会翻倍。如果资金刚好卡在边缘，需要提前准备额外的现金缓冲。实际交易中，可以把展期操作拆到两三天完成，降低瞬时资金压力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交易限制的历史变化。2015 年股灾后，中金所大幅提高了保证金比例（从 10% 提升至 40%）、限制了日内开平仓次数、提高了平今仓手续费。这些限制在 2017-2019 年逐步放宽，但交易制度的不确定性是策略实盘必须面对的风险。2022 年后交易规则已基本恢复常态，但不能排除未来市场异常波动时再次收紧。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合约流动性。主力合约流动性充裕，单笔几十手的买卖对价格冲击可以忽略。但如果策略规模扩大到几百手以上，展期日的操作需要注意时间分布，避免集中在收盘前几分钟同时换仓——这会导致旧合约被压低、新合约被抬高，产生不必要的展期成本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7. 风险与局限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方向风险很重。</w:t>
      </w:r>
      <w:r>
        <w:rPr>
          <w:b w:val="0"/>
          <w:color w:val="000000"/>
          <w:sz w:val="24"/>
          <w:rFonts w:eastAsia="宋体" w:ascii="Times New Roman" w:hAnsi="Times New Roman"/>
        </w:rPr>
        <w:t>吃贴水策略表面上是期货展期策略，实际仍然高度依赖股票指数走势。历史最大回撤超过 50%，不适合低回撤目标。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统计显著性不足。Bootstrap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检验未拒绝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差异为 0 的假设；有截距 </w:t>
      </w:r>
      <w:r>
        <w:rPr>
          <w:b/>
          <w:color w:val="000000"/>
          <w:sz w:val="24"/>
          <w:rFonts w:eastAsia="宋体" w:ascii="Times New Roman" w:hAnsi="Times New Roman"/>
        </w:rPr>
        <w:t>CAPM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中 α 的 t 值均低于 2。样本内看到的超额不能直接推成未来稳定收益。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IM 样本较短。</w:t>
      </w:r>
      <w:r>
        <w:rPr>
          <w:b w:val="0"/>
          <w:color w:val="000000"/>
          <w:sz w:val="24"/>
          <w:rFonts w:eastAsia="宋体" w:ascii="Times New Roman" w:hAnsi="Times New Roman"/>
        </w:rPr>
        <w:t>IM 只有 872 个主力样本交易日，经历的完整市场周期有限，结论稳定性低于 IC。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阈值策略有样本内优化风险。B&lt;-1.5%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在部分指标上更好，但阈值来自样本观察，不代表未来仍然最优。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跨期套利需要更高频数据验证。</w:t>
      </w:r>
      <w:r>
        <w:rPr>
          <w:b w:val="0"/>
          <w:color w:val="000000"/>
          <w:sz w:val="24"/>
          <w:rFonts w:eastAsia="宋体" w:ascii="Times New Roman" w:hAnsi="Times New Roman"/>
        </w:rPr>
        <w:t>日频、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执行下没有可交易结果；代表性布林带条件下甚至没有形成有效触发。问题不在参数选择，而在日频价差机会太薄。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风险控制不解决问题。</w:t>
      </w:r>
      <w:r>
        <w:rPr>
          <w:b w:val="0"/>
          <w:color w:val="000000"/>
          <w:sz w:val="24"/>
          <w:rFonts w:eastAsia="宋体" w:ascii="Times New Roman" w:hAnsi="Times New Roman"/>
        </w:rPr>
        <w:t>波动率目标和回撤控制可以降低波动和回撤，但夏普全部为负——策略的超额本身不够厚，经不起降杠杆和频繁调仓的摩擦。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市场状态依赖严重。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牛市和熊市中的表现天差地别，深度贴水期反而是亏损最重的阶段。不能把贴水本身当作独立的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制度风险不能忽略。</w:t>
      </w:r>
      <w:r>
        <w:rPr>
          <w:b w:val="0"/>
          <w:color w:val="000000"/>
          <w:sz w:val="24"/>
          <w:rFonts w:eastAsia="宋体" w:ascii="Times New Roman" w:hAnsi="Times New Roman"/>
        </w:rPr>
        <w:t>股指期货历史上经历过手续费、保证金、开平仓限制等规则变化，策略实盘表现会受交易制度影响。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组合分散无效。</w:t>
      </w:r>
      <w:r>
        <w:rPr>
          <w:b w:val="0"/>
          <w:color w:val="000000"/>
          <w:sz w:val="24"/>
          <w:rFonts w:eastAsia="宋体" w:ascii="Times New Roman" w:hAnsi="Times New Roman"/>
        </w:rPr>
        <w:t>IC 和 IM 相关性 0.95，不能相互对冲风险。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样本外验证不充分。</w:t>
      </w:r>
      <w:r>
        <w:rPr>
          <w:b w:val="0"/>
          <w:color w:val="000000"/>
          <w:sz w:val="24"/>
          <w:rFonts w:eastAsia="宋体" w:ascii="Times New Roman" w:hAnsi="Times New Roman"/>
        </w:rPr>
        <w:t>IC 测试期（2021-2026）未经历 2015 年级别的极端行情，测试期表现好不能证明策略在极端市场中仍然有效。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8. 结论与建议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8.1 投资建议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吃贴水策略的定位应该非常明确：带有展期补偿的股指期货多头工具，不是市场中性套利。</w:t>
      </w:r>
    </w:p>
    <w:p>
      <w:pPr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对不同类型的资金，建议如下：</w:t>
      </w:r>
    </w:p>
    <w:p>
      <w:pPr>
        <w:pStyle w:val="ListBullet"/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指增/方向性产品：可以配置吃贴水策略作为指数增强模块。相比 ETF 或指数基金，期货贴水提供了额外的展期补偿，年化增厚约 3-9 个百分点（视品种和时段）。需要明确告知投资者，这种增强在熊市中不能避免亏损，只是比直接持有指数少亏一些。</w:t>
      </w:r>
    </w:p>
    <w:p>
      <w:pPr>
        <w:pStyle w:val="ListBullet"/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绝对收益/低回撤产品：不建议单独配置。策略最大回撤超过 50%，远超出绝对收益产品的风控红线。如果一定要用，需要搭配严格的风控止损和杠杆限制，但如 §3.6 所示，风控会显著侵蚀收益。</w:t>
      </w:r>
    </w:p>
    <w:p>
      <w:pPr>
        <w:pStyle w:val="ListBullet"/>
        <w:spacing w:line="400" w:lineRule="exact" w:after="0" w:before="0"/>
        <w:ind w:left="0" w:right="0" w:firstLine="42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多策略组合：可以作为组合中的权益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暴露来源之一，占组合仓位的 10-20%。需要同时配置与权益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负相关或不相关的其他策略（如商品 CTA、期权卖方、国债期货等），否则组合层面仍然是一个方向性押注。</w:t>
      </w:r>
    </w:p>
    <w:p>
      <w:pPr>
        <w:pStyle w:val="Heading2"/>
        <w:keepNext/>
        <w:spacing w:line="400" w:lineRule="exact" w:after="60" w:before="14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8.2 后续研究方向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更高频的跨期价差数据。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日频 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框架下，价差偏离触发太少，完整参数扫描没有正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>。如果能在 5 分钟或 tick 级别数据上回测，才有可能判断是否存在日内回归机会。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多腿价差策略。</w:t>
      </w:r>
      <w:r>
        <w:rPr>
          <w:b w:val="0"/>
          <w:color w:val="000000"/>
          <w:sz w:val="24"/>
          <w:rFonts w:eastAsia="宋体" w:ascii="Times New Roman" w:hAnsi="Times New Roman"/>
        </w:rPr>
        <w:t>近月-次近月两腿价差受单一合约到期效应影响大。蝶式套利（三腿：近月-次近月-远月）可能提供更稳定的均值回复特征。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展期日优化。</w:t>
      </w:r>
      <w:r>
        <w:rPr>
          <w:b w:val="0"/>
          <w:color w:val="000000"/>
          <w:sz w:val="24"/>
          <w:rFonts w:eastAsia="宋体" w:ascii="Times New Roman" w:hAnsi="Times New Roman"/>
        </w:rPr>
        <w:t>当前展期规则是到期前固定窗口，没有利用展期日附近的价差变化。可以研究在展期窗口内动态选择最优换仓日，减少展期成本。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引入其他 alpha 来源。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IC/IM 相关性 0.95，品种维度无法分散。需要考虑完全不同的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来源（期权波动率曲面、可转债、CTA 等）来构建真正的多策略组合。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机器学习基差预测。</w:t>
      </w:r>
      <w:r>
        <w:rPr>
          <w:b w:val="0"/>
          <w:color w:val="000000"/>
          <w:sz w:val="24"/>
          <w:rFonts w:eastAsia="宋体" w:ascii="Times New Roman" w:hAnsi="Times New Roman"/>
        </w:rPr>
        <w:t>当前基差阈值是静态的。可以尝试用市场情绪、资金流向、波动率曲面等特征预测贴水结构的变化方向，动态调整仓位。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实盘交易制度模拟。</w:t>
      </w:r>
      <w:r>
        <w:rPr>
          <w:b w:val="0"/>
          <w:color w:val="000000"/>
          <w:sz w:val="24"/>
          <w:rFonts w:eastAsia="宋体" w:ascii="Times New Roman" w:hAnsi="Times New Roman"/>
        </w:rPr>
        <w:t>加入保证金逐日监控、涨跌停限制、交割月限仓等制度细节，评估策略在真实交易约束下的可行性和资金效率。</w:t>
      </w:r>
    </w:p>
    <w:p>
      <w:pPr>
        <w:pStyle w:val="ListNumber"/>
        <w:spacing w:line="400" w:lineRule="exact" w:after="0" w:before="0"/>
        <w:ind w:left="0" w:right="0" w:firstLine="42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分红调整后的真实基差。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当前基差使用未经分红调整的指数价格。中证 </w:t>
      </w:r>
      <w:r>
        <w:rPr>
          <w:b/>
          <w:color w:val="000000"/>
          <w:sz w:val="24"/>
          <w:rFonts w:eastAsia="宋体" w:ascii="Times New Roman" w:hAnsi="Times New Roman"/>
        </w:rPr>
        <w:t>500/1000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成分股每年 5-8 月集中分红，分红期间现货指数自然下跌，会虚增贴水幅度。用分红调整后的指数计算基差，可以更准确衡量展期补偿。</w:t>
      </w:r>
    </w:p>
    <w:p>
      <w:pPr>
        <w:pStyle w:val="Heading1"/>
        <w:keepNext/>
        <w:spacing w:line="400" w:lineRule="exact" w:after="100" w:before="200"/>
        <w:ind w:left="0" w:firstLine="0"/>
        <w:jc w:val="left"/>
      </w:pPr>
      <w:r>
        <w:rPr>
          <w:rFonts w:ascii="Times New Roman" w:hAnsi="Times New Roman" w:eastAsia="黑体"/>
          <w:b/>
          <w:color w:val="000000"/>
          <w:sz w:val="29"/>
        </w:rPr>
        <w:t>附录：图表清单</w:t>
      </w:r>
    </w:p>
    <w:p>
      <w:pPr>
        <w:keepNext/>
        <w:spacing w:before="80" w:after="60"/>
        <w:ind w:left="0" w:right="0" w:firstLine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15 附录：图表清单：图号、文件、内容</w:t>
      </w:r>
    </w:p>
    <w:tbl>
      <w:tblPr>
        <w:tblStyle w:val="TableGrid"/>
        <w:tblW w:type="dxa" w:w="10546"/>
        <w:tblLook w:firstColumn="1" w:firstRow="1" w:lastColumn="0" w:lastRow="0" w:noHBand="0" w:noVBand="1" w:val="04A0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213"/>
        <w:gridCol w:w="3213"/>
        <w:gridCol w:w="3213"/>
      </w:tblGrid>
      <w:tr>
        <w:trPr/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图号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文件</w:t>
            </w:r>
          </w:p>
        </w:tc>
        <w:tc>
          <w:tcPr>
            <w:tcW w:type="dxa" w:w="3515"/>
            <w:vAlign w:val="center"/>
            <w:shd w:fill="EDEDED" w:val="clea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内容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fig_roll_yield.png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展期收益分布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2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fig_nav.png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策略净值曲线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3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fig_annual.png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年度收益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4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fig_drawdown.png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回撤曲线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5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fig_heatmap.png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参数敏感性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6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fig_oos_validation.png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样本外验证（训练/测试期对比）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7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fig_regime_segmentation.png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市场状态分段分析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8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fig_risk_control.png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风险控制策略 NAV 对比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9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fig_spread.png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跨期价差与布林带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10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fig_spread_failure.png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跨期套利失败原因拆解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11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fig_bootstrap.png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Bootstrap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检验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12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fig_attribution.png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收益归因（无截距）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13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fig_capm_attribution.png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有截距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CAPM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归因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14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fig_cost_stress.png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成本压力</w:t>
            </w:r>
          </w:p>
        </w:tc>
      </w:tr>
      <w:tr>
        <w:trPr/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15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fig_correlation.png</w:t>
            </w:r>
          </w:p>
        </w:tc>
        <w:tc>
          <w:tcPr>
            <w:tcW w:type="dxa" w:w="351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 w:val="clear"/>
          </w:tcPr>
          <w:p>
            <w:pPr>
              <w:spacing w:before="0" w:after="0"/>
              <w:ind w:left="0" w:right="0" w:firstLine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IC-IM 相关性</w:t>
            </w:r>
          </w:p>
        </w:tc>
      </w:tr>
    </w:tbl>
    <w:p>
      <w:pPr>
        <w:spacing w:before="0" w:after="0"/>
        <w:ind w:firstLine="0"/>
      </w:pPr>
    </w:p>
    <w:sectPr w:rsidR="00FC693F" w:rsidRPr="0006063C" w:rsidSect="00034616">
      <w:pgSz w:w="11906" w:h="16838"/>
      <w:pgMar w:top="709" w:right="680" w:bottom="68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20"/>
      <w:jc w:val="both"/>
    </w:pPr>
    <w:rPr>
      <w:rFonts w:ascii="Times New Roman" w:hAnsi="Times New Roman" w:eastAsia="??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Rule="exact" w:line="40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??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Rule="exact" w:line="40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??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Rule="exact" w:line="40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??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