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数据与交易口径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基差与展期收益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吃贴水策略回测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统计验证与收益归因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风险与局限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结论与建议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9.62%（指数 0.83%），IM Always 15.88%（指数 5.31%），超额来自期货贴水结构下的基差收敛与展期补偿。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-61.38%，IM Always -50.81%，策略本质是指数多头替代而非市场中性套利。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Sharpe 差异 95% CI [-0.1669, 0.8246]，p = 0.1980；IM CI [-0.4077, 1.0583]，p = 0.4100。置信区间覆盖 0，统计上不能拒绝"超额为 0"的原假设。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T+1）不可行：IC 和 IM 各 16 组参数扫描，均无正 Sharpe。限制不在参数选择，在日频收盘价下价差可捕捉偏离太少。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风险控制（波动率目标/回撤控制）可降回撤，但夏普全部转负——贴水补偿的厚度不足以支撑降杠杆后的交易摩擦。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本报告所有数据均来源于 data/ 目录下 4 个 Excel 文件，指标计算与策略回测在 Notebook 中完成。后续表格不再重复说明数据出处。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-54.12%，不应解读为策略已通过样本外检验。IM 仅 872 个交易日，样本过短无法形成稳定滚动窗口，不做样本外拆分。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使用近月-次近月价差。当价差偏离滚动均值（lookback 日）超过 K 倍标准差时开仓，回归至均值附近时平仓。参数空间：K ∈ {1.0, 1.5, 2.0, 2.5}，lookback ∈ {30, 60, 90, 120}，共 16 组。信号 T 日收盘计算，T+1 日收盘执行。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跨期价差与布林带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9：IC 和 IM 的价差围绕均值波动，但突破布林带后的回归并不稳定。日频下回归幅度有限，扣除双边手续费和滑点后剩余空间狭窄。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T+1 执行下，IC 和 IM 均无任何参数组合取得正 Sharpe。部分参数触发了交易但收益为负或接近零；多数参数未形成有效交易。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失败原因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代表性布林带参数（K=2.0, lookback=60）下的信号拆解：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跨期套利信号统计：展示跨期套利在代表性布林带参数下的信号触发率与方向正确率。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信号总数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信号频率%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价差均值(点)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价差波动(点)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平均偏离(点)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方向正确率%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平均价差变化(点)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单笔成本(点)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正 Sharpe 组数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37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跨期套利信号拆解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说明：展示代表性布林带参数下的信号分布和 T+1 执行后的实际收益。日频收盘价下可捕捉偏离太少，T+1 执行进一步错过短暂回归机会。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10：代表性参数下两品种均无有效触发。完整 16 组参数扫描亦无正 Sharpe 组合。结论比"成本太高"更根本：日频收盘价下，近月-次近月价差的可捕捉偏离过少，T+1 执行进一步错过了可能存在的盘中回归。后续若继续此方向，应优先获取分钟级行情和盘口数据，而非在日频参数上做网格搜索。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统计检验与收益归因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Block Bootstrap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无截距归因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有截距 CAPM 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IC 与 IM 的相关性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15：IC 与 IM 吃贴水策略日收益相关性约 0.95。两品种高度同步，简单等权组合无法提供有效分散。在组合管理中，IC 和 IM 更宜视为同一权益 beta 因子的不同载体。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制度约束与资金占用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风险提示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B&lt;-1.5% 阈值为样本内观察，不代表未来最优。参数在样本内存在过拟合风险。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跨期套利在日频 T+1 下无交易价值。若使用更高频数据，结论可能不同。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风控版本夏普均为负，策略的贴水补偿不足以支撑降杠杆和调仓摩擦。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股指期货历史上经历过手续费、保证金和开平仓限制的重大变化，制度风险不可忽视。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当前基差未经分红调整。中证 500/1000 成分股每年 5-8 月集中分红，期间现货指数自然下跌会虚增贴水幅度。用分红调整后指数计算基差，可更准确衡量展期补偿。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结论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对指增/方向性产品，策略可作为指数增强模块，年化增厚约 3-9pp（视品种和时段）。对绝对收益/低回撤产品，不建议单独配置。对多策略组合，可占 10-20% 仓位作为权益 beta 来源，但需搭配与权益负相关或不相关的策略。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优先后续方向：（1）分钟级行情回测跨期价差；（2）多腿价差（蝶式套利）探索更稳定的均值回复结构；（3）分红调整基差以更准确衡量展期补偿；（4）引入与权益 beta 不相关的 alpha 来源。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图表清单：报告中全部 15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跨期价差与布林带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fig_spread_failure.png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跨期套利失败原因拆解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