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 w:after="360"/>
        <w:ind w:firstLine="0"/>
        <w:jc w:val="center"/>
      </w:pPr>
      <w:r>
        <w:rPr>
          <w:rFonts w:ascii="Times New Roman" w:hAnsi="Times New Roman" w:eastAsia="??"/>
          <w:b/>
          <w:color w:val="1F4E79"/>
          <w:sz w:val="44"/>
        </w:rPr>
        <w:t>股指期货吃贴水与跨期套利策略研究</w:t>
      </w:r>
    </w:p>
    <w:p>
      <w:pPr>
        <w:spacing w:after="720"/>
        <w:ind w:firstLine="0"/>
        <w:jc w:val="center"/>
      </w:pPr>
      <w:r>
        <w:rPr>
          <w:rFonts w:ascii="Times New Roman" w:hAnsi="Times New Roman" w:eastAsia="??"/>
          <w:b w:val="0"/>
          <w:color w:val="464646"/>
          <w:sz w:val="28"/>
        </w:rPr>
        <w:t>金融程序化交易</w:t>
      </w:r>
    </w:p>
    <w:tbl>
      <w:tblPr>
        <w:tblStyle w:val="TableGrid"/>
        <w:tblW w:type="dxa" w:w="8958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479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9"/>
              </w:rPr>
              <w:t>研究对象</w:t>
            </w:r>
          </w:p>
        </w:tc>
        <w:tc>
          <w:tcPr>
            <w:tcW w:type="dxa" w:w="447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1F4E79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9"/>
              </w:rPr>
              <w:t>IC/IM 股指期货吃贴水与跨期套利</w:t>
            </w:r>
          </w:p>
        </w:tc>
      </w:tr>
      <w:tr>
        <w:tc>
          <w:tcPr>
            <w:tcW w:type="dxa" w:w="4479"/>
            <w:vAlign w:val="center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sz w:val="19"/>
              </w:rPr>
              <w:t>数据区间</w:t>
            </w:r>
          </w:p>
        </w:tc>
        <w:tc>
          <w:tcPr>
            <w:tcW w:type="dxa" w:w="447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IC 2015-04 至 2026-03 / IM 2022-07 至 2026-03</w:t>
            </w:r>
          </w:p>
        </w:tc>
      </w:tr>
      <w:tr>
        <w:tc>
          <w:tcPr>
            <w:tcW w:type="dxa" w:w="4479"/>
            <w:vAlign w:val="center"/>
            <w:shd w:fill="F7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sz w:val="19"/>
              </w:rPr>
              <w:t>策略口径</w:t>
            </w:r>
          </w:p>
        </w:tc>
        <w:tc>
          <w:tcPr>
            <w:tcW w:type="dxa" w:w="447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做多主力合约 + 到期前展期，T+1 执行，含手续费与滑点</w:t>
            </w:r>
          </w:p>
        </w:tc>
      </w:tr>
      <w:tr>
        <w:tc>
          <w:tcPr>
            <w:tcW w:type="dxa" w:w="4479"/>
            <w:vAlign w:val="center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sz w:val="19"/>
              </w:rPr>
              <w:t>评估维度</w:t>
            </w:r>
          </w:p>
        </w:tc>
        <w:tc>
          <w:tcPr>
            <w:tcW w:type="dxa" w:w="447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收益、稳定性、可交易性、可复现性</w:t>
            </w:r>
          </w:p>
        </w:tc>
      </w:tr>
    </w:tbl>
    <w:p>
      <w:pPr>
        <w:spacing w:before="0" w:after="0"/>
        <w:ind w:firstLine="0"/>
      </w:pPr>
      <w:r>
        <w:br w:type="page"/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/>
          <w:sz w:val="24"/>
        </w:rPr>
        <w:t>报告目录</w:t>
      </w:r>
    </w:p>
    <w:p>
      <w:pPr>
        <w:spacing w:line="400" w:lineRule="exact" w:after="0"/>
        <w:ind w:firstLine="0" w:left="3061"/>
        <w:jc w:val="left"/>
      </w:pPr>
      <w:r>
        <w:rPr>
          <w:rFonts w:ascii="Times New Roman" w:hAnsi="Times New Roman" w:eastAsia="??"/>
          <w:b w:val="0"/>
          <w:color w:val="323232"/>
          <w:sz w:val="23"/>
        </w:rPr>
        <w:t>主要结论</w:t>
      </w:r>
    </w:p>
    <w:p>
      <w:pPr>
        <w:spacing w:line="400" w:lineRule="exact" w:after="0"/>
        <w:ind w:firstLine="0" w:left="3061"/>
        <w:jc w:val="left"/>
      </w:pPr>
      <w:r>
        <w:rPr>
          <w:rFonts w:ascii="Times New Roman" w:hAnsi="Times New Roman" w:eastAsia="??"/>
          <w:b w:val="0"/>
          <w:color w:val="323232"/>
          <w:sz w:val="23"/>
        </w:rPr>
        <w:t>1. 数据与交易口径</w:t>
      </w:r>
    </w:p>
    <w:p>
      <w:pPr>
        <w:spacing w:line="400" w:lineRule="exact" w:after="0"/>
        <w:ind w:firstLine="0" w:left="3061"/>
        <w:jc w:val="left"/>
      </w:pPr>
      <w:r>
        <w:rPr>
          <w:rFonts w:ascii="Times New Roman" w:hAnsi="Times New Roman" w:eastAsia="??"/>
          <w:b w:val="0"/>
          <w:color w:val="323232"/>
          <w:sz w:val="23"/>
        </w:rPr>
        <w:t>2. 基差与展期收益</w:t>
      </w:r>
    </w:p>
    <w:p>
      <w:pPr>
        <w:spacing w:line="400" w:lineRule="exact" w:after="0"/>
        <w:ind w:firstLine="0" w:left="3061"/>
        <w:jc w:val="left"/>
      </w:pPr>
      <w:r>
        <w:rPr>
          <w:rFonts w:ascii="Times New Roman" w:hAnsi="Times New Roman" w:eastAsia="??"/>
          <w:b w:val="0"/>
          <w:color w:val="323232"/>
          <w:sz w:val="23"/>
        </w:rPr>
        <w:t>3. 吃贴水策略回测</w:t>
      </w:r>
    </w:p>
    <w:p>
      <w:pPr>
        <w:spacing w:line="400" w:lineRule="exact" w:after="0"/>
        <w:ind w:firstLine="0" w:left="3061"/>
        <w:jc w:val="left"/>
      </w:pPr>
      <w:r>
        <w:rPr>
          <w:rFonts w:ascii="Times New Roman" w:hAnsi="Times New Roman" w:eastAsia="??"/>
          <w:b w:val="0"/>
          <w:color w:val="323232"/>
          <w:sz w:val="23"/>
        </w:rPr>
        <w:t>4. 跨期套利策略</w:t>
      </w:r>
    </w:p>
    <w:p>
      <w:pPr>
        <w:spacing w:line="400" w:lineRule="exact" w:after="0"/>
        <w:ind w:firstLine="0" w:left="3061"/>
        <w:jc w:val="left"/>
      </w:pPr>
      <w:r>
        <w:rPr>
          <w:rFonts w:ascii="Times New Roman" w:hAnsi="Times New Roman" w:eastAsia="??"/>
          <w:b w:val="0"/>
          <w:color w:val="323232"/>
          <w:sz w:val="23"/>
        </w:rPr>
        <w:t>5. 统计验证与收益归因</w:t>
      </w:r>
    </w:p>
    <w:p>
      <w:pPr>
        <w:spacing w:line="400" w:lineRule="exact" w:after="0"/>
        <w:ind w:firstLine="0" w:left="3061"/>
        <w:jc w:val="left"/>
      </w:pPr>
      <w:r>
        <w:rPr>
          <w:rFonts w:ascii="Times New Roman" w:hAnsi="Times New Roman" w:eastAsia="??"/>
          <w:b w:val="0"/>
          <w:color w:val="323232"/>
          <w:sz w:val="23"/>
        </w:rPr>
        <w:t>6. 补充分析</w:t>
      </w:r>
    </w:p>
    <w:p>
      <w:pPr>
        <w:spacing w:line="400" w:lineRule="exact" w:after="0"/>
        <w:ind w:firstLine="0" w:left="3061"/>
        <w:jc w:val="left"/>
      </w:pPr>
      <w:r>
        <w:rPr>
          <w:rFonts w:ascii="Times New Roman" w:hAnsi="Times New Roman" w:eastAsia="??"/>
          <w:b w:val="0"/>
          <w:color w:val="323232"/>
          <w:sz w:val="23"/>
        </w:rPr>
        <w:t>7. 风险与局限</w:t>
      </w:r>
    </w:p>
    <w:p>
      <w:pPr>
        <w:spacing w:line="400" w:lineRule="exact" w:after="0"/>
        <w:ind w:firstLine="0" w:left="3061"/>
        <w:jc w:val="left"/>
      </w:pPr>
      <w:r>
        <w:rPr>
          <w:rFonts w:ascii="Times New Roman" w:hAnsi="Times New Roman" w:eastAsia="??"/>
          <w:b w:val="0"/>
          <w:color w:val="323232"/>
          <w:sz w:val="23"/>
        </w:rPr>
        <w:t>8. 结论与建议</w:t>
      </w:r>
    </w:p>
    <w:p>
      <w:pPr>
        <w:spacing w:line="400" w:lineRule="exact" w:after="0"/>
        <w:ind w:firstLine="0" w:left="3061"/>
        <w:jc w:val="left"/>
      </w:pPr>
      <w:r>
        <w:rPr>
          <w:rFonts w:ascii="Times New Roman" w:hAnsi="Times New Roman" w:eastAsia="??"/>
          <w:b w:val="0"/>
          <w:color w:val="323232"/>
          <w:sz w:val="23"/>
        </w:rPr>
        <w:t>附录：图表清单</w:t>
      </w:r>
    </w:p>
    <w:p>
      <w:pPr>
        <w:spacing w:before="0" w:after="0"/>
        <w:ind w:firstLine="0"/>
      </w:pPr>
      <w:r>
        <w:br w:type="page"/>
      </w:r>
    </w:p>
    <w:p>
      <w:pPr>
        <w:pStyle w:val="Heading1"/>
        <w:keepNext/>
        <w:spacing w:line="400" w:lineRule="exact" w:after="120" w:before="200"/>
        <w:ind w:firstLine="0" w:left="0"/>
        <w:jc w:val="left"/>
      </w:pPr>
      <w:r>
        <w:rPr>
          <w:rFonts w:ascii="Times New Roman" w:hAnsi="Times New Roman" w:eastAsia="??"/>
          <w:b/>
          <w:color w:val="1F4E79"/>
          <w:sz w:val="32"/>
        </w:rPr>
        <w:t>股指期货吃贴水与跨期套利策略研究</w:t>
      </w:r>
    </w:p>
    <w:p>
      <w:pPr>
        <w:pStyle w:val="Heading1"/>
        <w:keepNext/>
        <w:spacing w:line="400" w:lineRule="exact" w:after="120" w:before="200"/>
        <w:ind w:firstLine="0" w:left="0"/>
        <w:jc w:val="left"/>
      </w:pPr>
      <w:r>
        <w:rPr>
          <w:rFonts w:ascii="Times New Roman" w:hAnsi="Times New Roman" w:eastAsia="??"/>
          <w:b/>
          <w:color w:val="1F4E79"/>
          <w:sz w:val="32"/>
        </w:rPr>
        <w:t>主要结论</w:t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本报告研究 IC（中证500股指期货）和 IM（中证1000股指期货）两个品种，重点评估四件事：第一，长期做多贴水期货并展期是否能跑赢现货指数；第二，近月与次近月价差是否能形成独立的跨期套利；第三，IC 与 IM 组合后是否能改善风险收益特征；第四，策略在不同市场状态下的表现差异以及风险控制手段是否有效。</w:t>
      </w:r>
    </w:p>
    <w:tbl>
      <w:tblPr>
        <w:tblStyle w:val="TableGrid"/>
        <w:tblW w:type="dxa" w:w="8958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479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479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9"/>
              </w:rPr>
              <w:t>口径</w:t>
            </w:r>
          </w:p>
        </w:tc>
      </w:tr>
      <w:tr>
        <w:tc>
          <w:tcPr>
            <w:tcW w:type="dxa" w:w="447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研究标的</w:t>
            </w:r>
          </w:p>
        </w:tc>
        <w:tc>
          <w:tcPr>
            <w:tcW w:type="dxa" w:w="447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IC 与 IM 主力合约，交易标的使用真实合约代码</w:t>
            </w:r>
          </w:p>
        </w:tc>
      </w:tr>
      <w:tr>
        <w:tc>
          <w:tcPr>
            <w:tcW w:type="dxa" w:w="447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数据区间</w:t>
            </w:r>
          </w:p>
        </w:tc>
        <w:tc>
          <w:tcPr>
            <w:tcW w:type="dxa" w:w="447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IC：2015-04-16 至 2026-03-02；IM：2022-07-22 至 2026-03-02</w:t>
            </w:r>
          </w:p>
        </w:tc>
      </w:tr>
      <w:tr>
        <w:tc>
          <w:tcPr>
            <w:tcW w:type="dxa" w:w="447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交易假设</w:t>
            </w:r>
          </w:p>
        </w:tc>
        <w:tc>
          <w:tcPr>
            <w:tcW w:type="dxa" w:w="447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T 日收盘后产生信号，T+1 日按收盘价成交</w:t>
            </w:r>
          </w:p>
        </w:tc>
      </w:tr>
      <w:tr>
        <w:tc>
          <w:tcPr>
            <w:tcW w:type="dxa" w:w="447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成本假设</w:t>
            </w:r>
          </w:p>
        </w:tc>
        <w:tc>
          <w:tcPr>
            <w:tcW w:type="dxa" w:w="447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手续费万分之 0.23，滑点 0.2 指数点，合约乘数 200 元/点</w:t>
            </w:r>
          </w:p>
        </w:tc>
      </w:tr>
      <w:tr>
        <w:tc>
          <w:tcPr>
            <w:tcW w:type="dxa" w:w="447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策略方向</w:t>
            </w:r>
          </w:p>
        </w:tc>
        <w:tc>
          <w:tcPr>
            <w:tcW w:type="dxa" w:w="447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吃贴水多头、基差阈值择时、近月-次近月跨期价差</w:t>
            </w:r>
          </w:p>
        </w:tc>
      </w:tr>
      <w:tr>
        <w:tc>
          <w:tcPr>
            <w:tcW w:type="dxa" w:w="447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评价重点</w:t>
            </w:r>
          </w:p>
        </w:tc>
        <w:tc>
          <w:tcPr>
            <w:tcW w:type="dxa" w:w="447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收益、回撤、统计显著性、交易可执行性、可复现性</w:t>
            </w:r>
          </w:p>
        </w:tc>
      </w:tr>
    </w:tbl>
    <w:p>
      <w:pPr>
        <w:spacing w:before="0" w:after="0"/>
        <w:ind w:firstLine="0"/>
      </w:pP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样本内，吃贴水多头策略确实跑赢指数。IC Always 策略年化收益 9.62%，高于 IC 指数的 0.83%；IM Always 策略年化收益 15.88%，高于 IM 指数的 5.31%。但这不是低风险套利。IC Always 最大回撤达到 -61.38%，IM Always 最大回撤达到 -50.81%，说明策略仍然承担很重的指数方向风险。</w:t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统计检验的结果是：Block Bootstrap 检验显示，IC 策略相对指数的 Sharpe 差异 95% 置信区间为 [-0.1669, 0.8246]，p 值为 0.1980；IM 对应区间为 [-0.4077, 1.0583]，p 值为 0.4100。两个品种的置信区间都覆盖 0，不能认为策略在统计意义上显著优于指数。</w:t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市场状态分段分析进一步证实了这个判断。策略收益高度依赖市场方向：IC 在上涨期年化 47.60%，下跌期年化 -13.10%；IM 在上涨期年化 84.70%，下跌期年化 -39.00%。贴水深度有一定解释力，但不能单独作为加仓信号。风险控制版本可以明显压低回撤，但收益也同步下降，说明策略的核心矛盾仍是方向风险和贴水补偿之间的权衡。</w:t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跨期价差策略的拆解给出的结论更直接：在代表性布林带条件下，IC 和 IM 都没有形成有效触发；完整参数扫描中也没有任何一组取得正 Sharpe。问题不是换一个阈值就能解决，而是日频价差机会本身太薄，T+1 执行无法捕捉到足够稳定的回归空间。</w:t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我的判断是：吃贴水策略可以作为指数多头的增强型工具，而不是绝对收益套利。它的优势来自期货贴水结构下的基差收敛和展期补偿；它的主要风险来自指数本身的涨跌。跨期价差策略在本次日频、T+1 执行条件下没有表现出交易价值。后续如果要在这一方向深入，应该优先做两件事：一是获取更高频数据检验跨期价差，二是寻找与股指 beta 不相关的其他 alpha 来源。</w:t>
      </w:r>
    </w:p>
    <w:p>
      <w:pPr>
        <w:pStyle w:val="Heading1"/>
        <w:keepNext/>
        <w:spacing w:line="400" w:lineRule="exact" w:after="120" w:before="200"/>
        <w:ind w:firstLine="0" w:left="0"/>
        <w:jc w:val="left"/>
      </w:pPr>
      <w:r>
        <w:rPr>
          <w:rFonts w:ascii="Times New Roman" w:hAnsi="Times New Roman" w:eastAsia="??"/>
          <w:b/>
          <w:color w:val="1F4E79"/>
          <w:sz w:val="32"/>
        </w:rPr>
        <w:t>1. 数据与交易口径</w:t>
      </w:r>
    </w:p>
    <w:p>
      <w:pPr>
        <w:pStyle w:val="Heading2"/>
        <w:keepNext/>
        <w:spacing w:line="400" w:lineRule="exact" w:after="80" w:before="120"/>
        <w:ind w:firstLine="0" w:left="0"/>
        <w:jc w:val="left"/>
      </w:pPr>
      <w:r>
        <w:rPr>
          <w:rFonts w:ascii="Times New Roman" w:hAnsi="Times New Roman" w:eastAsia="??"/>
          <w:b/>
          <w:color w:val="1F4E79"/>
          <w:sz w:val="28"/>
        </w:rPr>
        <w:t>1.1 数据来源与清洗</w:t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研究使用 4 个原始 Excel 文件：ic_data.xlsx、im_data.xlsx、000905.xlsx、000852.xlsx。期货数据包含合约代码、OHLC、成交量、持仓量、主力标志和基差字段；指数数据提供对应现货指数的收盘价。</w:t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数据清洗的关键点有三个。第一，期货 Excel 的中文列名中包含不间断空格，需要先清理列名再映射字段。第二，连续合约序列只用于分析和展示，真实回测只能使用如 IC2306、IM2409 这类可交易合约代码。第三，主力合约由数据自带的 main_force == 1 标志筛选，不手工拼接主力序列。</w:t>
      </w:r>
    </w:p>
    <w:tbl>
      <w:tblPr>
        <w:tblStyle w:val="TableGrid"/>
        <w:tblW w:type="dxa" w:w="8958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986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9"/>
              </w:rPr>
              <w:t>检查项</w:t>
            </w:r>
          </w:p>
        </w:tc>
        <w:tc>
          <w:tcPr>
            <w:tcW w:type="dxa" w:w="2986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9"/>
              </w:rPr>
              <w:t>IC</w:t>
            </w:r>
          </w:p>
        </w:tc>
        <w:tc>
          <w:tcPr>
            <w:tcW w:type="dxa" w:w="2986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9"/>
              </w:rPr>
              <w:t>IM</w:t>
            </w:r>
          </w:p>
        </w:tc>
      </w:tr>
      <w:tr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全量期货样本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10568 行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3488 行</w:t>
            </w:r>
          </w:p>
        </w:tc>
      </w:tr>
      <w:tr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主力合约样本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2642 行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872 行</w:t>
            </w:r>
          </w:p>
        </w:tc>
      </w:tr>
      <w:tr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主力样本日期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2015-04-16 ~ 2026-03-02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2022-07-22 ~ 2026-03-02</w:t>
            </w:r>
          </w:p>
        </w:tc>
      </w:tr>
      <w:tr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主力合约切换次数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131 次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44 次</w:t>
            </w:r>
          </w:p>
        </w:tc>
      </w:tr>
      <w:tr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指数匹配率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100.0%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100.0%</w:t>
            </w:r>
          </w:p>
        </w:tc>
      </w:tr>
      <w:tr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距到期日范围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1 ~ 50 天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1 ~ 50 天</w:t>
            </w:r>
          </w:p>
        </w:tc>
      </w:tr>
      <w:tr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合约切换跳空范围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-13.96% ~ 4.25%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-4.91% ~ 4.28%</w:t>
            </w:r>
          </w:p>
        </w:tc>
      </w:tr>
    </w:tbl>
    <w:p>
      <w:pPr>
        <w:spacing w:before="0" w:after="0"/>
        <w:ind w:firstLine="0"/>
      </w:pP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这组数据的一个特点是 IC 样本明显更长，覆盖 2015 年以来多个市场阶段；IM 从 2022 年才开始，样本期更短，结论稳定性天然弱一些。报告后面对 IM 的判断都按这个前提理解。</w:t>
      </w:r>
    </w:p>
    <w:p>
      <w:pPr>
        <w:pStyle w:val="Heading2"/>
        <w:keepNext/>
        <w:spacing w:line="400" w:lineRule="exact" w:after="80" w:before="120"/>
        <w:ind w:firstLine="0" w:left="0"/>
        <w:jc w:val="left"/>
      </w:pPr>
      <w:r>
        <w:rPr>
          <w:rFonts w:ascii="Times New Roman" w:hAnsi="Times New Roman" w:eastAsia="??"/>
          <w:b/>
          <w:color w:val="1F4E79"/>
          <w:sz w:val="28"/>
        </w:rPr>
        <w:t>1.2 回测假设</w:t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所有策略使用统一的交易口径：</w:t>
      </w:r>
    </w:p>
    <w:tbl>
      <w:tblPr>
        <w:tblStyle w:val="TableGrid"/>
        <w:tblW w:type="dxa" w:w="8958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479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479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9"/>
              </w:rPr>
              <w:t>设定</w:t>
            </w:r>
          </w:p>
        </w:tc>
      </w:tr>
      <w:tr>
        <w:tc>
          <w:tcPr>
            <w:tcW w:type="dxa" w:w="447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信号时点</w:t>
            </w:r>
          </w:p>
        </w:tc>
        <w:tc>
          <w:tcPr>
            <w:tcW w:type="dxa" w:w="447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T 日收盘后，根据当日可见数据计算</w:t>
            </w:r>
          </w:p>
        </w:tc>
      </w:tr>
      <w:tr>
        <w:tc>
          <w:tcPr>
            <w:tcW w:type="dxa" w:w="447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成交时点</w:t>
            </w:r>
          </w:p>
        </w:tc>
        <w:tc>
          <w:tcPr>
            <w:tcW w:type="dxa" w:w="447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T+1 日收盘价成交</w:t>
            </w:r>
          </w:p>
        </w:tc>
      </w:tr>
      <w:tr>
        <w:tc>
          <w:tcPr>
            <w:tcW w:type="dxa" w:w="447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合约选择</w:t>
            </w:r>
          </w:p>
        </w:tc>
        <w:tc>
          <w:tcPr>
            <w:tcW w:type="dxa" w:w="447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使用真实期货合约，不使用连续合约作为交易标的</w:t>
            </w:r>
          </w:p>
        </w:tc>
      </w:tr>
      <w:tr>
        <w:tc>
          <w:tcPr>
            <w:tcW w:type="dxa" w:w="447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展期规则</w:t>
            </w:r>
          </w:p>
        </w:tc>
        <w:tc>
          <w:tcPr>
            <w:tcW w:type="dxa" w:w="447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到期前固定窗口换至下一主力/次近月合约</w:t>
            </w:r>
          </w:p>
        </w:tc>
      </w:tr>
      <w:tr>
        <w:tc>
          <w:tcPr>
            <w:tcW w:type="dxa" w:w="447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成本</w:t>
            </w:r>
          </w:p>
        </w:tc>
        <w:tc>
          <w:tcPr>
            <w:tcW w:type="dxa" w:w="447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手续费 + 滑点逐笔扣除</w:t>
            </w:r>
          </w:p>
        </w:tc>
      </w:tr>
      <w:tr>
        <w:tc>
          <w:tcPr>
            <w:tcW w:type="dxa" w:w="447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逐日盯市</w:t>
            </w:r>
          </w:p>
        </w:tc>
        <w:tc>
          <w:tcPr>
            <w:tcW w:type="dxa" w:w="447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按实际持有合约的收盘价计算每日盈亏</w:t>
            </w:r>
          </w:p>
        </w:tc>
      </w:tr>
      <w:tr>
        <w:tc>
          <w:tcPr>
            <w:tcW w:type="dxa" w:w="447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初始资金</w:t>
            </w:r>
          </w:p>
        </w:tc>
        <w:tc>
          <w:tcPr>
            <w:tcW w:type="dxa" w:w="447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1,000,000 元</w:t>
            </w:r>
          </w:p>
        </w:tc>
      </w:tr>
    </w:tbl>
    <w:p>
      <w:pPr>
        <w:spacing w:before="0" w:after="0"/>
        <w:ind w:firstLine="0"/>
      </w:pP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这里最重要的是"按实际持有合约逐日盯市"。如果直接拿主力连续合约计算收益，合约切换日的跳空容易被重复计入，收益会被高估。本报告的交易流水中还专门检查了展期记录，所有换仓记录的旧合约和新合约都不同，没有出现同合约重复换仓。</w:t>
      </w:r>
    </w:p>
    <w:p>
      <w:pPr>
        <w:pStyle w:val="Heading1"/>
        <w:keepNext/>
        <w:spacing w:line="400" w:lineRule="exact" w:after="120" w:before="200"/>
        <w:ind w:firstLine="0" w:left="0"/>
        <w:jc w:val="left"/>
      </w:pPr>
      <w:r>
        <w:rPr>
          <w:rFonts w:ascii="Times New Roman" w:hAnsi="Times New Roman" w:eastAsia="??"/>
          <w:b/>
          <w:color w:val="1F4E79"/>
          <w:sz w:val="32"/>
        </w:rPr>
        <w:t>2. 基差与展期收益</w:t>
      </w:r>
    </w:p>
    <w:p>
      <w:pPr>
        <w:pStyle w:val="Heading2"/>
        <w:keepNext/>
        <w:spacing w:line="400" w:lineRule="exact" w:after="80" w:before="120"/>
        <w:ind w:firstLine="0" w:left="0"/>
        <w:jc w:val="left"/>
      </w:pPr>
      <w:r>
        <w:rPr>
          <w:rFonts w:ascii="Times New Roman" w:hAnsi="Times New Roman" w:eastAsia="??"/>
          <w:b/>
          <w:color w:val="1F4E79"/>
          <w:sz w:val="28"/>
        </w:rPr>
        <w:t>2.1 基差的经济含义</w:t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本报告定义：</w:t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基差 = 期货收盘价 - 指数收盘价</w:t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基差为负表示期货贴水。贴水市场中，期货价格在临近到期时通常向现货指数收敛。多头持有贴水合约，本质上是在承担指数方向风险的同时，争取基差收敛和展期补偿。这个逻辑清楚，但不等于无风险套利，因为指数下跌时基差收敛很难抵消方向亏损。</w:t>
      </w:r>
    </w:p>
    <w:p>
      <w:pPr>
        <w:pStyle w:val="Heading2"/>
        <w:keepNext/>
        <w:spacing w:line="400" w:lineRule="exact" w:after="80" w:before="120"/>
        <w:ind w:firstLine="0" w:left="0"/>
        <w:jc w:val="left"/>
      </w:pPr>
      <w:r>
        <w:rPr>
          <w:rFonts w:ascii="Times New Roman" w:hAnsi="Times New Roman" w:eastAsia="??"/>
          <w:b/>
          <w:color w:val="1F4E79"/>
          <w:sz w:val="28"/>
        </w:rPr>
        <w:t>2.2 均值回复和预测能力</w:t>
      </w:r>
    </w:p>
    <w:tbl>
      <w:tblPr>
        <w:tblStyle w:val="TableGrid"/>
        <w:tblW w:type="dxa" w:w="8958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986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2986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9"/>
              </w:rPr>
              <w:t>IC</w:t>
            </w:r>
          </w:p>
        </w:tc>
        <w:tc>
          <w:tcPr>
            <w:tcW w:type="dxa" w:w="2986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9"/>
              </w:rPr>
              <w:t>IM</w:t>
            </w:r>
          </w:p>
        </w:tc>
      </w:tr>
      <w:tr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ADF 统计量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-5.04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-6.37</w:t>
            </w:r>
          </w:p>
        </w:tc>
      </w:tr>
      <w:tr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ADF p 值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0.0000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0.0000</w:t>
            </w:r>
          </w:p>
        </w:tc>
      </w:tr>
      <w:tr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半衰期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1.1 天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0.9 天</w:t>
            </w:r>
          </w:p>
        </w:tc>
      </w:tr>
      <w:tr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期货收益 Pearson IC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0.0725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0.0111</w:t>
            </w:r>
          </w:p>
        </w:tc>
      </w:tr>
      <w:tr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期货收益 p 值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0.0002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0.7436</w:t>
            </w:r>
          </w:p>
        </w:tc>
      </w:tr>
      <w:tr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指数收益 Pearson IC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-0.7985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-0.9206</w:t>
            </w:r>
          </w:p>
        </w:tc>
      </w:tr>
      <w:tr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指数收益 p 值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0.0000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0.0000</w:t>
            </w:r>
          </w:p>
        </w:tc>
      </w:tr>
    </w:tbl>
    <w:p>
      <w:pPr>
        <w:spacing w:before="0" w:after="0"/>
        <w:ind w:firstLine="0"/>
      </w:pP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ADF 检验显示基差率序列具有明显均值回复特征，半衰期也很短。但这里要分清两件事：基差会回归，不代表它能稳定预测指数未来涨跌。更合理的解释是，贴水结构给期货多头提供了一部分相对现货的补偿，补偿来自期货价格向现货靠拢，而不是来自对股票指数方向的准确判断。</w:t>
      </w:r>
    </w:p>
    <w:p>
      <w:pPr>
        <w:pStyle w:val="Heading2"/>
        <w:keepNext/>
        <w:spacing w:line="400" w:lineRule="exact" w:after="80" w:before="120"/>
        <w:ind w:firstLine="0" w:left="0"/>
        <w:jc w:val="left"/>
      </w:pPr>
      <w:r>
        <w:rPr>
          <w:rFonts w:ascii="Times New Roman" w:hAnsi="Times New Roman" w:eastAsia="??"/>
          <w:b/>
          <w:color w:val="1F4E79"/>
          <w:sz w:val="28"/>
        </w:rPr>
        <w:t>2.3 展期收益分布</w:t>
      </w:r>
    </w:p>
    <w:tbl>
      <w:tblPr>
        <w:tblStyle w:val="TableGrid"/>
        <w:tblW w:type="dxa" w:w="8958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986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2986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9"/>
              </w:rPr>
              <w:t>IC</w:t>
            </w:r>
          </w:p>
        </w:tc>
        <w:tc>
          <w:tcPr>
            <w:tcW w:type="dxa" w:w="2986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9"/>
              </w:rPr>
              <w:t>IM</w:t>
            </w:r>
          </w:p>
        </w:tc>
      </w:tr>
      <w:tr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展期段数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131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44</w:t>
            </w:r>
          </w:p>
        </w:tc>
      </w:tr>
      <w:tr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平均每段展期收益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0.19%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0.86%</w:t>
            </w:r>
          </w:p>
        </w:tc>
      </w:tr>
      <w:tr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展期收益中位数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0.30%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0.52%</w:t>
            </w:r>
          </w:p>
        </w:tc>
      </w:tr>
      <w:tr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正收益占比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51.9%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54.5%</w:t>
            </w:r>
          </w:p>
        </w:tc>
      </w:tr>
    </w:tbl>
    <w:p>
      <w:pPr>
        <w:spacing w:before="0" w:after="0"/>
        <w:ind w:firstLine="0"/>
      </w:pPr>
    </w:p>
    <w:p>
      <w:pPr>
        <w:spacing w:before="120" w:after="80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672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oll_yiel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67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color w:val="5A5A5A"/>
          <w:sz w:val="24"/>
        </w:rPr>
        <w:t>图1 展期收益分布</w:t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图 1 展示每段主力持有周期的累计收益分布。IC 和 IM 的均值都为正，说明样本期内展期机制确实带来补偿。但正收益占比只是略高于一半，收益并不是每次展期都稳定出现。更准确的说法是：贴水提供了长期正期望的可能，但单次换仓仍然有很大不确定性。</w:t>
      </w:r>
    </w:p>
    <w:p>
      <w:pPr>
        <w:pStyle w:val="Heading1"/>
        <w:keepNext/>
        <w:spacing w:line="400" w:lineRule="exact" w:after="120" w:before="200"/>
        <w:ind w:firstLine="0" w:left="0"/>
        <w:jc w:val="left"/>
      </w:pPr>
      <w:r>
        <w:rPr>
          <w:rFonts w:ascii="Times New Roman" w:hAnsi="Times New Roman" w:eastAsia="??"/>
          <w:b/>
          <w:color w:val="1F4E79"/>
          <w:sz w:val="32"/>
        </w:rPr>
        <w:t>3. 吃贴水策略回测</w:t>
      </w:r>
    </w:p>
    <w:p>
      <w:pPr>
        <w:pStyle w:val="Heading2"/>
        <w:keepNext/>
        <w:spacing w:line="400" w:lineRule="exact" w:after="80" w:before="120"/>
        <w:ind w:firstLine="0" w:left="0"/>
        <w:jc w:val="left"/>
      </w:pPr>
      <w:r>
        <w:rPr>
          <w:rFonts w:ascii="Times New Roman" w:hAnsi="Times New Roman" w:eastAsia="??"/>
          <w:b/>
          <w:color w:val="1F4E79"/>
          <w:sz w:val="28"/>
        </w:rPr>
        <w:t>3.1 策略设计</w:t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本节测试两类策略：</w:t>
      </w:r>
    </w:p>
    <w:p>
      <w:pPr>
        <w:pStyle w:val="ListNumber"/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Always：始终持有主力合约，到期前展期。</w:t>
      </w:r>
    </w:p>
    <w:p>
      <w:pPr>
        <w:pStyle w:val="ListNumber"/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B&lt;-1.5%：只有当基差率低于 -1.5% 时才做多，否则空仓。</w:t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Always 策略更像期货版指数多头，完整承担市场涨跌；基差阈值策略试图只在贴水较深时参与，牺牲一部分上涨行情，换取更低波动和回撤。</w:t>
      </w:r>
    </w:p>
    <w:p>
      <w:pPr>
        <w:pStyle w:val="Heading2"/>
        <w:keepNext/>
        <w:spacing w:line="400" w:lineRule="exact" w:after="80" w:before="120"/>
        <w:ind w:firstLine="0" w:left="0"/>
        <w:jc w:val="left"/>
      </w:pPr>
      <w:r>
        <w:rPr>
          <w:rFonts w:ascii="Times New Roman" w:hAnsi="Times New Roman" w:eastAsia="??"/>
          <w:b/>
          <w:color w:val="1F4E79"/>
          <w:sz w:val="28"/>
        </w:rPr>
        <w:t>3.2 主要绩效</w:t>
      </w:r>
    </w:p>
    <w:tbl>
      <w:tblPr>
        <w:tblStyle w:val="TableGrid"/>
        <w:tblW w:type="dxa" w:w="8958"/>
        <w:jc w:val="center"/>
        <w:tblLook w:firstColumn="1" w:firstRow="1" w:lastColumn="0" w:lastRow="0" w:noHBand="0" w:noVBand="1" w:val="04A0"/>
      </w:tblPr>
      <w:tblGrid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</w:tblGrid>
      <w:tr>
        <w:tc>
          <w:tcPr>
            <w:tcW w:type="dxa" w:w="895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6"/>
              </w:rPr>
              <w:t>策略</w:t>
            </w:r>
          </w:p>
        </w:tc>
        <w:tc>
          <w:tcPr>
            <w:tcW w:type="dxa" w:w="895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6"/>
              </w:rPr>
              <w:t>年化收益</w:t>
            </w:r>
          </w:p>
        </w:tc>
        <w:tc>
          <w:tcPr>
            <w:tcW w:type="dxa" w:w="895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6"/>
              </w:rPr>
              <w:t>年化波动</w:t>
            </w:r>
          </w:p>
        </w:tc>
        <w:tc>
          <w:tcPr>
            <w:tcW w:type="dxa" w:w="895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6"/>
              </w:rPr>
              <w:t>Sharpe</w:t>
            </w:r>
          </w:p>
        </w:tc>
        <w:tc>
          <w:tcPr>
            <w:tcW w:type="dxa" w:w="895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6"/>
              </w:rPr>
              <w:t>最大回撤</w:t>
            </w:r>
          </w:p>
        </w:tc>
        <w:tc>
          <w:tcPr>
            <w:tcW w:type="dxa" w:w="895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6"/>
              </w:rPr>
              <w:t>Calmar</w:t>
            </w:r>
          </w:p>
        </w:tc>
        <w:tc>
          <w:tcPr>
            <w:tcW w:type="dxa" w:w="895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6"/>
              </w:rPr>
              <w:t>胜率</w:t>
            </w:r>
          </w:p>
        </w:tc>
        <w:tc>
          <w:tcPr>
            <w:tcW w:type="dxa" w:w="895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6"/>
              </w:rPr>
              <w:t>累计收益</w:t>
            </w:r>
          </w:p>
        </w:tc>
        <w:tc>
          <w:tcPr>
            <w:tcW w:type="dxa" w:w="895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6"/>
              </w:rPr>
              <w:t>VaR95</w:t>
            </w:r>
          </w:p>
        </w:tc>
        <w:tc>
          <w:tcPr>
            <w:tcW w:type="dxa" w:w="895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6"/>
              </w:rPr>
              <w:t>交易笔数</w:t>
            </w:r>
          </w:p>
        </w:tc>
      </w:tr>
      <w:tr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IC Always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9.62%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30.05%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0.22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-61.38%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0.16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52.6%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172.49%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-1.78%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132</w:t>
            </w:r>
          </w:p>
        </w:tc>
      </w:tr>
      <w:tr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IC B&lt;-1.5%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7.04%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17.81%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0.23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-34.85%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0.20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33.2%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110.21%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-1.67%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846</w:t>
            </w:r>
          </w:p>
        </w:tc>
      </w:tr>
      <w:tr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IC 指数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0.83%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24.83%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-0.09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-65.20%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0.01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52.6%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9.43%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-2.34%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-</w:t>
            </w:r>
          </w:p>
        </w:tc>
      </w:tr>
      <w:tr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IM Always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15.88%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32.71%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0.39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-50.81%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0.31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53.0%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70.08%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-2.90%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45</w:t>
            </w:r>
          </w:p>
        </w:tc>
      </w:tr>
      <w:tr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IM B&lt;-1.5%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10.83%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12.74%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0.61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-12.82%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0.84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31.3%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44.84%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-1.49%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282</w:t>
            </w:r>
          </w:p>
        </w:tc>
      </w:tr>
      <w:tr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IM 指数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5.31%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23.74%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0.10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-41.60%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0.13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53.4%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20.50%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-2.29%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-</w:t>
            </w:r>
          </w:p>
        </w:tc>
      </w:tr>
    </w:tbl>
    <w:p>
      <w:pPr>
        <w:spacing w:before="0" w:after="0"/>
        <w:ind w:firstLine="0"/>
      </w:pPr>
    </w:p>
    <w:p>
      <w:pPr>
        <w:spacing w:before="120" w:after="80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670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nav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67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color w:val="5A5A5A"/>
          <w:sz w:val="24"/>
        </w:rPr>
        <w:t>图2 策略净值曲线</w:t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图 2 显示，Always 策略在 IC 和 IM 上都明显高于对应指数基准。这个结果支持"贴水结构有长期补偿"的判断。不过净值曲线也很直观地说明，它不是平滑套利曲线，而是跟随市场波动的大幅起伏。</w:t>
      </w:r>
    </w:p>
    <w:p>
      <w:pPr>
        <w:spacing w:before="120" w:after="80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6531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nnu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65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color w:val="5A5A5A"/>
          <w:sz w:val="24"/>
        </w:rPr>
        <w:t>图3 年度收益</w:t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图 3 可以看到，年度收益波动很大。IC 样本中，策略经历过明显的亏损年份，也经历过反弹行情中的较高收益。基差阈值策略在某些下跌阶段有帮助，但它并不是免费保护：空仓会降低回撤，也会错过一部分上涨。</w:t>
      </w:r>
    </w:p>
    <w:p>
      <w:pPr>
        <w:spacing w:before="120" w:after="80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6799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rawdow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679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color w:val="5A5A5A"/>
          <w:sz w:val="24"/>
        </w:rPr>
        <w:t>图4 回撤曲线</w:t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图 4 是本策略最需要重视的部分。IC Always 最大回撤 -61.38%，IM Always 最大回撤 -50.81%，这已经超过多数绝对收益资金可以接受的范围。因此它更适合作为指数增强或方向性配置工具，而不是独立的低波动策略。</w:t>
      </w:r>
    </w:p>
    <w:p>
      <w:pPr>
        <w:spacing w:before="120" w:after="80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73931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739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color w:val="5A5A5A"/>
          <w:sz w:val="24"/>
        </w:rPr>
        <w:t>图5 参数敏感性</w:t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图 5 展示基差阈值和展期窗口的参数扫描。整体看，展期窗口从 1 天改到 3 天、5 天，对结果影响不大；基差阈值影响更明显。尤其是 IM 的 B&lt;-1.5% 在样本内表现较好，但 IM 样本期短，不能把这个阈值当作稳定最优参数。</w:t>
      </w:r>
    </w:p>
    <w:p>
      <w:pPr>
        <w:pStyle w:val="Heading2"/>
        <w:keepNext/>
        <w:spacing w:line="400" w:lineRule="exact" w:after="80" w:before="120"/>
        <w:ind w:firstLine="0" w:left="0"/>
        <w:jc w:val="left"/>
      </w:pPr>
      <w:r>
        <w:rPr>
          <w:rFonts w:ascii="Times New Roman" w:hAnsi="Times New Roman" w:eastAsia="??"/>
          <w:b/>
          <w:color w:val="1F4E79"/>
          <w:sz w:val="28"/>
        </w:rPr>
        <w:t>3.3 交易可执行性</w:t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全策略扫描覆盖 5 个基差阈值、3 个展期窗口和 2 个品种。所有展期记录中，同合约换仓次数为 0。这说明策略实际按不同合约完成展期，没有把连续合约的价格跳变误当作可交易收益。</w:t>
      </w:r>
    </w:p>
    <w:p>
      <w:pPr>
        <w:pStyle w:val="Heading2"/>
        <w:keepNext/>
        <w:spacing w:line="400" w:lineRule="exact" w:after="80" w:before="120"/>
        <w:ind w:firstLine="0" w:left="0"/>
        <w:jc w:val="left"/>
      </w:pPr>
      <w:r>
        <w:rPr>
          <w:rFonts w:ascii="Times New Roman" w:hAnsi="Times New Roman" w:eastAsia="??"/>
          <w:b/>
          <w:color w:val="1F4E79"/>
          <w:sz w:val="28"/>
        </w:rPr>
        <w:t>3.4 样本外验证</w:t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为了评估策略的泛化能力，把 IC 数据按时间划分为训练期（2015-2020）和测试期（2021-2026）。IM 样本较短，不适合再硬拆训练/测试，因此用滚动窗口做稳定性观察。</w:t>
      </w:r>
    </w:p>
    <w:tbl>
      <w:tblPr>
        <w:tblStyle w:val="TableGrid"/>
        <w:tblW w:type="dxa" w:w="8958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279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9"/>
              </w:rPr>
              <w:t>数据集</w:t>
            </w:r>
          </w:p>
        </w:tc>
        <w:tc>
          <w:tcPr>
            <w:tcW w:type="dxa" w:w="1279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9"/>
              </w:rPr>
              <w:t>年化收益%</w:t>
            </w:r>
          </w:p>
        </w:tc>
        <w:tc>
          <w:tcPr>
            <w:tcW w:type="dxa" w:w="1279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9"/>
              </w:rPr>
              <w:t>年化波动%</w:t>
            </w:r>
          </w:p>
        </w:tc>
        <w:tc>
          <w:tcPr>
            <w:tcW w:type="dxa" w:w="1279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9"/>
              </w:rPr>
              <w:t>Sharpe</w:t>
            </w:r>
          </w:p>
        </w:tc>
        <w:tc>
          <w:tcPr>
            <w:tcW w:type="dxa" w:w="1279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9"/>
              </w:rPr>
              <w:t>最大回撤%</w:t>
            </w:r>
          </w:p>
        </w:tc>
        <w:tc>
          <w:tcPr>
            <w:tcW w:type="dxa" w:w="1279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9"/>
              </w:rPr>
              <w:t>胜率%</w:t>
            </w:r>
          </w:p>
        </w:tc>
        <w:tc>
          <w:tcPr>
            <w:tcW w:type="dxa" w:w="1279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9"/>
              </w:rPr>
              <w:t>VaR95%</w:t>
            </w:r>
          </w:p>
        </w:tc>
      </w:tr>
      <w:tr>
        <w:tc>
          <w:tcPr>
            <w:tcW w:type="dxa" w:w="127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训练集 (2015-2020)</w:t>
            </w:r>
          </w:p>
        </w:tc>
        <w:tc>
          <w:tcPr>
            <w:tcW w:type="dxa" w:w="127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-6.03%</w:t>
            </w:r>
          </w:p>
        </w:tc>
        <w:tc>
          <w:tcPr>
            <w:tcW w:type="dxa" w:w="127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62.84%</w:t>
            </w:r>
          </w:p>
        </w:tc>
        <w:tc>
          <w:tcPr>
            <w:tcW w:type="dxa" w:w="127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-0.14</w:t>
            </w:r>
          </w:p>
        </w:tc>
        <w:tc>
          <w:tcPr>
            <w:tcW w:type="dxa" w:w="127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-85.77%</w:t>
            </w:r>
          </w:p>
        </w:tc>
        <w:tc>
          <w:tcPr>
            <w:tcW w:type="dxa" w:w="127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51.9%</w:t>
            </w:r>
          </w:p>
        </w:tc>
        <w:tc>
          <w:tcPr>
            <w:tcW w:type="dxa" w:w="127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-</w:t>
            </w:r>
          </w:p>
        </w:tc>
      </w:tr>
      <w:tr>
        <w:tc>
          <w:tcPr>
            <w:tcW w:type="dxa" w:w="127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测试集 (2021-2026)</w:t>
            </w:r>
          </w:p>
        </w:tc>
        <w:tc>
          <w:tcPr>
            <w:tcW w:type="dxa" w:w="127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7.24%</w:t>
            </w:r>
          </w:p>
        </w:tc>
        <w:tc>
          <w:tcPr>
            <w:tcW w:type="dxa" w:w="127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29.02%</w:t>
            </w:r>
          </w:p>
        </w:tc>
        <w:tc>
          <w:tcPr>
            <w:tcW w:type="dxa" w:w="127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0.15</w:t>
            </w:r>
          </w:p>
        </w:tc>
        <w:tc>
          <w:tcPr>
            <w:tcW w:type="dxa" w:w="127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-54.12%</w:t>
            </w:r>
          </w:p>
        </w:tc>
        <w:tc>
          <w:tcPr>
            <w:tcW w:type="dxa" w:w="127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50.6%</w:t>
            </w:r>
          </w:p>
        </w:tc>
        <w:tc>
          <w:tcPr>
            <w:tcW w:type="dxa" w:w="127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-</w:t>
            </w:r>
          </w:p>
        </w:tc>
      </w:tr>
    </w:tbl>
    <w:p>
      <w:pPr>
        <w:spacing w:before="0" w:after="0"/>
        <w:ind w:firstLine="0"/>
      </w:pPr>
    </w:p>
    <w:p>
      <w:pPr>
        <w:spacing w:before="120" w:after="80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12690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oos_valid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26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color w:val="5A5A5A"/>
          <w:sz w:val="24"/>
        </w:rPr>
        <w:t>图6 样本外验证</w:t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测试期表现好于训练期，但这不应被解读成“策略已经通过样本外检验”。训练期包含 2015 年股灾、2016 年熔断和 2018 年熊市，极端行情对回撤和收益都有很大拖累；测试期虽然收益为正，最大回撤仍达到 -54.12%。比较稳妥的结论是：贴水补偿在近年仍有延续，但策略对市场阶段高度敏感，不能只凭一段测试期就推断长期稳健。</w:t>
      </w:r>
    </w:p>
    <w:p>
      <w:pPr>
        <w:pStyle w:val="Heading2"/>
        <w:keepNext/>
        <w:spacing w:line="400" w:lineRule="exact" w:after="80" w:before="120"/>
        <w:ind w:firstLine="0" w:left="0"/>
        <w:jc w:val="left"/>
      </w:pPr>
      <w:r>
        <w:rPr>
          <w:rFonts w:ascii="Times New Roman" w:hAnsi="Times New Roman" w:eastAsia="??"/>
          <w:b/>
          <w:color w:val="1F4E79"/>
          <w:sz w:val="28"/>
        </w:rPr>
        <w:t>3.5 市场状态分段</w:t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把全部交易日按三种维度切分：市场方向（上涨/下跌）、贴水深度（高贴水/低贴水或升水）、波动率水平（高波动/低波动）。每个子集中单独计算 Always 策略绩效。</w:t>
      </w:r>
    </w:p>
    <w:tbl>
      <w:tblPr>
        <w:tblStyle w:val="TableGrid"/>
        <w:tblW w:type="dxa" w:w="8958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493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9"/>
              </w:rPr>
              <w:t>品种</w:t>
            </w:r>
          </w:p>
        </w:tc>
        <w:tc>
          <w:tcPr>
            <w:tcW w:type="dxa" w:w="1493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1493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9"/>
              </w:rPr>
              <w:t>天数</w:t>
            </w:r>
          </w:p>
        </w:tc>
        <w:tc>
          <w:tcPr>
            <w:tcW w:type="dxa" w:w="1493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9"/>
              </w:rPr>
              <w:t>年化收益%</w:t>
            </w:r>
          </w:p>
        </w:tc>
        <w:tc>
          <w:tcPr>
            <w:tcW w:type="dxa" w:w="1493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9"/>
              </w:rPr>
              <w:t>年化波动%</w:t>
            </w:r>
          </w:p>
        </w:tc>
        <w:tc>
          <w:tcPr>
            <w:tcW w:type="dxa" w:w="1493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9"/>
              </w:rPr>
              <w:t>Sharpe</w:t>
            </w:r>
          </w:p>
        </w:tc>
      </w:tr>
      <w:tr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IC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上涨期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1264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47.6%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16.0%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2.79</w:t>
            </w:r>
          </w:p>
        </w:tc>
      </w:tr>
      <w:tr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IC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下跌期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1319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-13.1%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34.2%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-0.47</w:t>
            </w:r>
          </w:p>
        </w:tc>
      </w:tr>
      <w:tr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IC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高贴水期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1320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8.8%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36.7%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0.16</w:t>
            </w:r>
          </w:p>
        </w:tc>
      </w:tr>
      <w:tr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IC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低贴水/升水期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1321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18.6%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21.4%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0.73</w:t>
            </w:r>
          </w:p>
        </w:tc>
      </w:tr>
      <w:tr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IC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高波动期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1291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31.4%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36.5%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0.78</w:t>
            </w:r>
          </w:p>
        </w:tc>
      </w:tr>
      <w:tr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IC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低波动期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1292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1.8%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10.9%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-0.11</w:t>
            </w:r>
          </w:p>
        </w:tc>
      </w:tr>
      <w:tr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IM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上涨期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410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84.7%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29.4%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2.78</w:t>
            </w:r>
          </w:p>
        </w:tc>
      </w:tr>
      <w:tr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IM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下跌期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403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-39.0%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35.3%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-1.19</w:t>
            </w:r>
          </w:p>
        </w:tc>
      </w:tr>
      <w:tr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IM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高贴水期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435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22.7%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36.6%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0.54</w:t>
            </w:r>
          </w:p>
        </w:tc>
      </w:tr>
      <w:tr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IM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低贴水/升水期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436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17.5%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28.3%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0.51</w:t>
            </w:r>
          </w:p>
        </w:tc>
      </w:tr>
      <w:tr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IM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高波动期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406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36.3%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41.6%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0.80</w:t>
            </w:r>
          </w:p>
        </w:tc>
      </w:tr>
      <w:tr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IM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低波动期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407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10.5%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20.4%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0.37</w:t>
            </w:r>
          </w:p>
        </w:tc>
      </w:tr>
    </w:tbl>
    <w:p>
      <w:pPr>
        <w:spacing w:before="0" w:after="0"/>
        <w:ind w:firstLine="0"/>
      </w:pPr>
    </w:p>
    <w:p>
      <w:pPr>
        <w:spacing w:before="120" w:after="80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88499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gime_segment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84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color w:val="5A5A5A"/>
          <w:sz w:val="24"/>
        </w:rPr>
        <w:t>图7 市场状态分段</w:t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分段结果说明，策略首先是权益方向暴露。上涨期收益显著高于下跌期，IM 的差异尤其明显。贴水深度也有一定信息，但不是独立择时开关：IC 高贴水期年化 8.80%，低贴水/升水期反而达到 18.60%；这说明贴水补偿和指数方向经常纠缠在一起。实盘上不能因为贴水更深就机械加仓。</w:t>
      </w:r>
    </w:p>
    <w:p>
      <w:pPr>
        <w:pStyle w:val="Heading2"/>
        <w:keepNext/>
        <w:spacing w:line="400" w:lineRule="exact" w:after="80" w:before="120"/>
        <w:ind w:firstLine="0" w:left="0"/>
        <w:jc w:val="left"/>
      </w:pPr>
      <w:r>
        <w:rPr>
          <w:rFonts w:ascii="Times New Roman" w:hAnsi="Times New Roman" w:eastAsia="??"/>
          <w:b/>
          <w:color w:val="1F4E79"/>
          <w:sz w:val="28"/>
        </w:rPr>
        <w:t>3.6 风险控制版本</w:t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测试两种简单风控：波动率目标（目标年化波动 15%）和最大回撤控制（回撤超过 20% 后逐步降仓）。它们不是为了优化收益，而是检验策略能否被改造成更接近产品可用的形态。</w:t>
      </w:r>
    </w:p>
    <w:tbl>
      <w:tblPr>
        <w:tblStyle w:val="TableGrid"/>
        <w:tblW w:type="dxa" w:w="8958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791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9"/>
              </w:rPr>
              <w:t>品种</w:t>
            </w:r>
          </w:p>
        </w:tc>
        <w:tc>
          <w:tcPr>
            <w:tcW w:type="dxa" w:w="1791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9"/>
              </w:rPr>
              <w:t>策略</w:t>
            </w:r>
          </w:p>
        </w:tc>
        <w:tc>
          <w:tcPr>
            <w:tcW w:type="dxa" w:w="1791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9"/>
              </w:rPr>
              <w:t>年化收益%</w:t>
            </w:r>
          </w:p>
        </w:tc>
        <w:tc>
          <w:tcPr>
            <w:tcW w:type="dxa" w:w="1791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9"/>
              </w:rPr>
              <w:t>Sharpe</w:t>
            </w:r>
          </w:p>
        </w:tc>
        <w:tc>
          <w:tcPr>
            <w:tcW w:type="dxa" w:w="1791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9"/>
              </w:rPr>
              <w:t>最大回撤%</w:t>
            </w:r>
          </w:p>
        </w:tc>
      </w:tr>
      <w:tr>
        <w:tc>
          <w:tcPr>
            <w:tcW w:type="dxa" w:w="1791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IC</w:t>
            </w:r>
          </w:p>
        </w:tc>
        <w:tc>
          <w:tcPr>
            <w:tcW w:type="dxa" w:w="1791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原始 Always</w:t>
            </w:r>
          </w:p>
        </w:tc>
        <w:tc>
          <w:tcPr>
            <w:tcW w:type="dxa" w:w="1791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9.62%</w:t>
            </w:r>
          </w:p>
        </w:tc>
        <w:tc>
          <w:tcPr>
            <w:tcW w:type="dxa" w:w="1791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0.22</w:t>
            </w:r>
          </w:p>
        </w:tc>
        <w:tc>
          <w:tcPr>
            <w:tcW w:type="dxa" w:w="1791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-61.38%</w:t>
            </w:r>
          </w:p>
        </w:tc>
      </w:tr>
      <w:tr>
        <w:tc>
          <w:tcPr>
            <w:tcW w:type="dxa" w:w="1791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IC</w:t>
            </w:r>
          </w:p>
        </w:tc>
        <w:tc>
          <w:tcPr>
            <w:tcW w:type="dxa" w:w="1791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波动率目标 15%</w:t>
            </w:r>
          </w:p>
        </w:tc>
        <w:tc>
          <w:tcPr>
            <w:tcW w:type="dxa" w:w="1791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-0.09%</w:t>
            </w:r>
          </w:p>
        </w:tc>
        <w:tc>
          <w:tcPr>
            <w:tcW w:type="dxa" w:w="1791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-0.20</w:t>
            </w:r>
          </w:p>
        </w:tc>
        <w:tc>
          <w:tcPr>
            <w:tcW w:type="dxa" w:w="1791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-49.88%</w:t>
            </w:r>
          </w:p>
        </w:tc>
      </w:tr>
      <w:tr>
        <w:tc>
          <w:tcPr>
            <w:tcW w:type="dxa" w:w="1791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IC</w:t>
            </w:r>
          </w:p>
        </w:tc>
        <w:tc>
          <w:tcPr>
            <w:tcW w:type="dxa" w:w="1791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回撤控制 20%</w:t>
            </w:r>
          </w:p>
        </w:tc>
        <w:tc>
          <w:tcPr>
            <w:tcW w:type="dxa" w:w="1791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0.92%</w:t>
            </w:r>
          </w:p>
        </w:tc>
        <w:tc>
          <w:tcPr>
            <w:tcW w:type="dxa" w:w="1791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-0.33</w:t>
            </w:r>
          </w:p>
        </w:tc>
        <w:tc>
          <w:tcPr>
            <w:tcW w:type="dxa" w:w="1791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-23.63%</w:t>
            </w:r>
          </w:p>
        </w:tc>
      </w:tr>
      <w:tr>
        <w:tc>
          <w:tcPr>
            <w:tcW w:type="dxa" w:w="1791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IM</w:t>
            </w:r>
          </w:p>
        </w:tc>
        <w:tc>
          <w:tcPr>
            <w:tcW w:type="dxa" w:w="1791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原始 Always</w:t>
            </w:r>
          </w:p>
        </w:tc>
        <w:tc>
          <w:tcPr>
            <w:tcW w:type="dxa" w:w="1791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15.88%</w:t>
            </w:r>
          </w:p>
        </w:tc>
        <w:tc>
          <w:tcPr>
            <w:tcW w:type="dxa" w:w="1791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0.39</w:t>
            </w:r>
          </w:p>
        </w:tc>
        <w:tc>
          <w:tcPr>
            <w:tcW w:type="dxa" w:w="1791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-50.81%</w:t>
            </w:r>
          </w:p>
        </w:tc>
      </w:tr>
      <w:tr>
        <w:tc>
          <w:tcPr>
            <w:tcW w:type="dxa" w:w="1791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IM</w:t>
            </w:r>
          </w:p>
        </w:tc>
        <w:tc>
          <w:tcPr>
            <w:tcW w:type="dxa" w:w="1791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波动率目标 15%</w:t>
            </w:r>
          </w:p>
        </w:tc>
        <w:tc>
          <w:tcPr>
            <w:tcW w:type="dxa" w:w="1791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1.36%</w:t>
            </w:r>
          </w:p>
        </w:tc>
        <w:tc>
          <w:tcPr>
            <w:tcW w:type="dxa" w:w="1791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-0.11</w:t>
            </w:r>
          </w:p>
        </w:tc>
        <w:tc>
          <w:tcPr>
            <w:tcW w:type="dxa" w:w="1791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-38.66%</w:t>
            </w:r>
          </w:p>
        </w:tc>
      </w:tr>
      <w:tr>
        <w:tc>
          <w:tcPr>
            <w:tcW w:type="dxa" w:w="1791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IM</w:t>
            </w:r>
          </w:p>
        </w:tc>
        <w:tc>
          <w:tcPr>
            <w:tcW w:type="dxa" w:w="1791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回撤控制 20%</w:t>
            </w:r>
          </w:p>
        </w:tc>
        <w:tc>
          <w:tcPr>
            <w:tcW w:type="dxa" w:w="1791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-4.83%</w:t>
            </w:r>
          </w:p>
        </w:tc>
        <w:tc>
          <w:tcPr>
            <w:tcW w:type="dxa" w:w="1791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-1.03</w:t>
            </w:r>
          </w:p>
        </w:tc>
        <w:tc>
          <w:tcPr>
            <w:tcW w:type="dxa" w:w="1791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-20.20%</w:t>
            </w:r>
          </w:p>
        </w:tc>
      </w:tr>
    </w:tbl>
    <w:p>
      <w:pPr>
        <w:spacing w:before="0" w:after="0"/>
        <w:ind w:firstLine="0"/>
      </w:pPr>
    </w:p>
    <w:p>
      <w:pPr>
        <w:spacing w:before="120" w:after="80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6263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isk_contro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62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color w:val="5A5A5A"/>
          <w:sz w:val="24"/>
        </w:rPr>
        <w:t>图8 风险控制策略</w:t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风控确实降低了回撤。以 IC 为例，回撤控制版把最大回撤从 -61.38% 压到 -23.63%；IM 回撤控制版也压到约 -20.20%。但收益同步被削弱，尤其 IM 回撤控制版年化变成 -4.83%。这说明策略的收益补偿并不厚，简单降仓会把风险降下来，也会把收益一起降掉。实盘若使用这类策略，更合理的做法是先控制组合层面的权益敞口，而不是指望单策略风控提升 Sharpe。</w:t>
      </w:r>
    </w:p>
    <w:p>
      <w:pPr>
        <w:pStyle w:val="Heading1"/>
        <w:keepNext/>
        <w:spacing w:line="400" w:lineRule="exact" w:after="120" w:before="200"/>
        <w:ind w:firstLine="0" w:left="0"/>
        <w:jc w:val="left"/>
      </w:pPr>
      <w:r>
        <w:rPr>
          <w:rFonts w:ascii="Times New Roman" w:hAnsi="Times New Roman" w:eastAsia="??"/>
          <w:b/>
          <w:color w:val="1F4E79"/>
          <w:sz w:val="32"/>
        </w:rPr>
        <w:t>4. 跨期套利策略</w:t>
      </w:r>
    </w:p>
    <w:p>
      <w:pPr>
        <w:pStyle w:val="Heading2"/>
        <w:keepNext/>
        <w:spacing w:line="400" w:lineRule="exact" w:after="80" w:before="120"/>
        <w:ind w:firstLine="0" w:left="0"/>
        <w:jc w:val="left"/>
      </w:pPr>
      <w:r>
        <w:rPr>
          <w:rFonts w:ascii="Times New Roman" w:hAnsi="Times New Roman" w:eastAsia="??"/>
          <w:b/>
          <w:color w:val="1F4E79"/>
          <w:sz w:val="28"/>
        </w:rPr>
        <w:t>4.1 策略逻辑</w:t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跨期套利使用近月与次近月价差，核心想法是：当价差偏离滚动均值超过一定倍数标准差时开仓，等待价差回归后平仓。参数空间为 K ∈ {1.0, 1.5, 2.0, 2.5}、lookback ∈ {30, 60, 90, 120}，共 16 组。</w:t>
      </w:r>
    </w:p>
    <w:p>
      <w:pPr>
        <w:spacing w:before="120" w:after="80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6531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prea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65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color w:val="5A5A5A"/>
          <w:sz w:val="24"/>
        </w:rPr>
        <w:t>图9 价差与布林带</w:t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图 9 显示价差确实围绕均值波动，但突破布林带后并不总是快速回归。日频数据下，价差回归幅度较小，扣除双边成本后很难留下足够利润。</w:t>
      </w:r>
    </w:p>
    <w:p>
      <w:pPr>
        <w:pStyle w:val="Heading2"/>
        <w:keepNext/>
        <w:spacing w:line="400" w:lineRule="exact" w:after="80" w:before="120"/>
        <w:ind w:firstLine="0" w:left="0"/>
        <w:jc w:val="left"/>
      </w:pPr>
      <w:r>
        <w:rPr>
          <w:rFonts w:ascii="Times New Roman" w:hAnsi="Times New Roman" w:eastAsia="??"/>
          <w:b/>
          <w:color w:val="1F4E79"/>
          <w:sz w:val="28"/>
        </w:rPr>
        <w:t>4.2 回测结果</w:t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在 T+1 执行下，IC 和 IM 均为 0/16 组参数取得正 Sharpe。部分参数有交易触发，但收益统计不是负值就是接近零；更多参数没有形成有效交易。这个结果说明，当前日频布林带规则不适合作为独立跨期套利策略。</w:t>
      </w:r>
    </w:p>
    <w:p>
      <w:pPr>
        <w:pStyle w:val="Heading2"/>
        <w:keepNext/>
        <w:spacing w:line="400" w:lineRule="exact" w:after="80" w:before="120"/>
        <w:ind w:firstLine="0" w:left="0"/>
        <w:jc w:val="left"/>
      </w:pPr>
      <w:r>
        <w:rPr>
          <w:rFonts w:ascii="Times New Roman" w:hAnsi="Times New Roman" w:eastAsia="??"/>
          <w:b/>
          <w:color w:val="1F4E79"/>
          <w:sz w:val="28"/>
        </w:rPr>
        <w:t>4.3 失败原因拆解</w:t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既然结论是“没有交易价值”，更重要的问题是为什么。下面把信号触发、执行摩擦和参数结果拆开看。</w:t>
      </w:r>
    </w:p>
    <w:tbl>
      <w:tblPr>
        <w:tblStyle w:val="TableGrid"/>
        <w:tblW w:type="dxa" w:w="8958"/>
        <w:jc w:val="center"/>
        <w:tblLook w:firstColumn="1" w:firstRow="1" w:lastColumn="0" w:lastRow="0" w:noHBand="0" w:noVBand="1" w:val="04A0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c>
          <w:tcPr>
            <w:tcW w:type="dxa" w:w="814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6"/>
              </w:rPr>
              <w:t>品种</w:t>
            </w:r>
          </w:p>
        </w:tc>
        <w:tc>
          <w:tcPr>
            <w:tcW w:type="dxa" w:w="814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6"/>
              </w:rPr>
              <w:t>信号总数</w:t>
            </w:r>
          </w:p>
        </w:tc>
        <w:tc>
          <w:tcPr>
            <w:tcW w:type="dxa" w:w="814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6"/>
              </w:rPr>
              <w:t>信号频率%</w:t>
            </w:r>
          </w:p>
        </w:tc>
        <w:tc>
          <w:tcPr>
            <w:tcW w:type="dxa" w:w="814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6"/>
              </w:rPr>
              <w:t>价差均值(点)</w:t>
            </w:r>
          </w:p>
        </w:tc>
        <w:tc>
          <w:tcPr>
            <w:tcW w:type="dxa" w:w="814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6"/>
              </w:rPr>
              <w:t>价差波动(点)</w:t>
            </w:r>
          </w:p>
        </w:tc>
        <w:tc>
          <w:tcPr>
            <w:tcW w:type="dxa" w:w="814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6"/>
              </w:rPr>
              <w:t>平均偏离(点)</w:t>
            </w:r>
          </w:p>
        </w:tc>
        <w:tc>
          <w:tcPr>
            <w:tcW w:type="dxa" w:w="814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6"/>
              </w:rPr>
              <w:t>T+1方向正确率%</w:t>
            </w:r>
          </w:p>
        </w:tc>
        <w:tc>
          <w:tcPr>
            <w:tcW w:type="dxa" w:w="814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6"/>
              </w:rPr>
              <w:t>T+1平均价差变化(点)</w:t>
            </w:r>
          </w:p>
        </w:tc>
        <w:tc>
          <w:tcPr>
            <w:tcW w:type="dxa" w:w="814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6"/>
              </w:rPr>
              <w:t>单笔成本(点)</w:t>
            </w:r>
          </w:p>
        </w:tc>
        <w:tc>
          <w:tcPr>
            <w:tcW w:type="dxa" w:w="814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6"/>
              </w:rPr>
              <w:t>参数组总数</w:t>
            </w:r>
          </w:p>
        </w:tc>
        <w:tc>
          <w:tcPr>
            <w:tcW w:type="dxa" w:w="814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6"/>
              </w:rPr>
              <w:t>正Sharpe组数</w:t>
            </w:r>
          </w:p>
        </w:tc>
      </w:tr>
      <w:tr>
        <w:tc>
          <w:tcPr>
            <w:tcW w:type="dxa" w:w="81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IC</w:t>
            </w:r>
          </w:p>
        </w:tc>
        <w:tc>
          <w:tcPr>
            <w:tcW w:type="dxa" w:w="81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0</w:t>
            </w:r>
          </w:p>
        </w:tc>
        <w:tc>
          <w:tcPr>
            <w:tcW w:type="dxa" w:w="81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0.0%</w:t>
            </w:r>
          </w:p>
        </w:tc>
        <w:tc>
          <w:tcPr>
            <w:tcW w:type="dxa" w:w="81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-</w:t>
            </w:r>
          </w:p>
        </w:tc>
        <w:tc>
          <w:tcPr>
            <w:tcW w:type="dxa" w:w="81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-</w:t>
            </w:r>
          </w:p>
        </w:tc>
        <w:tc>
          <w:tcPr>
            <w:tcW w:type="dxa" w:w="81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0.0</w:t>
            </w:r>
          </w:p>
        </w:tc>
        <w:tc>
          <w:tcPr>
            <w:tcW w:type="dxa" w:w="81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0.0%</w:t>
            </w:r>
          </w:p>
        </w:tc>
        <w:tc>
          <w:tcPr>
            <w:tcW w:type="dxa" w:w="81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0.00</w:t>
            </w:r>
          </w:p>
        </w:tc>
        <w:tc>
          <w:tcPr>
            <w:tcW w:type="dxa" w:w="81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-</w:t>
            </w:r>
          </w:p>
        </w:tc>
        <w:tc>
          <w:tcPr>
            <w:tcW w:type="dxa" w:w="81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16</w:t>
            </w:r>
          </w:p>
        </w:tc>
        <w:tc>
          <w:tcPr>
            <w:tcW w:type="dxa" w:w="81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0</w:t>
            </w:r>
          </w:p>
        </w:tc>
      </w:tr>
      <w:tr>
        <w:tc>
          <w:tcPr>
            <w:tcW w:type="dxa" w:w="81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IM</w:t>
            </w:r>
          </w:p>
        </w:tc>
        <w:tc>
          <w:tcPr>
            <w:tcW w:type="dxa" w:w="81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0</w:t>
            </w:r>
          </w:p>
        </w:tc>
        <w:tc>
          <w:tcPr>
            <w:tcW w:type="dxa" w:w="81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0.0%</w:t>
            </w:r>
          </w:p>
        </w:tc>
        <w:tc>
          <w:tcPr>
            <w:tcW w:type="dxa" w:w="81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-</w:t>
            </w:r>
          </w:p>
        </w:tc>
        <w:tc>
          <w:tcPr>
            <w:tcW w:type="dxa" w:w="81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-</w:t>
            </w:r>
          </w:p>
        </w:tc>
        <w:tc>
          <w:tcPr>
            <w:tcW w:type="dxa" w:w="81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0.0</w:t>
            </w:r>
          </w:p>
        </w:tc>
        <w:tc>
          <w:tcPr>
            <w:tcW w:type="dxa" w:w="81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0.0%</w:t>
            </w:r>
          </w:p>
        </w:tc>
        <w:tc>
          <w:tcPr>
            <w:tcW w:type="dxa" w:w="81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0.00</w:t>
            </w:r>
          </w:p>
        </w:tc>
        <w:tc>
          <w:tcPr>
            <w:tcW w:type="dxa" w:w="81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-</w:t>
            </w:r>
          </w:p>
        </w:tc>
        <w:tc>
          <w:tcPr>
            <w:tcW w:type="dxa" w:w="81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16</w:t>
            </w:r>
          </w:p>
        </w:tc>
        <w:tc>
          <w:tcPr>
            <w:tcW w:type="dxa" w:w="81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0</w:t>
            </w:r>
          </w:p>
        </w:tc>
      </w:tr>
    </w:tbl>
    <w:p>
      <w:pPr>
        <w:spacing w:before="0" w:after="0"/>
        <w:ind w:firstLine="0"/>
      </w:pPr>
    </w:p>
    <w:p>
      <w:pPr>
        <w:spacing w:before="120" w:after="80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6169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pread_failur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61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color w:val="5A5A5A"/>
          <w:sz w:val="24"/>
        </w:rPr>
        <w:t>图10 跨期套利失败原因</w:t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代表性布林带条件下没有形成有效触发，完整参数扫描也没有正 Sharpe 组合。这个结果比“成本太高”更本质：日频收盘价下，近月-次近月价差的可捕捉偏离太少，T+1 执行进一步错过了可能存在的短暂回归。后续如果继续研究跨期价差，应该先换成分钟级行情和盘口数据，而不是继续在日频参数上做网格搜索。</w:t>
      </w:r>
    </w:p>
    <w:p>
      <w:pPr>
        <w:pStyle w:val="Heading1"/>
        <w:keepNext/>
        <w:spacing w:line="400" w:lineRule="exact" w:after="120" w:before="200"/>
        <w:ind w:firstLine="0" w:left="0"/>
        <w:jc w:val="left"/>
      </w:pPr>
      <w:r>
        <w:rPr>
          <w:rFonts w:ascii="Times New Roman" w:hAnsi="Times New Roman" w:eastAsia="??"/>
          <w:b/>
          <w:color w:val="1F4E79"/>
          <w:sz w:val="32"/>
        </w:rPr>
        <w:t>5. 统计验证与收益归因</w:t>
      </w:r>
    </w:p>
    <w:p>
      <w:pPr>
        <w:pStyle w:val="Heading2"/>
        <w:keepNext/>
        <w:spacing w:line="400" w:lineRule="exact" w:after="80" w:before="120"/>
        <w:ind w:firstLine="0" w:left="0"/>
        <w:jc w:val="left"/>
      </w:pPr>
      <w:r>
        <w:rPr>
          <w:rFonts w:ascii="Times New Roman" w:hAnsi="Times New Roman" w:eastAsia="??"/>
          <w:b/>
          <w:color w:val="1F4E79"/>
          <w:sz w:val="28"/>
        </w:rPr>
        <w:t>5.1 Bootstrap 检验</w:t>
      </w:r>
    </w:p>
    <w:tbl>
      <w:tblPr>
        <w:tblStyle w:val="TableGrid"/>
        <w:tblW w:type="dxa" w:w="8958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493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9"/>
              </w:rPr>
              <w:t>品种</w:t>
            </w:r>
          </w:p>
        </w:tc>
        <w:tc>
          <w:tcPr>
            <w:tcW w:type="dxa" w:w="1493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9"/>
              </w:rPr>
              <w:t>观测 Sharpe 差异</w:t>
            </w:r>
          </w:p>
        </w:tc>
        <w:tc>
          <w:tcPr>
            <w:tcW w:type="dxa" w:w="1493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9"/>
              </w:rPr>
              <w:t>95% CI 下限</w:t>
            </w:r>
          </w:p>
        </w:tc>
        <w:tc>
          <w:tcPr>
            <w:tcW w:type="dxa" w:w="1493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9"/>
              </w:rPr>
              <w:t>95% CI 上限</w:t>
            </w:r>
          </w:p>
        </w:tc>
        <w:tc>
          <w:tcPr>
            <w:tcW w:type="dxa" w:w="1493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9"/>
              </w:rPr>
              <w:t>p 值</w:t>
            </w:r>
          </w:p>
        </w:tc>
        <w:tc>
          <w:tcPr>
            <w:tcW w:type="dxa" w:w="1493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9"/>
              </w:rPr>
              <w:t>是否覆盖 0</w:t>
            </w:r>
          </w:p>
        </w:tc>
      </w:tr>
      <w:tr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IC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0.3051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-0.1669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0.8246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0.1980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是</w:t>
            </w:r>
          </w:p>
        </w:tc>
      </w:tr>
      <w:tr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IM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0.2864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-0.4077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1.0583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0.4100</w:t>
            </w:r>
          </w:p>
        </w:tc>
        <w:tc>
          <w:tcPr>
            <w:tcW w:type="dxa" w:w="1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是</w:t>
            </w:r>
          </w:p>
        </w:tc>
      </w:tr>
    </w:tbl>
    <w:p>
      <w:pPr>
        <w:spacing w:before="0" w:after="0"/>
        <w:ind w:firstLine="0"/>
      </w:pPr>
    </w:p>
    <w:p>
      <w:pPr>
        <w:spacing w:before="120" w:after="80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6799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bootstra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679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color w:val="5A5A5A"/>
          <w:sz w:val="24"/>
        </w:rPr>
        <w:t>图11 Bootstrap 分布</w:t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Bootstrap 的结果比较关键。策略相对指数的 Sharpe 差异为正，但置信区间覆盖 0。换句话说，历史样本中看到了超额，但从统计角度还不能排除"这只是样本波动"的可能。IM 的区间更宽，原因是样本更短。</w:t>
      </w:r>
    </w:p>
    <w:p>
      <w:pPr>
        <w:pStyle w:val="Heading2"/>
        <w:keepNext/>
        <w:spacing w:line="400" w:lineRule="exact" w:after="80" w:before="120"/>
        <w:ind w:firstLine="0" w:left="0"/>
        <w:jc w:val="left"/>
      </w:pPr>
      <w:r>
        <w:rPr>
          <w:rFonts w:ascii="Times New Roman" w:hAnsi="Times New Roman" w:eastAsia="??"/>
          <w:b/>
          <w:color w:val="1F4E79"/>
          <w:sz w:val="28"/>
        </w:rPr>
        <w:t>5.2 无截距收益归因</w:t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采用无截距回归：策略收益 = β × 指数收益 + 残差。这个设定把策略收益拆成"指数驱动"和"其他来源"两部分。</w:t>
      </w:r>
    </w:p>
    <w:tbl>
      <w:tblPr>
        <w:tblStyle w:val="TableGrid"/>
        <w:tblW w:type="dxa" w:w="8958"/>
        <w:jc w:val="center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119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6"/>
              </w:rPr>
              <w:t>品种</w:t>
            </w:r>
          </w:p>
        </w:tc>
        <w:tc>
          <w:tcPr>
            <w:tcW w:type="dxa" w:w="1119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6"/>
              </w:rPr>
              <w:t>策略</w:t>
            </w:r>
          </w:p>
        </w:tc>
        <w:tc>
          <w:tcPr>
            <w:tcW w:type="dxa" w:w="1119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6"/>
              </w:rPr>
              <w:t>Beta</w:t>
            </w:r>
          </w:p>
        </w:tc>
        <w:tc>
          <w:tcPr>
            <w:tcW w:type="dxa" w:w="1119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6"/>
              </w:rPr>
              <w:t>残差年化</w:t>
            </w:r>
          </w:p>
        </w:tc>
        <w:tc>
          <w:tcPr>
            <w:tcW w:type="dxa" w:w="1119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6"/>
              </w:rPr>
              <w:t>Newey-West t 值</w:t>
            </w:r>
          </w:p>
        </w:tc>
        <w:tc>
          <w:tcPr>
            <w:tcW w:type="dxa" w:w="1119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6"/>
              </w:rPr>
              <w:t>R²</w:t>
            </w:r>
          </w:p>
        </w:tc>
        <w:tc>
          <w:tcPr>
            <w:tcW w:type="dxa" w:w="1119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6"/>
              </w:rPr>
              <w:t>跟踪误差</w:t>
            </w:r>
          </w:p>
        </w:tc>
        <w:tc>
          <w:tcPr>
            <w:tcW w:type="dxa" w:w="1119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6"/>
              </w:rPr>
              <w:t>信息比率</w:t>
            </w:r>
          </w:p>
        </w:tc>
      </w:tr>
      <w:tr>
        <w:tc>
          <w:tcPr>
            <w:tcW w:type="dxa" w:w="111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IC</w:t>
            </w:r>
          </w:p>
        </w:tc>
        <w:tc>
          <w:tcPr>
            <w:tcW w:type="dxa" w:w="111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Always</w:t>
            </w:r>
          </w:p>
        </w:tc>
        <w:tc>
          <w:tcPr>
            <w:tcW w:type="dxa" w:w="111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-0.03</w:t>
            </w:r>
          </w:p>
        </w:tc>
        <w:tc>
          <w:tcPr>
            <w:tcW w:type="dxa" w:w="111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13.79%</w:t>
            </w:r>
          </w:p>
        </w:tc>
        <w:tc>
          <w:tcPr>
            <w:tcW w:type="dxa" w:w="111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-0.71</w:t>
            </w:r>
          </w:p>
        </w:tc>
        <w:tc>
          <w:tcPr>
            <w:tcW w:type="dxa" w:w="111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0.001</w:t>
            </w:r>
          </w:p>
        </w:tc>
        <w:tc>
          <w:tcPr>
            <w:tcW w:type="dxa" w:w="111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30.04%</w:t>
            </w:r>
          </w:p>
        </w:tc>
        <w:tc>
          <w:tcPr>
            <w:tcW w:type="dxa" w:w="111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0.46</w:t>
            </w:r>
          </w:p>
        </w:tc>
      </w:tr>
      <w:tr>
        <w:tc>
          <w:tcPr>
            <w:tcW w:type="dxa" w:w="111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IC</w:t>
            </w:r>
          </w:p>
        </w:tc>
        <w:tc>
          <w:tcPr>
            <w:tcW w:type="dxa" w:w="111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B&lt;-1.5%</w:t>
            </w:r>
          </w:p>
        </w:tc>
        <w:tc>
          <w:tcPr>
            <w:tcW w:type="dxa" w:w="111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0.02</w:t>
            </w:r>
          </w:p>
        </w:tc>
        <w:tc>
          <w:tcPr>
            <w:tcW w:type="dxa" w:w="111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8.33%</w:t>
            </w:r>
          </w:p>
        </w:tc>
        <w:tc>
          <w:tcPr>
            <w:tcW w:type="dxa" w:w="111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0.48</w:t>
            </w:r>
          </w:p>
        </w:tc>
        <w:tc>
          <w:tcPr>
            <w:tcW w:type="dxa" w:w="111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0.000</w:t>
            </w:r>
          </w:p>
        </w:tc>
        <w:tc>
          <w:tcPr>
            <w:tcW w:type="dxa" w:w="111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17.80%</w:t>
            </w:r>
          </w:p>
        </w:tc>
        <w:tc>
          <w:tcPr>
            <w:tcW w:type="dxa" w:w="111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0.47</w:t>
            </w:r>
          </w:p>
        </w:tc>
      </w:tr>
      <w:tr>
        <w:tc>
          <w:tcPr>
            <w:tcW w:type="dxa" w:w="111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IM</w:t>
            </w:r>
          </w:p>
        </w:tc>
        <w:tc>
          <w:tcPr>
            <w:tcW w:type="dxa" w:w="111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Always</w:t>
            </w:r>
          </w:p>
        </w:tc>
        <w:tc>
          <w:tcPr>
            <w:tcW w:type="dxa" w:w="111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0.08</w:t>
            </w:r>
          </w:p>
        </w:tc>
        <w:tc>
          <w:tcPr>
            <w:tcW w:type="dxa" w:w="111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19.11%</w:t>
            </w:r>
          </w:p>
        </w:tc>
        <w:tc>
          <w:tcPr>
            <w:tcW w:type="dxa" w:w="111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1.18</w:t>
            </w:r>
          </w:p>
        </w:tc>
        <w:tc>
          <w:tcPr>
            <w:tcW w:type="dxa" w:w="111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0.004</w:t>
            </w:r>
          </w:p>
        </w:tc>
        <w:tc>
          <w:tcPr>
            <w:tcW w:type="dxa" w:w="111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32.67%</w:t>
            </w:r>
          </w:p>
        </w:tc>
        <w:tc>
          <w:tcPr>
            <w:tcW w:type="dxa" w:w="111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0.59</w:t>
            </w:r>
          </w:p>
        </w:tc>
      </w:tr>
      <w:tr>
        <w:tc>
          <w:tcPr>
            <w:tcW w:type="dxa" w:w="111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IM</w:t>
            </w:r>
          </w:p>
        </w:tc>
        <w:tc>
          <w:tcPr>
            <w:tcW w:type="dxa" w:w="111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B&lt;-1.5%</w:t>
            </w:r>
          </w:p>
        </w:tc>
        <w:tc>
          <w:tcPr>
            <w:tcW w:type="dxa" w:w="111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0.01</w:t>
            </w:r>
          </w:p>
        </w:tc>
        <w:tc>
          <w:tcPr>
            <w:tcW w:type="dxa" w:w="111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11.03%</w:t>
            </w:r>
          </w:p>
        </w:tc>
        <w:tc>
          <w:tcPr>
            <w:tcW w:type="dxa" w:w="111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0.37</w:t>
            </w:r>
          </w:p>
        </w:tc>
        <w:tc>
          <w:tcPr>
            <w:tcW w:type="dxa" w:w="111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0.000</w:t>
            </w:r>
          </w:p>
        </w:tc>
        <w:tc>
          <w:tcPr>
            <w:tcW w:type="dxa" w:w="111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12.74%</w:t>
            </w:r>
          </w:p>
        </w:tc>
        <w:tc>
          <w:tcPr>
            <w:tcW w:type="dxa" w:w="111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0.87</w:t>
            </w:r>
          </w:p>
        </w:tc>
      </w:tr>
    </w:tbl>
    <w:p>
      <w:pPr>
        <w:spacing w:before="0" w:after="0"/>
        <w:ind w:firstLine="0"/>
      </w:pPr>
    </w:p>
    <w:p>
      <w:pPr>
        <w:spacing w:before="120" w:after="80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31265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ttribu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12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color w:val="5A5A5A"/>
          <w:sz w:val="24"/>
        </w:rPr>
        <w:t>图12 收益归因分解</w:t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Beta 很低，R² 也接近 0。用同期指数日收益解释策略日收益的效果很差——策略日收益里包含大量换仓跳跃、贴水收敛和期货自身价格路径的影响，简单一元回归拆不干净。</w:t>
      </w:r>
    </w:p>
    <w:p>
      <w:pPr>
        <w:pStyle w:val="Heading2"/>
        <w:keepNext/>
        <w:spacing w:line="400" w:lineRule="exact" w:after="80" w:before="120"/>
        <w:ind w:firstLine="0" w:left="0"/>
        <w:jc w:val="left"/>
      </w:pPr>
      <w:r>
        <w:rPr>
          <w:rFonts w:ascii="Times New Roman" w:hAnsi="Times New Roman" w:eastAsia="??"/>
          <w:b/>
          <w:color w:val="1F4E79"/>
          <w:sz w:val="28"/>
        </w:rPr>
        <w:t>5.3 有截距 CAPM 归因</w:t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加入截距项后，归因变为：策略收益 = α + β × 指数收益 + ε。α 衡量扣除指数 beta 暴露后的平均日超额。</w:t>
      </w:r>
    </w:p>
    <w:tbl>
      <w:tblPr>
        <w:tblStyle w:val="TableGrid"/>
        <w:tblW w:type="dxa" w:w="8958"/>
        <w:jc w:val="center"/>
        <w:tblLook w:firstColumn="1" w:firstRow="1" w:lastColumn="0" w:lastRow="0" w:noHBand="0" w:noVBand="1" w:val="04A0"/>
      </w:tblPr>
      <w:tblGrid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</w:tblGrid>
      <w:tr>
        <w:tc>
          <w:tcPr>
            <w:tcW w:type="dxa" w:w="895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6"/>
              </w:rPr>
              <w:t>品种</w:t>
            </w:r>
          </w:p>
        </w:tc>
        <w:tc>
          <w:tcPr>
            <w:tcW w:type="dxa" w:w="895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6"/>
              </w:rPr>
              <w:t>策略</w:t>
            </w:r>
          </w:p>
        </w:tc>
        <w:tc>
          <w:tcPr>
            <w:tcW w:type="dxa" w:w="895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6"/>
              </w:rPr>
              <w:t>alpha_annual%</w:t>
            </w:r>
          </w:p>
        </w:tc>
        <w:tc>
          <w:tcPr>
            <w:tcW w:type="dxa" w:w="895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6"/>
              </w:rPr>
              <w:t>t_alpha</w:t>
            </w:r>
          </w:p>
        </w:tc>
        <w:tc>
          <w:tcPr>
            <w:tcW w:type="dxa" w:w="895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6"/>
              </w:rPr>
              <w:t>beta</w:t>
            </w:r>
          </w:p>
        </w:tc>
        <w:tc>
          <w:tcPr>
            <w:tcW w:type="dxa" w:w="895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6"/>
              </w:rPr>
              <w:t>t_beta</w:t>
            </w:r>
          </w:p>
        </w:tc>
        <w:tc>
          <w:tcPr>
            <w:tcW w:type="dxa" w:w="895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6"/>
              </w:rPr>
              <w:t>R²</w:t>
            </w:r>
          </w:p>
        </w:tc>
        <w:tc>
          <w:tcPr>
            <w:tcW w:type="dxa" w:w="895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6"/>
              </w:rPr>
              <w:t>beta_无截距</w:t>
            </w:r>
          </w:p>
        </w:tc>
        <w:tc>
          <w:tcPr>
            <w:tcW w:type="dxa" w:w="895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6"/>
              </w:rPr>
              <w:t>R²_无截距</w:t>
            </w:r>
          </w:p>
        </w:tc>
        <w:tc>
          <w:tcPr>
            <w:tcW w:type="dxa" w:w="895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6"/>
              </w:rPr>
              <w:t>N</w:t>
            </w:r>
          </w:p>
        </w:tc>
      </w:tr>
      <w:tr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IC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Always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13.79%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1.52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-0.030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-1.28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0.0006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-0.030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0.0006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2641</w:t>
            </w:r>
          </w:p>
        </w:tc>
      </w:tr>
      <w:tr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IC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B&lt;-1.5%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8.33%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1.55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0.016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1.12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0.0005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0.016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0.0005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2641</w:t>
            </w:r>
          </w:p>
        </w:tc>
      </w:tr>
      <w:tr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IM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Always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19.12%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1.11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0.084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1.79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0.0037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0.085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0.0038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871</w:t>
            </w:r>
          </w:p>
        </w:tc>
      </w:tr>
      <w:tr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IM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B&lt;-1.5%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11.03%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1.64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0.008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0.46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0.0002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0.009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0.0003</w:t>
            </w:r>
          </w:p>
        </w:tc>
        <w:tc>
          <w:tcPr>
            <w:tcW w:type="dxa" w:w="89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28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6"/>
              </w:rPr>
              <w:t>871</w:t>
            </w:r>
          </w:p>
        </w:tc>
      </w:tr>
    </w:tbl>
    <w:p>
      <w:pPr>
        <w:spacing w:before="0" w:after="0"/>
        <w:ind w:firstLine="0"/>
      </w:pPr>
    </w:p>
    <w:p>
      <w:pPr>
        <w:spacing w:before="120" w:after="80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03064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apm_attributi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30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color w:val="5A5A5A"/>
          <w:sz w:val="24"/>
        </w:rPr>
        <w:t>图13 有截距CAPM归因</w:t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日频 CAPM 下，α 为正但 t 值均低于 2，不能认为有稳定独立 alpha。β 和 R² 也偏低，说明同期指数日收益不能充分解释策略日收益。这个结果并不意味着策略没有权益风险，而是日频收益里混入了合约切换、展期、基差收敛和现金时段等噪声。</w:t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为了做一个稳健性检查，进一步用月度收益重新回归：</w:t>
      </w:r>
    </w:p>
    <w:tbl>
      <w:tblPr>
        <w:tblStyle w:val="TableGrid"/>
        <w:tblW w:type="dxa" w:w="8958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279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9"/>
              </w:rPr>
              <w:t>品种</w:t>
            </w:r>
          </w:p>
        </w:tc>
        <w:tc>
          <w:tcPr>
            <w:tcW w:type="dxa" w:w="1279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9"/>
              </w:rPr>
              <w:t>alpha年化%</w:t>
            </w:r>
          </w:p>
        </w:tc>
        <w:tc>
          <w:tcPr>
            <w:tcW w:type="dxa" w:w="1279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9"/>
              </w:rPr>
              <w:t>t(alpha)</w:t>
            </w:r>
          </w:p>
        </w:tc>
        <w:tc>
          <w:tcPr>
            <w:tcW w:type="dxa" w:w="1279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9"/>
              </w:rPr>
              <w:t>beta</w:t>
            </w:r>
          </w:p>
        </w:tc>
        <w:tc>
          <w:tcPr>
            <w:tcW w:type="dxa" w:w="1279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9"/>
              </w:rPr>
              <w:t>t(beta)</w:t>
            </w:r>
          </w:p>
        </w:tc>
        <w:tc>
          <w:tcPr>
            <w:tcW w:type="dxa" w:w="1279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9"/>
              </w:rPr>
              <w:t>R²</w:t>
            </w:r>
          </w:p>
        </w:tc>
        <w:tc>
          <w:tcPr>
            <w:tcW w:type="dxa" w:w="1279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9"/>
              </w:rPr>
              <w:t>月数</w:t>
            </w:r>
          </w:p>
        </w:tc>
      </w:tr>
      <w:tr>
        <w:tc>
          <w:tcPr>
            <w:tcW w:type="dxa" w:w="127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IC</w:t>
            </w:r>
          </w:p>
        </w:tc>
        <w:tc>
          <w:tcPr>
            <w:tcW w:type="dxa" w:w="127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9.16%</w:t>
            </w:r>
          </w:p>
        </w:tc>
        <w:tc>
          <w:tcPr>
            <w:tcW w:type="dxa" w:w="127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1.94</w:t>
            </w:r>
          </w:p>
        </w:tc>
        <w:tc>
          <w:tcPr>
            <w:tcW w:type="dxa" w:w="127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0.67</w:t>
            </w:r>
          </w:p>
        </w:tc>
        <w:tc>
          <w:tcPr>
            <w:tcW w:type="dxa" w:w="127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12.98</w:t>
            </w:r>
          </w:p>
        </w:tc>
        <w:tc>
          <w:tcPr>
            <w:tcW w:type="dxa" w:w="127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0.566</w:t>
            </w:r>
          </w:p>
        </w:tc>
        <w:tc>
          <w:tcPr>
            <w:tcW w:type="dxa" w:w="127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131</w:t>
            </w:r>
          </w:p>
        </w:tc>
      </w:tr>
      <w:tr>
        <w:tc>
          <w:tcPr>
            <w:tcW w:type="dxa" w:w="127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IM</w:t>
            </w:r>
          </w:p>
        </w:tc>
        <w:tc>
          <w:tcPr>
            <w:tcW w:type="dxa" w:w="127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11.07%</w:t>
            </w:r>
          </w:p>
        </w:tc>
        <w:tc>
          <w:tcPr>
            <w:tcW w:type="dxa" w:w="127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1.32</w:t>
            </w:r>
          </w:p>
        </w:tc>
        <w:tc>
          <w:tcPr>
            <w:tcW w:type="dxa" w:w="127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0.76</w:t>
            </w:r>
          </w:p>
        </w:tc>
        <w:tc>
          <w:tcPr>
            <w:tcW w:type="dxa" w:w="127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8.82</w:t>
            </w:r>
          </w:p>
        </w:tc>
        <w:tc>
          <w:tcPr>
            <w:tcW w:type="dxa" w:w="127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0.649</w:t>
            </w:r>
          </w:p>
        </w:tc>
        <w:tc>
          <w:tcPr>
            <w:tcW w:type="dxa" w:w="127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44</w:t>
            </w:r>
          </w:p>
        </w:tc>
      </w:tr>
    </w:tbl>
    <w:p>
      <w:pPr>
        <w:spacing w:before="0" w:after="0"/>
        <w:ind w:firstLine="0"/>
      </w:pP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月频结果更符合金融直觉：IC Always 的 β 约 0.67，IM Always 的 β 约 0.76，R² 分别为 0.566 和 0.649。这说明策略确实有明显权益方向暴露，只是日频回归容易被期货合约和展期噪声稀释。报告采用的归因结论是：收益来自权益 beta、贴水收敛和展期补偿的混合，不应把日频残差直接解释为纯 alpha。</w:t>
      </w:r>
    </w:p>
    <w:p>
      <w:pPr>
        <w:pStyle w:val="Heading1"/>
        <w:keepNext/>
        <w:spacing w:line="400" w:lineRule="exact" w:after="120" w:before="200"/>
        <w:ind w:firstLine="0" w:left="0"/>
        <w:jc w:val="left"/>
      </w:pPr>
      <w:r>
        <w:rPr>
          <w:rFonts w:ascii="Times New Roman" w:hAnsi="Times New Roman" w:eastAsia="??"/>
          <w:b/>
          <w:color w:val="1F4E79"/>
          <w:sz w:val="32"/>
        </w:rPr>
        <w:t>6. 补充分析</w:t>
      </w:r>
    </w:p>
    <w:p>
      <w:pPr>
        <w:pStyle w:val="Heading2"/>
        <w:keepNext/>
        <w:spacing w:line="400" w:lineRule="exact" w:after="80" w:before="120"/>
        <w:ind w:firstLine="0" w:left="0"/>
        <w:jc w:val="left"/>
      </w:pPr>
      <w:r>
        <w:rPr>
          <w:rFonts w:ascii="Times New Roman" w:hAnsi="Times New Roman" w:eastAsia="??"/>
          <w:b/>
          <w:color w:val="1F4E79"/>
          <w:sz w:val="28"/>
        </w:rPr>
        <w:t>6.1 成本压力</w:t>
      </w:r>
    </w:p>
    <w:p>
      <w:pPr>
        <w:spacing w:before="120" w:after="80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5615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st_stres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56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color w:val="5A5A5A"/>
          <w:sz w:val="24"/>
        </w:rPr>
        <w:t>图14 成本压力测试</w:t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成本压力测试显示，IC Always 对交易成本并不敏感。原因很直接：策略换手低，主要交易发生在展期时，期货手续费相对名义本金很小。即便成本提高到基准的 10 倍，年化收益下降也有限。</w:t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这并不等于策略稳健。成本不是主要矛盾，主要矛盾是市场方向风险和贴水结构能否持续。如果未来股指期货贴水明显收窄，或转入长期升水，策略的收益来源会变弱。</w:t>
      </w:r>
    </w:p>
    <w:p>
      <w:pPr>
        <w:pStyle w:val="Heading2"/>
        <w:keepNext/>
        <w:spacing w:line="400" w:lineRule="exact" w:after="80" w:before="120"/>
        <w:ind w:firstLine="0" w:left="0"/>
        <w:jc w:val="left"/>
      </w:pPr>
      <w:r>
        <w:rPr>
          <w:rFonts w:ascii="Times New Roman" w:hAnsi="Times New Roman" w:eastAsia="??"/>
          <w:b/>
          <w:color w:val="1F4E79"/>
          <w:sz w:val="28"/>
        </w:rPr>
        <w:t>6.2 IC 与 IM 的组合价值</w:t>
      </w:r>
    </w:p>
    <w:p>
      <w:pPr>
        <w:spacing w:before="120" w:after="80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557459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rrelati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574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color w:val="5A5A5A"/>
          <w:sz w:val="24"/>
        </w:rPr>
        <w:t>图15 IC-IM 日收益相关性</w:t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IC 和 IM 日收益相关性约为 0.95，说明二者高度同涨同跌。把两个品种简单组合，并不能形成有效分散。对私募组合管理而言，IC 和 IM 更像同一类权益 beta 暴露的不同载体，而不是两条独立收益曲线。</w:t>
      </w:r>
    </w:p>
    <w:p>
      <w:pPr>
        <w:pStyle w:val="Heading2"/>
        <w:keepNext/>
        <w:spacing w:line="400" w:lineRule="exact" w:after="80" w:before="120"/>
        <w:ind w:firstLine="0" w:left="0"/>
        <w:jc w:val="left"/>
      </w:pPr>
      <w:r>
        <w:rPr>
          <w:rFonts w:ascii="Times New Roman" w:hAnsi="Times New Roman" w:eastAsia="??"/>
          <w:b/>
          <w:color w:val="1F4E79"/>
          <w:sz w:val="28"/>
        </w:rPr>
        <w:t>6.3 交易制度与资金占用</w:t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吃贴水策略在实际交易中需要考虑制度层面的约束。</w:t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保证金与杠杆。中金所股指期货保证金比例通常在 12% 左右。以 IC 当前约 5500 点的价格计算，一手合约名义本金约 110 万元（5500 × 200），保证金约 13.2 万元。如果初始资金 100 万元，保守估计可以持有 3-5 手，杠杆倍数约 3-5 倍。如果追求更高杠杆，账户内需要保留足够现金应对逐日盯市的浮动亏损——一旦盘中保证金不足又没有及时补缴，持仓会被期货公司强平。</w:t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展期操作。主力合约切换日通常伴随着成交量从近月向次近月转移。在换仓当天，需要同时平掉旧合约、开仓新合约。两个操作之间有一个短暂的双边持仓期，这期间的保证金占用会翻倍。如果资金刚好卡在边缘，需要提前准备额外的现金缓冲。实际交易中，可以把展期操作拆到两三天完成，降低瞬时资金压力。</w:t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交易限制的历史变化。2015 年股灾后，中金所大幅提高了保证金比例（从 10% 提升至 40%）、限制了日内开平仓次数、提高了平今仓手续费。这些限制在 2017-2019 年逐步放宽，但交易制度的不确定性是策略实盘必须面对的风险。2022 年后交易规则已基本恢复常态，但不能排除未来市场异常波动时再次收紧。</w:t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合约流动性。主力合约流动性充裕，单笔几十手的买卖对价格冲击可以忽略。但如果策略规模扩大到几百手以上，展期日的操作需要注意时间分布，避免集中在收盘前几分钟同时换仓——这会导致旧合约被压低、新合约被抬高，产生不必要的展期成本。</w:t>
      </w:r>
    </w:p>
    <w:p>
      <w:pPr>
        <w:pStyle w:val="Heading1"/>
        <w:keepNext/>
        <w:spacing w:line="400" w:lineRule="exact" w:after="120" w:before="200"/>
        <w:ind w:firstLine="0" w:left="0"/>
        <w:jc w:val="left"/>
      </w:pPr>
      <w:r>
        <w:rPr>
          <w:rFonts w:ascii="Times New Roman" w:hAnsi="Times New Roman" w:eastAsia="??"/>
          <w:b/>
          <w:color w:val="1F4E79"/>
          <w:sz w:val="32"/>
        </w:rPr>
        <w:t>7. 风险与局限</w:t>
      </w:r>
    </w:p>
    <w:p>
      <w:pPr>
        <w:pStyle w:val="ListNumber"/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方向风险很重。吃贴水策略表面上是期货展期策略，实际仍然高度依赖股票指数走势。历史最大回撤超过 50%，不适合低回撤目标。</w:t>
      </w:r>
    </w:p>
    <w:p>
      <w:pPr>
        <w:pStyle w:val="ListNumber"/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统计显著性不足。Bootstrap 检验未拒绝 Sharpe 差异为 0 的假设；有截距 CAPM 中 α 的 t 值均低于 2。样本内看到的超额不能直接推成未来稳定收益。</w:t>
      </w:r>
    </w:p>
    <w:p>
      <w:pPr>
        <w:pStyle w:val="ListNumber"/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IM 样本较短。IM 只有 872 个主力样本交易日，经历的完整市场周期有限，结论稳定性低于 IC。</w:t>
      </w:r>
    </w:p>
    <w:p>
      <w:pPr>
        <w:pStyle w:val="ListNumber"/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阈值策略有样本内优化风险。B&lt;-1.5% 在部分指标上更好，但阈值来自样本观察，不代表未来仍然最优。</w:t>
      </w:r>
    </w:p>
    <w:p>
      <w:pPr>
        <w:pStyle w:val="ListNumber"/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跨期套利需要更高频数据验证。日频、T+1 执行下没有可交易结果；代表性布林带条件下甚至没有形成有效触发。问题不在参数选择，而在日频价差机会太薄。</w:t>
      </w:r>
    </w:p>
    <w:p>
      <w:pPr>
        <w:pStyle w:val="ListNumber"/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风险控制不解决问题。波动率目标和回撤控制可以降低波动和回撤，但夏普全部为负——策略的超额本身不够厚，经不起降杠杆和频繁调仓的摩擦。</w:t>
      </w:r>
    </w:p>
    <w:p>
      <w:pPr>
        <w:pStyle w:val="ListNumber"/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市场状态依赖严重。牛市和熊市中的表现天差地别，深度贴水期反而是亏损最重的阶段。不能把贴水本身当作独立的 alpha 来源。</w:t>
      </w:r>
    </w:p>
    <w:p>
      <w:pPr>
        <w:pStyle w:val="ListNumber"/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制度风险不能忽略。股指期货历史上经历过手续费、保证金、开平仓限制等规则变化，策略实盘表现会受交易制度影响。</w:t>
      </w:r>
    </w:p>
    <w:p>
      <w:pPr>
        <w:pStyle w:val="ListNumber"/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组合分散无效。IC 和 IM 相关性 0.95，不能相互对冲风险。</w:t>
      </w:r>
    </w:p>
    <w:p>
      <w:pPr>
        <w:pStyle w:val="ListNumber"/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样本外验证不充分。IC 测试期（2021-2026）未经历 2015 年级别的极端行情，测试期表现好不能证明策略在极端市场中仍然有效。</w:t>
      </w:r>
    </w:p>
    <w:p>
      <w:pPr>
        <w:pStyle w:val="Heading1"/>
        <w:keepNext/>
        <w:spacing w:line="400" w:lineRule="exact" w:after="120" w:before="200"/>
        <w:ind w:firstLine="0" w:left="0"/>
        <w:jc w:val="left"/>
      </w:pPr>
      <w:r>
        <w:rPr>
          <w:rFonts w:ascii="Times New Roman" w:hAnsi="Times New Roman" w:eastAsia="??"/>
          <w:b/>
          <w:color w:val="1F4E79"/>
          <w:sz w:val="32"/>
        </w:rPr>
        <w:t>8. 结论与建议</w:t>
      </w:r>
    </w:p>
    <w:p>
      <w:pPr>
        <w:pStyle w:val="Heading2"/>
        <w:keepNext/>
        <w:spacing w:line="400" w:lineRule="exact" w:after="80" w:before="120"/>
        <w:ind w:firstLine="0" w:left="0"/>
        <w:jc w:val="left"/>
      </w:pPr>
      <w:r>
        <w:rPr>
          <w:rFonts w:ascii="Times New Roman" w:hAnsi="Times New Roman" w:eastAsia="??"/>
          <w:b/>
          <w:color w:val="1F4E79"/>
          <w:sz w:val="28"/>
        </w:rPr>
        <w:t>8.1 投资建议</w:t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吃贴水策略的定位应该非常明确：带有展期补偿的股指期货多头工具，不是市场中性套利。</w:t>
      </w:r>
    </w:p>
    <w:p>
      <w:pPr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对不同类型的资金，建议如下：</w:t>
      </w:r>
    </w:p>
    <w:p>
      <w:pPr>
        <w:pStyle w:val="ListBullet"/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指增/方向性产品：可以配置吃贴水策略作为指数增强模块。相比 ETF 或指数基金，期货贴水提供了额外的展期补偿，年化增厚约 3-9 个百分点（视品种和时段）。需要明确告知投资者，这种增强在熊市中不能避免亏损，只是比直接持有指数少亏一些。</w:t>
      </w:r>
    </w:p>
    <w:p>
      <w:pPr>
        <w:pStyle w:val="ListBullet"/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绝对收益/低回撤产品：不建议单独配置。策略最大回撤超过 50%，远超出绝对收益产品的风控红线。如果一定要用，需要搭配严格的风控止损和杠杆限制，但如 §3.6 所示，风控会显著侵蚀收益。</w:t>
      </w:r>
    </w:p>
    <w:p>
      <w:pPr>
        <w:pStyle w:val="ListBullet"/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多策略组合：可以作为组合中的权益 beta 暴露来源之一，占组合仓位的 10-20%。需要同时配置与权益 beta 负相关或不相关的其他策略（如商品 CTA、期权卖方、国债期货等），否则组合层面仍然是一个方向性押注。</w:t>
      </w:r>
    </w:p>
    <w:p>
      <w:pPr>
        <w:pStyle w:val="Heading2"/>
        <w:keepNext/>
        <w:spacing w:line="400" w:lineRule="exact" w:after="80" w:before="120"/>
        <w:ind w:firstLine="0" w:left="0"/>
        <w:jc w:val="left"/>
      </w:pPr>
      <w:r>
        <w:rPr>
          <w:rFonts w:ascii="Times New Roman" w:hAnsi="Times New Roman" w:eastAsia="??"/>
          <w:b/>
          <w:color w:val="1F4E79"/>
          <w:sz w:val="28"/>
        </w:rPr>
        <w:t>8.2 后续研究方向</w:t>
      </w:r>
    </w:p>
    <w:p>
      <w:pPr>
        <w:pStyle w:val="ListNumber"/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更高频的跨期价差数据。日频 T+1 框架下，价差偏离触发太少，完整参数扫描没有正 Sharpe。如果能在 5 分钟或 tick 级别数据上回测，才有可能判断是否存在日内回归机会。</w:t>
      </w:r>
    </w:p>
    <w:p>
      <w:pPr>
        <w:pStyle w:val="ListNumber"/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多腿价差策略。近月-次近月两腿价差受单一合约到期效应影响大。蝶式套利（三腿：近月-次近月-远月）可能提供更稳定的均值回复特征。</w:t>
      </w:r>
    </w:p>
    <w:p>
      <w:pPr>
        <w:pStyle w:val="ListNumber"/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展期日优化。当前展期规则是到期前固定窗口，没有利用展期日附近的价差变化。可以研究在展期窗口内动态选择最优换仓日，减少展期成本。</w:t>
      </w:r>
    </w:p>
    <w:p>
      <w:pPr>
        <w:pStyle w:val="ListNumber"/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引入其他 alpha 来源。IC/IM 相关性 0.95，品种维度无法分散。需要考虑完全不同的 alpha 来源（期权波动率曲面、可转债、CTA 等）来构建真正的多策略组合。</w:t>
      </w:r>
    </w:p>
    <w:p>
      <w:pPr>
        <w:pStyle w:val="ListNumber"/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机器学习基差预测。当前基差阈值是静态的。可以尝试用市场情绪、资金流向、波动率曲面等特征预测贴水结构的变化方向，动态调整仓位。</w:t>
      </w:r>
    </w:p>
    <w:p>
      <w:pPr>
        <w:pStyle w:val="ListNumber"/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实盘交易制度模拟。加入保证金逐日监控、涨跌停限制、交割月限仓等制度细节，评估策略在真实交易约束下的可行性和资金效率。</w:t>
      </w:r>
    </w:p>
    <w:p>
      <w:pPr>
        <w:pStyle w:val="ListNumber"/>
        <w:spacing w:line="400" w:lineRule="exact" w:after="0" w:before="0"/>
        <w:ind w:firstLine="480" w:left="0" w:right="0"/>
        <w:jc w:val="both"/>
      </w:pPr>
      <w:r>
        <w:rPr>
          <w:rFonts w:ascii="Times New Roman" w:hAnsi="Times New Roman" w:eastAsia="??"/>
          <w:b w:val="0"/>
          <w:sz w:val="24"/>
        </w:rPr>
        <w:t>分红调整后的真实基差。当前基差使用未经分红调整的指数价格。中证 500/1000 成分股每年 5-8 月集中分红，分红期间现货指数自然下跌，会虚增贴水幅度。用分红调整后的指数计算基差，可以更准确衡量展期补偿。</w:t>
      </w:r>
    </w:p>
    <w:p>
      <w:pPr>
        <w:pStyle w:val="Heading1"/>
        <w:keepNext/>
        <w:spacing w:line="400" w:lineRule="exact" w:after="120" w:before="200"/>
        <w:ind w:firstLine="0" w:left="0"/>
        <w:jc w:val="left"/>
      </w:pPr>
      <w:r>
        <w:rPr>
          <w:rFonts w:ascii="Times New Roman" w:hAnsi="Times New Roman" w:eastAsia="??"/>
          <w:b/>
          <w:color w:val="1F4E79"/>
          <w:sz w:val="32"/>
        </w:rPr>
        <w:t>附录：图表清单</w:t>
      </w:r>
    </w:p>
    <w:tbl>
      <w:tblPr>
        <w:tblStyle w:val="TableGrid"/>
        <w:tblW w:type="dxa" w:w="8958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986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9"/>
              </w:rPr>
              <w:t>图号</w:t>
            </w:r>
          </w:p>
        </w:tc>
        <w:tc>
          <w:tcPr>
            <w:tcW w:type="dxa" w:w="2986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9"/>
              </w:rPr>
              <w:t>文件</w:t>
            </w:r>
          </w:p>
        </w:tc>
        <w:tc>
          <w:tcPr>
            <w:tcW w:type="dxa" w:w="2986"/>
            <w:vAlign w:val="center"/>
            <w:shd w:fill="1F4E79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图 1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fig_roll_yield.png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展期收益分布</w:t>
            </w:r>
          </w:p>
        </w:tc>
      </w:tr>
      <w:tr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图 2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fig_nav.png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策略净值曲线</w:t>
            </w:r>
          </w:p>
        </w:tc>
      </w:tr>
      <w:tr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图 3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fig_annual.png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年度收益</w:t>
            </w:r>
          </w:p>
        </w:tc>
      </w:tr>
      <w:tr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图 4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fig_drawdown.png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回撤曲线</w:t>
            </w:r>
          </w:p>
        </w:tc>
      </w:tr>
      <w:tr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图 5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fig_heatmap.png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参数敏感性</w:t>
            </w:r>
          </w:p>
        </w:tc>
      </w:tr>
      <w:tr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图 6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fig_oos_validation.png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样本外验证（训练/测试期对比）</w:t>
            </w:r>
          </w:p>
        </w:tc>
      </w:tr>
      <w:tr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图 7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fig_regime_segmentation.png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市场状态分段分析</w:t>
            </w:r>
          </w:p>
        </w:tc>
      </w:tr>
      <w:tr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图 8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fig_risk_control.png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风险控制策略 NAV 对比</w:t>
            </w:r>
          </w:p>
        </w:tc>
      </w:tr>
      <w:tr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图 9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fig_spread.png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跨期价差与布林带</w:t>
            </w:r>
          </w:p>
        </w:tc>
      </w:tr>
      <w:tr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图 10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fig_spread_failure.png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跨期套利失败原因拆解</w:t>
            </w:r>
          </w:p>
        </w:tc>
      </w:tr>
      <w:tr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图 11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fig_bootstrap.png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Bootstrap 检验</w:t>
            </w:r>
          </w:p>
        </w:tc>
      </w:tr>
      <w:tr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图 12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fig_attribution.png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收益归因（无截距）</w:t>
            </w:r>
          </w:p>
        </w:tc>
      </w:tr>
      <w:tr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图 13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fig_capm_attribution.png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有截距 CAPM 归因</w:t>
            </w:r>
          </w:p>
        </w:tc>
      </w:tr>
      <w:tr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图 14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fig_cost_stress.png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7F9FC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成本压力</w:t>
            </w:r>
          </w:p>
        </w:tc>
      </w:tr>
      <w:tr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图 15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fig_correlation.png</w:t>
            </w:r>
          </w:p>
        </w:tc>
        <w:tc>
          <w:tcPr>
            <w:tcW w:type="dxa" w:w="2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FFFFFF"/>
          </w:tcPr>
          <w:p>
            <w:pPr>
              <w:spacing w:lineRule="exact" w:line="300" w:before="0" w:after="0"/>
              <w:ind w:firstLine="0" w:left="0" w:right="0"/>
              <w:jc w:val="center"/>
            </w:pPr>
            <w:r>
              <w:rPr>
                <w:rFonts w:ascii="Times New Roman" w:hAnsi="Times New Roman" w:eastAsia="??"/>
                <w:b w:val="0"/>
                <w:sz w:val="19"/>
              </w:rPr>
              <w:t>IC-IM 相关性</w:t>
            </w:r>
          </w:p>
        </w:tc>
      </w:tr>
    </w:tbl>
    <w:p>
      <w:pPr>
        <w:spacing w:before="0" w:after="0"/>
        <w:ind w:firstLine="0"/>
      </w:pPr>
    </w:p>
    <w:sectPr w:rsidR="00FC693F" w:rsidRPr="0006063C" w:rsidSect="00034616">
      <w:pgSz w:w="11906" w:h="16838"/>
      <w:pgMar w:top="1417" w:right="1417" w:bottom="1247" w:left="153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400" w:before="0" w:after="0"/>
      <w:ind w:firstLine="480"/>
      <w:jc w:val="both"/>
    </w:pPr>
    <w:rPr>
      <w:rFonts w:ascii="Times New Roman" w:hAnsi="Times New Roman" w:eastAsia="??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 w:lineRule="exact" w:line="400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eastAsia="??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 w:lineRule="exact" w:line="400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??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 w:lineRule="exact" w:line="400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??"/>
      <w:b/>
      <w:bCs/>
      <w:color w:val="1F4E79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