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42" w:type="pct"/>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F"/>
      </w:tblPr>
      <w:tblGrid>
        <w:gridCol w:w="4803"/>
        <w:gridCol w:w="4807"/>
      </w:tblGrid>
      <w:tr w:rsidR="005644F4" w:rsidRPr="008B504B">
        <w:trPr>
          <w:cantSplit/>
        </w:trPr>
        <w:tc>
          <w:tcPr>
            <w:tcW w:w="5000" w:type="pct"/>
            <w:gridSpan w:val="2"/>
            <w:tcBorders>
              <w:top w:val="single" w:sz="12" w:space="0" w:color="000000"/>
            </w:tcBorders>
            <w:shd w:val="solid" w:color="800000" w:fill="FFFFFF"/>
          </w:tcPr>
          <w:p w:rsidR="005644F4" w:rsidRPr="008B504B" w:rsidRDefault="005644F4" w:rsidP="00A82A32">
            <w:pPr>
              <w:pStyle w:val="Title"/>
              <w:rPr>
                <w:b w:val="0"/>
                <w:bCs w:val="0"/>
                <w:sz w:val="20"/>
                <w:szCs w:val="20"/>
              </w:rPr>
            </w:pPr>
            <w:r w:rsidRPr="008B504B">
              <w:rPr>
                <w:b w:val="0"/>
                <w:bCs w:val="0"/>
                <w:sz w:val="20"/>
                <w:szCs w:val="20"/>
              </w:rPr>
              <w:t>South Carolina– Key Features</w:t>
            </w:r>
          </w:p>
        </w:tc>
      </w:tr>
      <w:tr w:rsidR="005644F4" w:rsidRPr="008B504B">
        <w:trPr>
          <w:cantSplit/>
          <w:trHeight w:val="1297"/>
        </w:trPr>
        <w:tc>
          <w:tcPr>
            <w:tcW w:w="5000" w:type="pct"/>
            <w:gridSpan w:val="2"/>
            <w:shd w:val="pct20" w:color="FFFF00" w:fill="FFFFFF"/>
          </w:tcPr>
          <w:p w:rsidR="005644F4" w:rsidRPr="008B504B" w:rsidRDefault="005644F4" w:rsidP="00A82A32">
            <w:pPr>
              <w:pStyle w:val="TOC1"/>
              <w:tabs>
                <w:tab w:val="right" w:leader="dot" w:pos="9304"/>
              </w:tabs>
              <w:rPr>
                <w:rFonts w:ascii="Times New Roman" w:hAnsi="Times New Roman"/>
                <w:noProof/>
                <w:sz w:val="20"/>
                <w:szCs w:val="20"/>
                <w:lang w:val="en-US"/>
              </w:rPr>
            </w:pPr>
            <w:r w:rsidRPr="008B504B">
              <w:rPr>
                <w:sz w:val="20"/>
                <w:szCs w:val="20"/>
              </w:rPr>
              <w:fldChar w:fldCharType="begin"/>
            </w:r>
            <w:r w:rsidRPr="008B504B">
              <w:rPr>
                <w:sz w:val="20"/>
                <w:szCs w:val="20"/>
              </w:rPr>
              <w:instrText xml:space="preserve"> TOC \n \h \z \t "Heading 1,1" </w:instrText>
            </w:r>
            <w:r w:rsidRPr="008B504B">
              <w:rPr>
                <w:sz w:val="20"/>
                <w:szCs w:val="20"/>
              </w:rPr>
              <w:fldChar w:fldCharType="separate"/>
            </w:r>
            <w:hyperlink w:anchor="_Toc136230063" w:history="1">
              <w:r w:rsidRPr="008B504B">
                <w:rPr>
                  <w:rStyle w:val="Hyperlink"/>
                  <w:noProof/>
                  <w:sz w:val="20"/>
                  <w:szCs w:val="20"/>
                </w:rPr>
                <w:t>A. Companies</w:t>
              </w:r>
            </w:hyperlink>
          </w:p>
          <w:p w:rsidR="005644F4" w:rsidRPr="008B504B" w:rsidRDefault="005644F4" w:rsidP="00A82A32">
            <w:pPr>
              <w:pStyle w:val="TOC1"/>
              <w:tabs>
                <w:tab w:val="right" w:leader="dot" w:pos="9304"/>
              </w:tabs>
              <w:rPr>
                <w:rFonts w:ascii="Times New Roman" w:hAnsi="Times New Roman"/>
                <w:noProof/>
                <w:sz w:val="20"/>
                <w:szCs w:val="20"/>
                <w:lang w:val="en-US"/>
              </w:rPr>
            </w:pPr>
            <w:hyperlink w:anchor="_Toc136230064" w:history="1">
              <w:r w:rsidRPr="008B504B">
                <w:rPr>
                  <w:rStyle w:val="Hyperlink"/>
                  <w:noProof/>
                  <w:sz w:val="20"/>
                  <w:szCs w:val="20"/>
                </w:rPr>
                <w:t>B. Individuals</w:t>
              </w:r>
            </w:hyperlink>
          </w:p>
          <w:p w:rsidR="005644F4" w:rsidRPr="00F03BAD" w:rsidRDefault="005644F4" w:rsidP="00A82A32">
            <w:pPr>
              <w:pStyle w:val="TOC1"/>
              <w:tabs>
                <w:tab w:val="right" w:leader="dot" w:pos="9304"/>
              </w:tabs>
            </w:pPr>
            <w:hyperlink w:anchor="_Toc136230065" w:history="1">
              <w:r w:rsidRPr="00F03BAD">
                <w:t>C. Other direct taxes</w:t>
              </w:r>
            </w:hyperlink>
          </w:p>
          <w:p w:rsidR="005644F4" w:rsidRPr="008B504B" w:rsidRDefault="005644F4" w:rsidP="00A82A32">
            <w:pPr>
              <w:pStyle w:val="TOC1"/>
              <w:tabs>
                <w:tab w:val="right" w:leader="dot" w:pos="9304"/>
              </w:tabs>
              <w:rPr>
                <w:rFonts w:ascii="Times New Roman" w:hAnsi="Times New Roman"/>
                <w:noProof/>
                <w:sz w:val="20"/>
                <w:szCs w:val="20"/>
                <w:lang w:val="en-US"/>
              </w:rPr>
            </w:pPr>
            <w:hyperlink w:anchor="_Toc136230066" w:history="1">
              <w:r w:rsidRPr="008B504B">
                <w:rPr>
                  <w:rStyle w:val="Hyperlink"/>
                  <w:noProof/>
                  <w:sz w:val="20"/>
                  <w:szCs w:val="20"/>
                </w:rPr>
                <w:t xml:space="preserve">D. Turnover </w:t>
              </w:r>
              <w:r>
                <w:rPr>
                  <w:rStyle w:val="Hyperlink"/>
                  <w:noProof/>
                  <w:sz w:val="20"/>
                  <w:szCs w:val="20"/>
                </w:rPr>
                <w:t>t</w:t>
              </w:r>
              <w:r w:rsidRPr="008B504B">
                <w:rPr>
                  <w:rStyle w:val="Hyperlink"/>
                  <w:noProof/>
                  <w:sz w:val="20"/>
                  <w:szCs w:val="20"/>
                </w:rPr>
                <w:t>axes</w:t>
              </w:r>
            </w:hyperlink>
          </w:p>
          <w:p w:rsidR="005644F4" w:rsidRPr="008B504B" w:rsidRDefault="005644F4" w:rsidP="00A82A32">
            <w:pPr>
              <w:pStyle w:val="Entry"/>
              <w:rPr>
                <w:sz w:val="20"/>
                <w:szCs w:val="20"/>
              </w:rPr>
            </w:pPr>
            <w:r w:rsidRPr="008B504B">
              <w:rPr>
                <w:sz w:val="20"/>
                <w:szCs w:val="20"/>
              </w:rPr>
              <w:fldChar w:fldCharType="end"/>
            </w:r>
          </w:p>
        </w:tc>
      </w:tr>
      <w:tr w:rsidR="005644F4" w:rsidRPr="008B504B">
        <w:trPr>
          <w:cantSplit/>
        </w:trPr>
        <w:tc>
          <w:tcPr>
            <w:tcW w:w="5000" w:type="pct"/>
            <w:gridSpan w:val="2"/>
            <w:shd w:val="pct20" w:color="FFFF00" w:fill="C0C0C0"/>
          </w:tcPr>
          <w:p w:rsidR="005644F4" w:rsidRPr="008B504B" w:rsidRDefault="005644F4" w:rsidP="00A82A32">
            <w:pPr>
              <w:pStyle w:val="Heading1"/>
              <w:tabs>
                <w:tab w:val="right" w:pos="9363"/>
              </w:tabs>
              <w:rPr>
                <w:sz w:val="20"/>
                <w:szCs w:val="20"/>
              </w:rPr>
            </w:pPr>
            <w:bookmarkStart w:id="0" w:name="_Toc135475481"/>
            <w:bookmarkStart w:id="1" w:name="_Toc136230063"/>
            <w:r w:rsidRPr="008B504B">
              <w:rPr>
                <w:sz w:val="20"/>
                <w:szCs w:val="20"/>
              </w:rPr>
              <w:t>A. Companies</w:t>
            </w:r>
            <w:bookmarkEnd w:id="0"/>
            <w:bookmarkEnd w:id="1"/>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1.  Corporate income tax rates</w:t>
            </w:r>
          </w:p>
        </w:tc>
        <w:tc>
          <w:tcPr>
            <w:tcW w:w="2501" w:type="pct"/>
            <w:shd w:val="pct20" w:color="FFFF00" w:fill="FFFFFF"/>
          </w:tcPr>
          <w:p w:rsidR="005644F4" w:rsidRPr="008B504B" w:rsidRDefault="005644F4" w:rsidP="006B198F">
            <w:pPr>
              <w:rPr>
                <w:sz w:val="20"/>
                <w:szCs w:val="20"/>
              </w:rPr>
            </w:pPr>
            <w:r w:rsidRPr="008B504B">
              <w:rPr>
                <w:sz w:val="20"/>
                <w:szCs w:val="20"/>
              </w:rPr>
              <w:t>Maximum rate 5%</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2.  Tax base</w:t>
            </w:r>
          </w:p>
        </w:tc>
        <w:tc>
          <w:tcPr>
            <w:tcW w:w="2501" w:type="pct"/>
            <w:shd w:val="pct20" w:color="FFFF00" w:fill="FFFFFF"/>
          </w:tcPr>
          <w:p w:rsidR="005644F4" w:rsidRPr="008B504B" w:rsidRDefault="005644F4" w:rsidP="00A82A32">
            <w:pPr>
              <w:rPr>
                <w:sz w:val="20"/>
                <w:szCs w:val="20"/>
              </w:rPr>
            </w:pPr>
            <w:r w:rsidRPr="008B504B">
              <w:rPr>
                <w:sz w:val="20"/>
                <w:szCs w:val="20"/>
              </w:rPr>
              <w:t xml:space="preserve">Federal taxable income, with South Carolina additions and subtractions, </w:t>
            </w:r>
            <w:r>
              <w:rPr>
                <w:sz w:val="20"/>
                <w:szCs w:val="20"/>
              </w:rPr>
              <w:t xml:space="preserve">allocated and </w:t>
            </w:r>
            <w:r w:rsidRPr="008B504B">
              <w:rPr>
                <w:sz w:val="20"/>
                <w:szCs w:val="20"/>
              </w:rPr>
              <w:t xml:space="preserve">apportioned to </w:t>
            </w:r>
            <w:r>
              <w:rPr>
                <w:sz w:val="20"/>
                <w:szCs w:val="20"/>
              </w:rPr>
              <w:t xml:space="preserve">South Carolina </w:t>
            </w:r>
          </w:p>
        </w:tc>
      </w:tr>
      <w:tr w:rsidR="005644F4" w:rsidRPr="008B504B">
        <w:tc>
          <w:tcPr>
            <w:tcW w:w="2499" w:type="pct"/>
            <w:shd w:val="pct20" w:color="FFFF00" w:fill="FFFFFF"/>
          </w:tcPr>
          <w:p w:rsidR="005644F4" w:rsidRPr="008B504B" w:rsidRDefault="005644F4" w:rsidP="00A82A32">
            <w:pPr>
              <w:pStyle w:val="Entry"/>
              <w:ind w:left="432" w:hanging="432"/>
              <w:rPr>
                <w:sz w:val="20"/>
                <w:szCs w:val="20"/>
              </w:rPr>
            </w:pPr>
            <w:r w:rsidRPr="008B504B">
              <w:rPr>
                <w:sz w:val="20"/>
                <w:szCs w:val="20"/>
              </w:rPr>
              <w:t>3.  Business income apportionment formula</w:t>
            </w:r>
          </w:p>
        </w:tc>
        <w:tc>
          <w:tcPr>
            <w:tcW w:w="2501" w:type="pct"/>
            <w:shd w:val="pct20" w:color="FFFF00" w:fill="FFFFFF"/>
          </w:tcPr>
          <w:p w:rsidR="005644F4" w:rsidRPr="008B504B" w:rsidRDefault="005644F4" w:rsidP="00D977C5">
            <w:pPr>
              <w:rPr>
                <w:sz w:val="20"/>
                <w:szCs w:val="20"/>
              </w:rPr>
            </w:pPr>
            <w:r w:rsidRPr="001464DC">
              <w:rPr>
                <w:sz w:val="20"/>
                <w:szCs w:val="20"/>
              </w:rPr>
              <w:t>Three</w:t>
            </w:r>
            <w:r>
              <w:rPr>
                <w:sz w:val="20"/>
                <w:szCs w:val="20"/>
              </w:rPr>
              <w:t>-</w:t>
            </w:r>
            <w:r w:rsidRPr="001464DC">
              <w:rPr>
                <w:sz w:val="20"/>
                <w:szCs w:val="20"/>
              </w:rPr>
              <w:t>factor formula ( property, payroll</w:t>
            </w:r>
            <w:r>
              <w:rPr>
                <w:sz w:val="20"/>
                <w:szCs w:val="20"/>
              </w:rPr>
              <w:t>, sales</w:t>
            </w:r>
            <w:r w:rsidRPr="001464DC">
              <w:rPr>
                <w:sz w:val="20"/>
                <w:szCs w:val="20"/>
              </w:rPr>
              <w:t>) with double</w:t>
            </w:r>
            <w:r>
              <w:rPr>
                <w:sz w:val="20"/>
                <w:szCs w:val="20"/>
              </w:rPr>
              <w:t>-</w:t>
            </w:r>
            <w:r w:rsidRPr="001464DC">
              <w:rPr>
                <w:sz w:val="20"/>
                <w:szCs w:val="20"/>
              </w:rPr>
              <w:t>weighted sales factor</w:t>
            </w:r>
            <w:r w:rsidRPr="008B504B">
              <w:rPr>
                <w:sz w:val="20"/>
                <w:szCs w:val="20"/>
              </w:rPr>
              <w:t xml:space="preserve"> </w:t>
            </w:r>
            <w:r>
              <w:rPr>
                <w:sz w:val="20"/>
                <w:szCs w:val="20"/>
              </w:rPr>
              <w:t xml:space="preserve"> or one-factor formula (sales) or o</w:t>
            </w:r>
            <w:r w:rsidRPr="008B504B">
              <w:rPr>
                <w:sz w:val="20"/>
                <w:szCs w:val="20"/>
              </w:rPr>
              <w:t>ne-factor formula (gross receipts)</w:t>
            </w:r>
            <w:r>
              <w:rPr>
                <w:sz w:val="20"/>
                <w:szCs w:val="20"/>
              </w:rPr>
              <w:t xml:space="preserve"> depending on taxpayer’s principal business; one-factor formula (gross receipts) replacing three-factor formula between 2007 and 2010</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4.  Capital gains</w:t>
            </w:r>
          </w:p>
        </w:tc>
        <w:tc>
          <w:tcPr>
            <w:tcW w:w="2501" w:type="pct"/>
            <w:shd w:val="pct20" w:color="FFFF00" w:fill="FFFFFF"/>
          </w:tcPr>
          <w:p w:rsidR="005644F4" w:rsidRPr="008B504B" w:rsidRDefault="005644F4" w:rsidP="00A82A32">
            <w:pPr>
              <w:rPr>
                <w:sz w:val="20"/>
                <w:szCs w:val="20"/>
              </w:rPr>
            </w:pPr>
            <w:r w:rsidRPr="008B504B">
              <w:rPr>
                <w:sz w:val="20"/>
                <w:szCs w:val="20"/>
              </w:rPr>
              <w:t xml:space="preserve">Same rate as ordinary income </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 xml:space="preserve">5.  Alternative minimum tax </w:t>
            </w:r>
          </w:p>
        </w:tc>
        <w:tc>
          <w:tcPr>
            <w:tcW w:w="2501" w:type="pct"/>
            <w:shd w:val="pct20" w:color="FFFF00" w:fill="FFFFFF"/>
          </w:tcPr>
          <w:p w:rsidR="005644F4" w:rsidRPr="008B504B" w:rsidRDefault="005644F4" w:rsidP="00A82A32">
            <w:pPr>
              <w:rPr>
                <w:sz w:val="20"/>
                <w:szCs w:val="20"/>
              </w:rPr>
            </w:pPr>
            <w:r w:rsidRPr="008B504B">
              <w:rPr>
                <w:sz w:val="20"/>
                <w:szCs w:val="20"/>
              </w:rPr>
              <w:t>No</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 xml:space="preserve">6.  Group taxation </w:t>
            </w:r>
            <w:r>
              <w:rPr>
                <w:sz w:val="20"/>
                <w:szCs w:val="20"/>
              </w:rPr>
              <w:t>allowed or required</w:t>
            </w:r>
          </w:p>
        </w:tc>
        <w:tc>
          <w:tcPr>
            <w:tcW w:w="2501" w:type="pct"/>
            <w:shd w:val="pct20" w:color="FFFF00" w:fill="FFFFFF"/>
          </w:tcPr>
          <w:p w:rsidR="005644F4" w:rsidRPr="008B504B" w:rsidRDefault="005644F4" w:rsidP="00A82A32">
            <w:pPr>
              <w:rPr>
                <w:sz w:val="20"/>
                <w:szCs w:val="20"/>
              </w:rPr>
            </w:pPr>
            <w:r w:rsidRPr="008B504B">
              <w:rPr>
                <w:sz w:val="20"/>
                <w:szCs w:val="20"/>
              </w:rPr>
              <w:t>Yes</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7.  Foreign tax deduction</w:t>
            </w:r>
          </w:p>
        </w:tc>
        <w:tc>
          <w:tcPr>
            <w:tcW w:w="2501" w:type="pct"/>
            <w:shd w:val="pct20" w:color="FFFF00" w:fill="FFFFFF"/>
          </w:tcPr>
          <w:p w:rsidR="005644F4" w:rsidRPr="008B504B" w:rsidRDefault="005644F4" w:rsidP="00A82A32">
            <w:pPr>
              <w:rPr>
                <w:sz w:val="20"/>
                <w:szCs w:val="20"/>
              </w:rPr>
            </w:pPr>
            <w:r>
              <w:rPr>
                <w:sz w:val="20"/>
                <w:szCs w:val="20"/>
              </w:rPr>
              <w:t xml:space="preserve">No </w:t>
            </w:r>
          </w:p>
        </w:tc>
      </w:tr>
      <w:tr w:rsidR="005644F4" w:rsidRPr="008B504B" w:rsidTr="003739A0">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8.  Tax return due date</w:t>
            </w:r>
          </w:p>
        </w:tc>
        <w:tc>
          <w:tcPr>
            <w:tcW w:w="2501" w:type="pct"/>
            <w:shd w:val="pct20" w:color="FFFF00" w:fill="FFFFFF"/>
          </w:tcPr>
          <w:p w:rsidR="005644F4" w:rsidRPr="008B504B" w:rsidRDefault="005644F4" w:rsidP="00A82A32">
            <w:pPr>
              <w:rPr>
                <w:color w:val="000000"/>
                <w:sz w:val="20"/>
                <w:szCs w:val="20"/>
              </w:rPr>
            </w:pPr>
            <w:r w:rsidRPr="008B504B">
              <w:rPr>
                <w:color w:val="000000"/>
                <w:sz w:val="20"/>
                <w:szCs w:val="20"/>
              </w:rPr>
              <w:t>15 March for calendar year taxpayers</w:t>
            </w:r>
          </w:p>
        </w:tc>
      </w:tr>
      <w:tr w:rsidR="005644F4" w:rsidRPr="008B504B" w:rsidTr="003739A0">
        <w:trPr>
          <w:cantSplit/>
        </w:trPr>
        <w:tc>
          <w:tcPr>
            <w:tcW w:w="5000" w:type="pct"/>
            <w:gridSpan w:val="2"/>
            <w:shd w:val="pct20" w:color="FFFF00" w:fill="C0C0C0"/>
          </w:tcPr>
          <w:p w:rsidR="005644F4" w:rsidRPr="008B504B" w:rsidRDefault="005644F4" w:rsidP="00A82A32">
            <w:pPr>
              <w:pStyle w:val="Heading1"/>
              <w:tabs>
                <w:tab w:val="right" w:pos="9363"/>
              </w:tabs>
              <w:rPr>
                <w:sz w:val="20"/>
                <w:szCs w:val="20"/>
              </w:rPr>
            </w:pPr>
            <w:bookmarkStart w:id="2" w:name="_Toc135475482"/>
            <w:bookmarkStart w:id="3" w:name="_Toc136230064"/>
            <w:r w:rsidRPr="008B504B">
              <w:rPr>
                <w:sz w:val="20"/>
                <w:szCs w:val="20"/>
              </w:rPr>
              <w:t>B. Individuals</w:t>
            </w:r>
            <w:bookmarkEnd w:id="2"/>
            <w:bookmarkEnd w:id="3"/>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1.  Personal income tax rates</w:t>
            </w:r>
          </w:p>
        </w:tc>
        <w:tc>
          <w:tcPr>
            <w:tcW w:w="2501" w:type="pct"/>
            <w:shd w:val="pct20" w:color="FFFF00" w:fill="FFFFFF"/>
          </w:tcPr>
          <w:p w:rsidR="005644F4" w:rsidRPr="008B504B" w:rsidRDefault="005644F4" w:rsidP="006B198F">
            <w:pPr>
              <w:rPr>
                <w:sz w:val="20"/>
                <w:szCs w:val="20"/>
              </w:rPr>
            </w:pPr>
            <w:r w:rsidRPr="008B504B">
              <w:rPr>
                <w:sz w:val="20"/>
                <w:szCs w:val="20"/>
              </w:rPr>
              <w:t>Maximum rate 7%</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 xml:space="preserve">2.  Tax base </w:t>
            </w:r>
          </w:p>
        </w:tc>
        <w:tc>
          <w:tcPr>
            <w:tcW w:w="2501" w:type="pct"/>
            <w:shd w:val="pct20" w:color="FFFF00" w:fill="FFFFFF"/>
          </w:tcPr>
          <w:p w:rsidR="005644F4" w:rsidRPr="008B504B" w:rsidRDefault="005644F4" w:rsidP="00A82A32">
            <w:pPr>
              <w:rPr>
                <w:sz w:val="20"/>
                <w:szCs w:val="20"/>
              </w:rPr>
            </w:pPr>
            <w:r w:rsidRPr="008B504B">
              <w:rPr>
                <w:sz w:val="20"/>
                <w:szCs w:val="20"/>
              </w:rPr>
              <w:t>Federal taxable income with South Carolina additions and subtractions</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Pr>
                <w:sz w:val="20"/>
                <w:szCs w:val="20"/>
              </w:rPr>
              <w:t>3.  Income subject to tax</w:t>
            </w:r>
          </w:p>
        </w:tc>
        <w:tc>
          <w:tcPr>
            <w:tcW w:w="2501" w:type="pct"/>
            <w:shd w:val="pct20" w:color="FFFF00" w:fill="FFFFFF"/>
          </w:tcPr>
          <w:p w:rsidR="005644F4" w:rsidRPr="008B504B" w:rsidRDefault="005644F4" w:rsidP="00A82A32">
            <w:pPr>
              <w:rPr>
                <w:rFonts w:cs="Arial"/>
                <w:sz w:val="20"/>
                <w:szCs w:val="20"/>
              </w:rPr>
            </w:pP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 xml:space="preserve">     Residents</w:t>
            </w:r>
          </w:p>
        </w:tc>
        <w:tc>
          <w:tcPr>
            <w:tcW w:w="2501" w:type="pct"/>
            <w:shd w:val="pct20" w:color="FFFF00" w:fill="FFFFFF"/>
          </w:tcPr>
          <w:p w:rsidR="005644F4" w:rsidRPr="008B504B" w:rsidRDefault="005644F4" w:rsidP="00A82A32">
            <w:pPr>
              <w:rPr>
                <w:sz w:val="20"/>
                <w:szCs w:val="20"/>
              </w:rPr>
            </w:pPr>
            <w:r w:rsidRPr="008B504B">
              <w:rPr>
                <w:rFonts w:cs="Arial"/>
                <w:sz w:val="20"/>
                <w:szCs w:val="20"/>
              </w:rPr>
              <w:t>Worldwide income</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 xml:space="preserve">     Non-residents</w:t>
            </w:r>
          </w:p>
        </w:tc>
        <w:tc>
          <w:tcPr>
            <w:tcW w:w="2501" w:type="pct"/>
            <w:shd w:val="pct20" w:color="FFFF00" w:fill="FFFFFF"/>
          </w:tcPr>
          <w:p w:rsidR="005644F4" w:rsidRPr="008B504B" w:rsidRDefault="005644F4" w:rsidP="001112CF">
            <w:pPr>
              <w:rPr>
                <w:sz w:val="20"/>
                <w:szCs w:val="20"/>
              </w:rPr>
            </w:pPr>
            <w:r>
              <w:rPr>
                <w:sz w:val="20"/>
                <w:szCs w:val="20"/>
              </w:rPr>
              <w:t xml:space="preserve">Income, gains, losses, and deductions attributable to real and tangible personal property located in South Carolina, business, trade, profession, or occupation carried on in South Carolina, personal services performed in South Carolina, and intangible personal property employed in business, trade, profession, or occupation carried on in </w:t>
            </w:r>
            <w:r w:rsidRPr="008B504B">
              <w:rPr>
                <w:sz w:val="20"/>
                <w:szCs w:val="20"/>
              </w:rPr>
              <w:t xml:space="preserve">South Carolina </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Pr>
                <w:sz w:val="20"/>
                <w:szCs w:val="20"/>
              </w:rPr>
              <w:t>4</w:t>
            </w:r>
            <w:r w:rsidRPr="008B504B">
              <w:rPr>
                <w:sz w:val="20"/>
                <w:szCs w:val="20"/>
              </w:rPr>
              <w:t>.  Capital gains</w:t>
            </w:r>
          </w:p>
        </w:tc>
        <w:tc>
          <w:tcPr>
            <w:tcW w:w="2501" w:type="pct"/>
            <w:shd w:val="pct20" w:color="FFFF00" w:fill="FFFFFF"/>
          </w:tcPr>
          <w:p w:rsidR="005644F4" w:rsidRPr="008B504B" w:rsidRDefault="005644F4" w:rsidP="00A82A32">
            <w:pPr>
              <w:rPr>
                <w:sz w:val="20"/>
                <w:szCs w:val="20"/>
              </w:rPr>
            </w:pPr>
            <w:r>
              <w:rPr>
                <w:sz w:val="20"/>
                <w:szCs w:val="20"/>
              </w:rPr>
              <w:t xml:space="preserve">Deduction of 44% of net capital gain from assets held more than one year </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Pr>
                <w:sz w:val="20"/>
                <w:szCs w:val="20"/>
              </w:rPr>
              <w:t>5</w:t>
            </w:r>
            <w:r w:rsidRPr="008B504B">
              <w:rPr>
                <w:sz w:val="20"/>
                <w:szCs w:val="20"/>
              </w:rPr>
              <w:t>.  Alternative minimum tax</w:t>
            </w:r>
          </w:p>
        </w:tc>
        <w:tc>
          <w:tcPr>
            <w:tcW w:w="2501" w:type="pct"/>
            <w:shd w:val="pct20" w:color="FFFF00" w:fill="FFFFFF"/>
          </w:tcPr>
          <w:p w:rsidR="005644F4" w:rsidRPr="008B504B" w:rsidRDefault="005644F4" w:rsidP="00A82A32">
            <w:pPr>
              <w:rPr>
                <w:sz w:val="20"/>
                <w:szCs w:val="20"/>
              </w:rPr>
            </w:pPr>
            <w:r w:rsidRPr="008B504B">
              <w:rPr>
                <w:sz w:val="20"/>
                <w:szCs w:val="20"/>
              </w:rPr>
              <w:t>No</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Pr>
                <w:sz w:val="20"/>
                <w:szCs w:val="20"/>
              </w:rPr>
              <w:t>6</w:t>
            </w:r>
            <w:r w:rsidRPr="008B504B">
              <w:rPr>
                <w:sz w:val="20"/>
                <w:szCs w:val="20"/>
              </w:rPr>
              <w:t>.  Tax return due date</w:t>
            </w:r>
          </w:p>
        </w:tc>
        <w:tc>
          <w:tcPr>
            <w:tcW w:w="2501" w:type="pct"/>
            <w:shd w:val="pct20" w:color="FFFF00" w:fill="FFFFFF"/>
          </w:tcPr>
          <w:p w:rsidR="005644F4" w:rsidRPr="008B504B" w:rsidRDefault="005644F4" w:rsidP="00A82A32">
            <w:pPr>
              <w:rPr>
                <w:color w:val="000000"/>
                <w:sz w:val="20"/>
                <w:szCs w:val="20"/>
              </w:rPr>
            </w:pPr>
            <w:r w:rsidRPr="008B504B">
              <w:rPr>
                <w:color w:val="000000"/>
                <w:sz w:val="20"/>
                <w:szCs w:val="20"/>
              </w:rPr>
              <w:t>15 April for calendar year taxpayers</w:t>
            </w:r>
          </w:p>
        </w:tc>
      </w:tr>
      <w:tr w:rsidR="005644F4" w:rsidRPr="008B504B">
        <w:trPr>
          <w:cantSplit/>
        </w:trPr>
        <w:tc>
          <w:tcPr>
            <w:tcW w:w="5000" w:type="pct"/>
            <w:gridSpan w:val="2"/>
            <w:shd w:val="pct20" w:color="FFFF00" w:fill="C0C0C0"/>
          </w:tcPr>
          <w:p w:rsidR="005644F4" w:rsidRPr="008B504B" w:rsidRDefault="005644F4" w:rsidP="00A82A32">
            <w:pPr>
              <w:pStyle w:val="Heading1"/>
              <w:tabs>
                <w:tab w:val="right" w:pos="9363"/>
              </w:tabs>
              <w:rPr>
                <w:sz w:val="20"/>
                <w:szCs w:val="20"/>
              </w:rPr>
            </w:pPr>
            <w:bookmarkStart w:id="4" w:name="_Toc135475483"/>
            <w:bookmarkStart w:id="5" w:name="_Toc136230065"/>
            <w:r w:rsidRPr="008B504B">
              <w:rPr>
                <w:sz w:val="20"/>
                <w:szCs w:val="20"/>
              </w:rPr>
              <w:t xml:space="preserve">C. Other </w:t>
            </w:r>
            <w:bookmarkEnd w:id="4"/>
            <w:bookmarkEnd w:id="5"/>
            <w:r>
              <w:rPr>
                <w:sz w:val="20"/>
                <w:szCs w:val="20"/>
              </w:rPr>
              <w:t>d</w:t>
            </w:r>
            <w:r w:rsidRPr="008B504B">
              <w:rPr>
                <w:sz w:val="20"/>
                <w:szCs w:val="20"/>
              </w:rPr>
              <w:t xml:space="preserve">irect </w:t>
            </w:r>
            <w:r>
              <w:rPr>
                <w:sz w:val="20"/>
                <w:szCs w:val="20"/>
              </w:rPr>
              <w:t>t</w:t>
            </w:r>
            <w:r w:rsidRPr="008B504B">
              <w:rPr>
                <w:sz w:val="20"/>
                <w:szCs w:val="20"/>
              </w:rPr>
              <w:t>axes</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1.  Net wealth tax</w:t>
            </w:r>
          </w:p>
        </w:tc>
        <w:tc>
          <w:tcPr>
            <w:tcW w:w="2501" w:type="pct"/>
            <w:shd w:val="pct20" w:color="FFFF00" w:fill="FFFFFF"/>
          </w:tcPr>
          <w:p w:rsidR="005644F4" w:rsidRPr="008B504B" w:rsidRDefault="005644F4" w:rsidP="00A82A32">
            <w:pPr>
              <w:rPr>
                <w:sz w:val="20"/>
                <w:szCs w:val="20"/>
              </w:rPr>
            </w:pPr>
            <w:r w:rsidRPr="008B504B">
              <w:rPr>
                <w:sz w:val="20"/>
                <w:szCs w:val="20"/>
              </w:rPr>
              <w:t>No</w:t>
            </w:r>
          </w:p>
        </w:tc>
      </w:tr>
      <w:tr w:rsidR="005644F4" w:rsidRPr="008B504B">
        <w:tc>
          <w:tcPr>
            <w:tcW w:w="2499" w:type="pct"/>
            <w:shd w:val="pct20" w:color="FFFF00" w:fill="FFFFFF"/>
          </w:tcPr>
          <w:p w:rsidR="005644F4" w:rsidRPr="008B504B" w:rsidRDefault="005644F4" w:rsidP="00A82A32">
            <w:pPr>
              <w:pStyle w:val="Entry"/>
              <w:ind w:left="0"/>
              <w:rPr>
                <w:sz w:val="20"/>
                <w:szCs w:val="20"/>
              </w:rPr>
            </w:pPr>
            <w:r w:rsidRPr="008B504B">
              <w:rPr>
                <w:sz w:val="20"/>
                <w:szCs w:val="20"/>
              </w:rPr>
              <w:t>2.  Estate tax</w:t>
            </w:r>
          </w:p>
        </w:tc>
        <w:tc>
          <w:tcPr>
            <w:tcW w:w="2501" w:type="pct"/>
            <w:shd w:val="pct20" w:color="FFFF00" w:fill="FFFFFF"/>
          </w:tcPr>
          <w:p w:rsidR="005644F4" w:rsidRPr="008B504B" w:rsidRDefault="005644F4" w:rsidP="00A82A32">
            <w:pPr>
              <w:rPr>
                <w:sz w:val="20"/>
                <w:szCs w:val="20"/>
              </w:rPr>
            </w:pPr>
            <w:r w:rsidRPr="008B504B">
              <w:rPr>
                <w:sz w:val="20"/>
                <w:szCs w:val="20"/>
              </w:rPr>
              <w:t>Yes</w:t>
            </w:r>
          </w:p>
        </w:tc>
      </w:tr>
      <w:tr w:rsidR="005644F4" w:rsidRPr="00F03BAD">
        <w:tc>
          <w:tcPr>
            <w:tcW w:w="2499" w:type="pct"/>
            <w:shd w:val="clear" w:color="auto" w:fill="B6DDE8"/>
          </w:tcPr>
          <w:p w:rsidR="005644F4" w:rsidRPr="00F03BAD" w:rsidRDefault="005644F4" w:rsidP="00A82A32">
            <w:pPr>
              <w:pStyle w:val="Entry"/>
              <w:ind w:left="0"/>
              <w:rPr>
                <w:sz w:val="20"/>
                <w:szCs w:val="20"/>
              </w:rPr>
            </w:pPr>
            <w:r w:rsidRPr="00F03BAD">
              <w:rPr>
                <w:sz w:val="20"/>
                <w:szCs w:val="20"/>
              </w:rPr>
              <w:t>3.  Inheritance tax</w:t>
            </w:r>
          </w:p>
        </w:tc>
        <w:tc>
          <w:tcPr>
            <w:tcW w:w="2501" w:type="pct"/>
            <w:shd w:val="clear" w:color="auto" w:fill="B6DDE8"/>
          </w:tcPr>
          <w:p w:rsidR="005644F4" w:rsidRPr="00F03BAD" w:rsidRDefault="005644F4" w:rsidP="00F03BAD">
            <w:pPr>
              <w:pStyle w:val="Entry"/>
              <w:ind w:left="0"/>
              <w:rPr>
                <w:sz w:val="20"/>
                <w:szCs w:val="20"/>
              </w:rPr>
            </w:pPr>
            <w:r w:rsidRPr="00F03BAD">
              <w:rPr>
                <w:sz w:val="20"/>
                <w:szCs w:val="20"/>
              </w:rPr>
              <w:t>No</w:t>
            </w:r>
          </w:p>
        </w:tc>
      </w:tr>
      <w:tr w:rsidR="005644F4" w:rsidRPr="00F03BAD">
        <w:tc>
          <w:tcPr>
            <w:tcW w:w="2499" w:type="pct"/>
            <w:shd w:val="clear" w:color="auto" w:fill="B6DDE8"/>
          </w:tcPr>
          <w:p w:rsidR="005644F4" w:rsidRPr="00F03BAD" w:rsidRDefault="005644F4" w:rsidP="00A82A32">
            <w:pPr>
              <w:pStyle w:val="Entry"/>
              <w:ind w:left="0"/>
              <w:rPr>
                <w:sz w:val="20"/>
                <w:szCs w:val="20"/>
              </w:rPr>
            </w:pPr>
            <w:r w:rsidRPr="00F03BAD">
              <w:rPr>
                <w:sz w:val="20"/>
                <w:szCs w:val="20"/>
              </w:rPr>
              <w:t>4.  Generation skipping tax</w:t>
            </w:r>
          </w:p>
        </w:tc>
        <w:tc>
          <w:tcPr>
            <w:tcW w:w="2501" w:type="pct"/>
            <w:shd w:val="clear" w:color="auto" w:fill="B6DDE8"/>
          </w:tcPr>
          <w:p w:rsidR="005644F4" w:rsidRPr="00F03BAD" w:rsidRDefault="005644F4" w:rsidP="00F03BAD">
            <w:pPr>
              <w:pStyle w:val="Entry"/>
              <w:ind w:left="0"/>
              <w:rPr>
                <w:sz w:val="20"/>
                <w:szCs w:val="20"/>
              </w:rPr>
            </w:pPr>
            <w:r w:rsidRPr="00F03BAD">
              <w:rPr>
                <w:sz w:val="20"/>
                <w:szCs w:val="20"/>
              </w:rPr>
              <w:t>Yes</w:t>
            </w:r>
          </w:p>
        </w:tc>
      </w:tr>
      <w:tr w:rsidR="005644F4" w:rsidRPr="00F03BAD">
        <w:tc>
          <w:tcPr>
            <w:tcW w:w="2499" w:type="pct"/>
            <w:shd w:val="clear" w:color="auto" w:fill="B6DDE8"/>
          </w:tcPr>
          <w:p w:rsidR="005644F4" w:rsidRPr="00F03BAD" w:rsidRDefault="005644F4" w:rsidP="00A82A32">
            <w:pPr>
              <w:pStyle w:val="Entry"/>
              <w:ind w:left="0"/>
              <w:rPr>
                <w:sz w:val="20"/>
                <w:szCs w:val="20"/>
              </w:rPr>
            </w:pPr>
            <w:r w:rsidRPr="00F03BAD">
              <w:rPr>
                <w:sz w:val="20"/>
                <w:szCs w:val="20"/>
              </w:rPr>
              <w:t xml:space="preserve">5.  Gift tax </w:t>
            </w:r>
          </w:p>
        </w:tc>
        <w:tc>
          <w:tcPr>
            <w:tcW w:w="2501" w:type="pct"/>
            <w:shd w:val="clear" w:color="auto" w:fill="B6DDE8"/>
          </w:tcPr>
          <w:p w:rsidR="005644F4" w:rsidRPr="00F03BAD" w:rsidRDefault="005644F4" w:rsidP="00F03BAD">
            <w:pPr>
              <w:pStyle w:val="Entry"/>
              <w:ind w:left="0"/>
              <w:rPr>
                <w:sz w:val="20"/>
                <w:szCs w:val="20"/>
              </w:rPr>
            </w:pPr>
            <w:r w:rsidRPr="00F03BAD">
              <w:rPr>
                <w:sz w:val="20"/>
                <w:szCs w:val="20"/>
              </w:rPr>
              <w:t>No</w:t>
            </w:r>
          </w:p>
        </w:tc>
      </w:tr>
      <w:tr w:rsidR="005644F4" w:rsidRPr="008B504B">
        <w:trPr>
          <w:cantSplit/>
        </w:trPr>
        <w:tc>
          <w:tcPr>
            <w:tcW w:w="5000" w:type="pct"/>
            <w:gridSpan w:val="2"/>
            <w:shd w:val="pct20" w:color="FFFF00" w:fill="C0C0C0"/>
          </w:tcPr>
          <w:p w:rsidR="005644F4" w:rsidRPr="008B504B" w:rsidRDefault="005644F4" w:rsidP="00A82A32">
            <w:pPr>
              <w:pStyle w:val="Heading1"/>
              <w:tabs>
                <w:tab w:val="right" w:pos="9363"/>
              </w:tabs>
              <w:rPr>
                <w:sz w:val="20"/>
                <w:szCs w:val="20"/>
              </w:rPr>
            </w:pPr>
            <w:r w:rsidRPr="008B504B">
              <w:rPr>
                <w:sz w:val="20"/>
                <w:szCs w:val="20"/>
              </w:rPr>
              <w:t>D</w:t>
            </w:r>
            <w:bookmarkStart w:id="6" w:name="_Toc136230066"/>
            <w:r w:rsidRPr="008B504B">
              <w:rPr>
                <w:sz w:val="20"/>
                <w:szCs w:val="20"/>
              </w:rPr>
              <w:t xml:space="preserve"> Turnover </w:t>
            </w:r>
            <w:r>
              <w:rPr>
                <w:sz w:val="20"/>
                <w:szCs w:val="20"/>
              </w:rPr>
              <w:t>t</w:t>
            </w:r>
            <w:r w:rsidRPr="008B504B">
              <w:rPr>
                <w:sz w:val="20"/>
                <w:szCs w:val="20"/>
              </w:rPr>
              <w:t>axes</w:t>
            </w:r>
            <w:bookmarkEnd w:id="6"/>
          </w:p>
        </w:tc>
      </w:tr>
      <w:tr w:rsidR="005644F4" w:rsidRPr="008B504B">
        <w:tc>
          <w:tcPr>
            <w:tcW w:w="2499" w:type="pct"/>
            <w:tcBorders>
              <w:bottom w:val="single" w:sz="12" w:space="0" w:color="000000"/>
            </w:tcBorders>
            <w:shd w:val="pct20" w:color="FFFF00" w:fill="FFFFFF"/>
          </w:tcPr>
          <w:p w:rsidR="005644F4" w:rsidRPr="008B504B" w:rsidRDefault="005644F4" w:rsidP="00A82A32">
            <w:pPr>
              <w:pStyle w:val="Entry"/>
              <w:ind w:left="0"/>
              <w:rPr>
                <w:sz w:val="20"/>
                <w:szCs w:val="20"/>
                <w:lang w:val="nl-NL"/>
              </w:rPr>
            </w:pPr>
            <w:r w:rsidRPr="008B504B">
              <w:rPr>
                <w:sz w:val="20"/>
                <w:szCs w:val="20"/>
                <w:lang w:val="nl-NL"/>
              </w:rPr>
              <w:t>1.  Sales and use taxes</w:t>
            </w:r>
          </w:p>
        </w:tc>
        <w:tc>
          <w:tcPr>
            <w:tcW w:w="2501" w:type="pct"/>
            <w:tcBorders>
              <w:bottom w:val="single" w:sz="12" w:space="0" w:color="000000"/>
            </w:tcBorders>
            <w:shd w:val="pct20" w:color="FFFF00" w:fill="FFFFFF"/>
          </w:tcPr>
          <w:p w:rsidR="005644F4" w:rsidRDefault="005644F4" w:rsidP="007416A3">
            <w:pPr>
              <w:rPr>
                <w:sz w:val="20"/>
                <w:szCs w:val="20"/>
              </w:rPr>
            </w:pPr>
            <w:r>
              <w:rPr>
                <w:sz w:val="20"/>
                <w:szCs w:val="20"/>
              </w:rPr>
              <w:t>State tax rate 6%</w:t>
            </w:r>
          </w:p>
          <w:p w:rsidR="005644F4" w:rsidRPr="008B504B" w:rsidRDefault="005644F4" w:rsidP="007416A3">
            <w:pPr>
              <w:rPr>
                <w:sz w:val="20"/>
                <w:szCs w:val="20"/>
              </w:rPr>
            </w:pPr>
            <w:r>
              <w:rPr>
                <w:sz w:val="20"/>
                <w:szCs w:val="20"/>
              </w:rPr>
              <w:t>Local taxes additional 0% to 2%</w:t>
            </w:r>
            <w:r w:rsidRPr="008B504B">
              <w:rPr>
                <w:sz w:val="20"/>
                <w:szCs w:val="20"/>
              </w:rPr>
              <w:t xml:space="preserve"> </w:t>
            </w:r>
          </w:p>
        </w:tc>
      </w:tr>
    </w:tbl>
    <w:p w:rsidR="005644F4" w:rsidRPr="008B504B" w:rsidRDefault="005644F4" w:rsidP="006B198F">
      <w:pPr>
        <w:jc w:val="center"/>
        <w:rPr>
          <w:sz w:val="20"/>
          <w:szCs w:val="20"/>
        </w:rPr>
      </w:pPr>
    </w:p>
    <w:p w:rsidR="005644F4" w:rsidRPr="008B504B" w:rsidRDefault="005644F4" w:rsidP="006B198F">
      <w:pPr>
        <w:jc w:val="center"/>
        <w:rPr>
          <w:sz w:val="20"/>
          <w:szCs w:val="20"/>
        </w:rPr>
      </w:pPr>
    </w:p>
    <w:p w:rsidR="005644F4" w:rsidRPr="008B504B" w:rsidRDefault="005644F4">
      <w:pPr>
        <w:rPr>
          <w:sz w:val="20"/>
          <w:szCs w:val="20"/>
        </w:rPr>
      </w:pPr>
    </w:p>
    <w:sectPr w:rsidR="005644F4" w:rsidRPr="008B504B" w:rsidSect="00A82A32">
      <w:pgSz w:w="11906" w:h="16838" w:code="9"/>
      <w:pgMar w:top="1440" w:right="1296" w:bottom="1440"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198F"/>
    <w:rsid w:val="00006D22"/>
    <w:rsid w:val="00026CC5"/>
    <w:rsid w:val="00101AD3"/>
    <w:rsid w:val="001112CF"/>
    <w:rsid w:val="001244E3"/>
    <w:rsid w:val="001464DC"/>
    <w:rsid w:val="0018320B"/>
    <w:rsid w:val="00193343"/>
    <w:rsid w:val="001A7A53"/>
    <w:rsid w:val="002154ED"/>
    <w:rsid w:val="00280347"/>
    <w:rsid w:val="0028649B"/>
    <w:rsid w:val="0034750F"/>
    <w:rsid w:val="003739A0"/>
    <w:rsid w:val="003926F6"/>
    <w:rsid w:val="00406A1B"/>
    <w:rsid w:val="004A5152"/>
    <w:rsid w:val="004D7B5D"/>
    <w:rsid w:val="0052317D"/>
    <w:rsid w:val="005644F4"/>
    <w:rsid w:val="00591CFF"/>
    <w:rsid w:val="005C518C"/>
    <w:rsid w:val="00616220"/>
    <w:rsid w:val="00626F5B"/>
    <w:rsid w:val="00642726"/>
    <w:rsid w:val="006506ED"/>
    <w:rsid w:val="00663E03"/>
    <w:rsid w:val="006B198F"/>
    <w:rsid w:val="006B39C4"/>
    <w:rsid w:val="006B3BE0"/>
    <w:rsid w:val="00733F8A"/>
    <w:rsid w:val="007416A3"/>
    <w:rsid w:val="007C423E"/>
    <w:rsid w:val="007F6B15"/>
    <w:rsid w:val="00855223"/>
    <w:rsid w:val="0088181A"/>
    <w:rsid w:val="008B504B"/>
    <w:rsid w:val="008E0E8B"/>
    <w:rsid w:val="00931577"/>
    <w:rsid w:val="00966922"/>
    <w:rsid w:val="009A20EA"/>
    <w:rsid w:val="00A10D9C"/>
    <w:rsid w:val="00A540BA"/>
    <w:rsid w:val="00A82A32"/>
    <w:rsid w:val="00A85B11"/>
    <w:rsid w:val="00AA0C40"/>
    <w:rsid w:val="00AA5673"/>
    <w:rsid w:val="00AB516B"/>
    <w:rsid w:val="00AB7B41"/>
    <w:rsid w:val="00B10C0B"/>
    <w:rsid w:val="00B225A7"/>
    <w:rsid w:val="00B3321F"/>
    <w:rsid w:val="00BB4389"/>
    <w:rsid w:val="00C13FCD"/>
    <w:rsid w:val="00C15425"/>
    <w:rsid w:val="00C26ECA"/>
    <w:rsid w:val="00C370AE"/>
    <w:rsid w:val="00C548AF"/>
    <w:rsid w:val="00C62115"/>
    <w:rsid w:val="00CA2260"/>
    <w:rsid w:val="00CC6D03"/>
    <w:rsid w:val="00D664CF"/>
    <w:rsid w:val="00D977C5"/>
    <w:rsid w:val="00DC137F"/>
    <w:rsid w:val="00DE0A2C"/>
    <w:rsid w:val="00E4027A"/>
    <w:rsid w:val="00E717F8"/>
    <w:rsid w:val="00E76B7B"/>
    <w:rsid w:val="00E856DB"/>
    <w:rsid w:val="00F03BAD"/>
    <w:rsid w:val="00F66762"/>
    <w:rsid w:val="00FC31CD"/>
    <w:rsid w:val="00FF1244"/>
    <w:rsid w:val="00FF55D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98F"/>
    <w:pPr>
      <w:spacing w:before="40" w:after="40"/>
    </w:pPr>
    <w:rPr>
      <w:rFonts w:ascii="Verdana" w:eastAsia="Times New Roman" w:hAnsi="Verdana"/>
      <w:sz w:val="24"/>
      <w:szCs w:val="24"/>
      <w:lang w:val="en-GB"/>
    </w:rPr>
  </w:style>
  <w:style w:type="paragraph" w:styleId="Heading1">
    <w:name w:val="heading 1"/>
    <w:basedOn w:val="Normal"/>
    <w:next w:val="Normal"/>
    <w:link w:val="Heading1Char"/>
    <w:uiPriority w:val="99"/>
    <w:qFormat/>
    <w:rsid w:val="006B198F"/>
    <w:pPr>
      <w:keepNext/>
      <w:spacing w:before="240" w:after="60"/>
      <w:outlineLvl w:val="0"/>
    </w:pPr>
    <w:rPr>
      <w:rFonts w:cs="Arial"/>
      <w:b/>
      <w:bCs/>
      <w:kern w:val="32"/>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198F"/>
    <w:rPr>
      <w:rFonts w:ascii="Verdana" w:hAnsi="Verdana" w:cs="Arial"/>
      <w:b/>
      <w:bCs/>
      <w:kern w:val="32"/>
      <w:sz w:val="32"/>
      <w:szCs w:val="32"/>
    </w:rPr>
  </w:style>
  <w:style w:type="character" w:styleId="Hyperlink">
    <w:name w:val="Hyperlink"/>
    <w:basedOn w:val="DefaultParagraphFont"/>
    <w:uiPriority w:val="99"/>
    <w:rsid w:val="006B198F"/>
    <w:rPr>
      <w:rFonts w:cs="Times New Roman"/>
      <w:color w:val="0000FF"/>
      <w:u w:val="single"/>
    </w:rPr>
  </w:style>
  <w:style w:type="paragraph" w:styleId="Title">
    <w:name w:val="Title"/>
    <w:basedOn w:val="Normal"/>
    <w:link w:val="TitleChar"/>
    <w:uiPriority w:val="99"/>
    <w:qFormat/>
    <w:rsid w:val="006B198F"/>
    <w:pPr>
      <w:spacing w:before="240" w:after="60"/>
      <w:outlineLvl w:val="0"/>
    </w:pPr>
    <w:rPr>
      <w:rFonts w:cs="Arial"/>
      <w:b/>
      <w:bCs/>
      <w:color w:val="FFFFFF"/>
      <w:kern w:val="28"/>
      <w:sz w:val="32"/>
      <w:szCs w:val="32"/>
    </w:rPr>
  </w:style>
  <w:style w:type="character" w:customStyle="1" w:styleId="TitleChar">
    <w:name w:val="Title Char"/>
    <w:basedOn w:val="DefaultParagraphFont"/>
    <w:link w:val="Title"/>
    <w:uiPriority w:val="99"/>
    <w:locked/>
    <w:rsid w:val="006B198F"/>
    <w:rPr>
      <w:rFonts w:ascii="Verdana" w:hAnsi="Verdana" w:cs="Arial"/>
      <w:b/>
      <w:bCs/>
      <w:color w:val="FFFFFF"/>
      <w:kern w:val="28"/>
      <w:sz w:val="32"/>
      <w:szCs w:val="32"/>
    </w:rPr>
  </w:style>
  <w:style w:type="paragraph" w:styleId="TOC1">
    <w:name w:val="toc 1"/>
    <w:basedOn w:val="Normal"/>
    <w:next w:val="Normal"/>
    <w:autoRedefine/>
    <w:uiPriority w:val="99"/>
    <w:semiHidden/>
    <w:rsid w:val="006B198F"/>
  </w:style>
  <w:style w:type="paragraph" w:customStyle="1" w:styleId="Entry">
    <w:name w:val="Entry"/>
    <w:basedOn w:val="Normal"/>
    <w:uiPriority w:val="99"/>
    <w:rsid w:val="006B198F"/>
    <w:pPr>
      <w:ind w:left="360"/>
    </w:pPr>
    <w:rPr>
      <w:b/>
    </w:rPr>
  </w:style>
  <w:style w:type="paragraph" w:styleId="BalloonText">
    <w:name w:val="Balloon Text"/>
    <w:basedOn w:val="Normal"/>
    <w:link w:val="BalloonTextChar"/>
    <w:uiPriority w:val="99"/>
    <w:semiHidden/>
    <w:rsid w:val="00A82A3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2A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TotalTime>
  <Pages>2</Pages>
  <Words>300</Words>
  <Characters>1712</Characters>
  <Application>Microsoft Office Outlook</Application>
  <DocSecurity>0</DocSecurity>
  <Lines>0</Lines>
  <Paragraphs>0</Paragraphs>
  <ScaleCrop>false</ScaleCrop>
  <Company>IBFD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asfak.mahamud</cp:lastModifiedBy>
  <cp:revision>29</cp:revision>
  <cp:lastPrinted>2008-11-24T12:31:00Z</cp:lastPrinted>
  <dcterms:created xsi:type="dcterms:W3CDTF">2008-11-24T15:54:00Z</dcterms:created>
  <dcterms:modified xsi:type="dcterms:W3CDTF">2009-12-01T05:07:00Z</dcterms:modified>
</cp:coreProperties>
</file>