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24.svgz" ContentType="image/svg+xml"/>
  <Override PartName="/word/media/rId28.svgz" ContentType="image/svg+xml"/>
  <Override PartName="/word/media/rId32.svgz" ContentType="image/svg+xml"/>
  <Override PartName="/word/media/rId37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Applying</w:t>
      </w:r>
      <w:r>
        <w:t xml:space="preserve"> </w:t>
      </w:r>
      <w:r>
        <w:t xml:space="preserve">the</w:t>
      </w:r>
      <w:r>
        <w:t xml:space="preserve"> </w:t>
      </w:r>
      <w:r>
        <w:t xml:space="preserve">linear</w:t>
      </w:r>
      <w:r>
        <w:t xml:space="preserve"> </w:t>
      </w:r>
      <w:r>
        <w:t xml:space="preserve">chain</w:t>
      </w:r>
      <w:r>
        <w:t xml:space="preserve"> </w:t>
      </w:r>
      <w:r>
        <w:t xml:space="preserve">trick</w:t>
      </w:r>
      <w:r>
        <w:t xml:space="preserve"> </w:t>
      </w:r>
      <w:r>
        <w:t xml:space="preserve">using</w:t>
      </w:r>
      <w:r>
        <w:t xml:space="preserve"> </w:t>
      </w:r>
      <w:r>
        <w:t xml:space="preserve">AlgebraicPetri.jl</w:t>
      </w:r>
    </w:p>
    <w:p>
      <w:pPr>
        <w:pStyle w:val="FirstParagraph"/>
      </w:pPr>
      <w:r>
        <w:t xml:space="preserve">Simon Frost (</w:t>
      </w:r>
      <w:r>
        <w:t xml:space="preserve">@sdwfrost</w:t>
      </w:r>
      <w:r>
        <w:t xml:space="preserve">), 2023-06-14</w:t>
      </w:r>
    </w:p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example extends the</w:t>
      </w:r>
      <w:r>
        <w:t xml:space="preserve"> </w:t>
      </w:r>
      <w:hyperlink r:id="rId20">
        <w:r>
          <w:rPr>
            <w:rStyle w:val="Hyperlink"/>
          </w:rPr>
          <w:t xml:space="preserve">basic SIR model</w:t>
        </w:r>
      </w:hyperlink>
      <w:r>
        <w:t xml:space="preserve"> </w:t>
      </w:r>
      <w:r>
        <w:t xml:space="preserve">using the linear chain trick (see</w:t>
      </w:r>
      <w:r>
        <w:t xml:space="preserve"> </w:t>
      </w:r>
      <w:hyperlink r:id="rId21">
        <w:r>
          <w:rPr>
            <w:rStyle w:val="Hyperlink"/>
          </w:rPr>
          <w:t xml:space="preserve">this paper</w:t>
        </w:r>
      </w:hyperlink>
      <w:r>
        <w:t xml:space="preserve"> </w:t>
      </w:r>
      <w:r>
        <w:t xml:space="preserve">for more background), in which we chain together multiple infected stages in order to change the infectious period distribution.</w:t>
      </w:r>
    </w:p>
    <w:bookmarkEnd w:id="22"/>
    <w:bookmarkStart w:id="23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AlgebraicPetri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AlgebraicPetri.TypedPetri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Catlab.CategoricalAlgebra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Catlab.Programs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Catlab.WiringDiagrams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AlgebraicDynamics.UWDDynam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End w:id="23"/>
    <w:bookmarkStart w:id="36" w:name="transitions"/>
    <w:p>
      <w:pPr>
        <w:pStyle w:val="Heading2"/>
      </w:pPr>
      <w:r>
        <w:t xml:space="preserve">Transitions</w:t>
      </w:r>
    </w:p>
    <w:p>
      <w:pPr>
        <w:pStyle w:val="FirstParagraph"/>
      </w:pPr>
      <w:r>
        <w:t xml:space="preserve">For convenience, we define</w:t>
      </w:r>
      <w:r>
        <w:t xml:space="preserve"> </w:t>
      </w:r>
      <w:r>
        <w:rPr>
          <w:rStyle w:val="VerbatimChar"/>
        </w:rPr>
        <w:t xml:space="preserve">sub</w:t>
      </w:r>
      <w:r>
        <w:t xml:space="preserve">, a function that generate subscripted variables as strings.</w:t>
      </w:r>
    </w:p>
    <w:p>
      <w:pPr>
        <w:pStyle w:val="SourceCode"/>
      </w:pPr>
      <w:r>
        <w:rPr>
          <w:rStyle w:val="NormalTok"/>
        </w:rPr>
        <w:t xml:space="preserve">nstages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</w:t>
      </w:r>
      <w:r>
        <w:rPr>
          <w:rStyle w:val="NormalTok"/>
        </w:rPr>
        <w:t xml:space="preserve"> ?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</w:t>
      </w:r>
      <w:r>
        <w:rPr>
          <w:rStyle w:val="StringTok"/>
        </w:rPr>
        <w:t xml:space="preserve"> is 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CharTok"/>
        </w:rPr>
        <w:t xml:space="preserve">'₀'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digits</w:t>
      </w:r>
      <w:r>
        <w:rPr>
          <w:rStyle w:val="NormalTok"/>
        </w:rPr>
        <w:t xml:space="preserve">(i)))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x*sub</w:t>
      </w:r>
      <w:r>
        <w:rPr>
          <w:rStyle w:val="NormalTok"/>
        </w:rPr>
        <w:t xml:space="preserve">(i);</w:t>
      </w:r>
    </w:p>
    <w:p>
      <w:pPr>
        <w:pStyle w:val="FirstParagraph"/>
      </w:pPr>
      <w:r>
        <w:t xml:space="preserve">We define a labelled Petri net that has the different types of transition in our models. The first argument is an array of state names as symbols (here, a generic</w:t>
      </w:r>
      <w:r>
        <w:t xml:space="preserve"> </w:t>
      </w:r>
      <w:r>
        <w:rPr>
          <w:rStyle w:val="VerbatimChar"/>
        </w:rPr>
        <w:t xml:space="preserve">:Pop</w:t>
      </w:r>
      <w:r>
        <w:t xml:space="preserve">), followed by the transitions in the model. Transitions are given as</w:t>
      </w:r>
      <w:r>
        <w:t xml:space="preserve"> </w:t>
      </w:r>
      <w:r>
        <w:rPr>
          <w:rStyle w:val="VerbatimChar"/>
        </w:rPr>
        <w:t xml:space="preserve">transition_name=&gt;((input_states)=&gt;(output_states))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epi_lpn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LabelledPetriNet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Pop],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infection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progression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recovery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Next, we define the transmission model as an undirected wiring diagram using the</w:t>
      </w:r>
      <w:r>
        <w:t xml:space="preserve"> </w:t>
      </w:r>
      <w:r>
        <w:rPr>
          <w:rStyle w:val="VerbatimChar"/>
        </w:rPr>
        <w:t xml:space="preserve">@relation</w:t>
      </w:r>
      <w:r>
        <w:t xml:space="preserve"> </w:t>
      </w:r>
      <w:r>
        <w:t xml:space="preserve">macro, as in the basic SIR example. The steps are as follows:</w:t>
      </w:r>
    </w:p>
    <w:p>
      <w:pPr>
        <w:numPr>
          <w:ilvl w:val="0"/>
          <w:numId w:val="1001"/>
        </w:numPr>
        <w:pStyle w:val="Compact"/>
      </w:pPr>
      <w:r>
        <w:t xml:space="preserve">Define the undirected wiring diagram.</w:t>
      </w:r>
    </w:p>
    <w:p>
      <w:pPr>
        <w:numPr>
          <w:ilvl w:val="0"/>
          <w:numId w:val="1001"/>
        </w:numPr>
        <w:pStyle w:val="Compact"/>
      </w:pPr>
      <w:r>
        <w:t xml:space="preserve">Convert to an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by composing the wiring diagram with the labelled Petri net of transitions.</w:t>
      </w:r>
    </w:p>
    <w:p>
      <w:pPr>
        <w:numPr>
          <w:ilvl w:val="0"/>
          <w:numId w:val="1001"/>
        </w:numPr>
        <w:pStyle w:val="Compact"/>
      </w:pPr>
      <w:r>
        <w:t xml:space="preserve">Extract the composed Petri net from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.</w:t>
      </w:r>
    </w:p>
    <w:p>
      <w:pPr>
        <w:pStyle w:val="FirstParagraph"/>
      </w:pPr>
      <w:r>
        <w:t xml:space="preserve">We use four terms that capture the generation of</w:t>
      </w:r>
      <w:r>
        <w:t xml:space="preserve"> </w:t>
      </w:r>
      <w:r>
        <w:rPr>
          <w:rStyle w:val="VerbatimChar"/>
        </w:rPr>
        <w:t xml:space="preserve">I₁</w:t>
      </w:r>
      <w:r>
        <w:t xml:space="preserve"> </w:t>
      </w:r>
      <w:r>
        <w:t xml:space="preserve">from the four infectious stages, with a separate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parameter for each stage.</w:t>
      </w:r>
    </w:p>
    <w:p>
      <w:pPr>
        <w:pStyle w:val="SourceCode"/>
      </w:pPr>
      <w:r>
        <w:rPr>
          <w:rStyle w:val="NormalTok"/>
        </w:rPr>
        <w:t xml:space="preserve">si_uwd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I₁, I₂, I₃, I₄)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I₁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I₂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I₃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I₄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(S,I₁,I₁,I₁)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(S,I₂,I₁,I₂)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(S,I₃,I₁,I₃)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(S,I₄,I₁,I₄)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betas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.([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"β"</w:t>
      </w:r>
      <w:r>
        <w:rPr>
          <w:rStyle w:val="NormalTok"/>
        </w:rPr>
        <w:t xml:space="preserve">,i) for 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nstages])</w:t>
      </w:r>
      <w:r>
        <w:br/>
      </w:r>
      <w:r>
        <w:rPr>
          <w:rStyle w:val="NormalTok"/>
        </w:rPr>
        <w:t xml:space="preserve">si_acst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si_uwd, betas)</w:t>
      </w:r>
      <w:r>
        <w:br/>
      </w:r>
      <w:r>
        <w:rPr>
          <w:rStyle w:val="NormalTok"/>
        </w:rPr>
        <w:t xml:space="preserve">si_lpn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(si_acst)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(si_lpn)</w:t>
      </w:r>
    </w:p>
    <w:p>
      <w:pPr>
        <w:pStyle w:val="FirstParagraph"/>
      </w:pPr>
      <w:r>
        <w:drawing>
          <wp:inline>
            <wp:extent cx="2571750" cy="5067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n_compose_sir_stages_files/figure-docx/cell-5-output-1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repeat for the progression (</w:t>
      </w:r>
      <w:r>
        <w:rPr>
          <w:rStyle w:val="VerbatimChar"/>
        </w:rPr>
        <w:t xml:space="preserve">I₁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I₂</w:t>
      </w:r>
      <w:r>
        <w:t xml:space="preserve">, etc.) and recovery (</w:t>
      </w:r>
      <w:r>
        <w:rPr>
          <w:rStyle w:val="VerbatimChar"/>
        </w:rPr>
        <w:t xml:space="preserve">I₄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</w:t>
      </w:r>
      <w:r>
        <w:t xml:space="preserve">) transitions; we will use an indexed parameter</w:t>
      </w:r>
      <w:r>
        <w:t xml:space="preserve"> </w:t>
      </w:r>
      <w:r>
        <w:rPr>
          <w:rStyle w:val="VerbatimChar"/>
        </w:rPr>
        <w:t xml:space="preserve">δ</w:t>
      </w:r>
      <w:r>
        <w:t xml:space="preserve"> </w:t>
      </w:r>
      <w:r>
        <w:t xml:space="preserve">for both the progression and recovery rates.</w:t>
      </w:r>
    </w:p>
    <w:p>
      <w:pPr>
        <w:pStyle w:val="SourceCode"/>
      </w:pPr>
      <w:r>
        <w:rPr>
          <w:rStyle w:val="NormalTok"/>
        </w:rPr>
        <w:t xml:space="preserve">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(I₁, I₂, I₃, I₄,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(I₁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I₂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I₃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I₄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progression</w:t>
      </w:r>
      <w:r>
        <w:rPr>
          <w:rStyle w:val="NormalTok"/>
        </w:rPr>
        <w:t xml:space="preserve">(I₁,I₂)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progression</w:t>
      </w:r>
      <w:r>
        <w:rPr>
          <w:rStyle w:val="NormalTok"/>
        </w:rPr>
        <w:t xml:space="preserve">(I₂,I₃)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progression</w:t>
      </w:r>
      <w:r>
        <w:rPr>
          <w:rStyle w:val="NormalTok"/>
        </w:rPr>
        <w:t xml:space="preserve">(I₃,I₄)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(I₄,R)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deltas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.([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"δ"</w:t>
      </w:r>
      <w:r>
        <w:rPr>
          <w:rStyle w:val="NormalTok"/>
        </w:rPr>
        <w:t xml:space="preserve">,i) for 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nstages])</w:t>
      </w:r>
      <w:r>
        <w:br/>
      </w:r>
      <w:r>
        <w:rPr>
          <w:rStyle w:val="NormalTok"/>
        </w:rPr>
        <w:t xml:space="preserve">ir_acst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ir_uwd, deltas)</w:t>
      </w:r>
      <w:r>
        <w:br/>
      </w:r>
      <w:r>
        <w:rPr>
          <w:rStyle w:val="NormalTok"/>
        </w:rPr>
        <w:t xml:space="preserve">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(ir_acst)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(ir_lpn)</w:t>
      </w:r>
    </w:p>
    <w:p>
      <w:pPr>
        <w:pStyle w:val="FirstParagraph"/>
      </w:pPr>
      <w:r>
        <w:drawing>
          <wp:inline>
            <wp:extent cx="5334000" cy="35324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n_compose_sir_stages_files/figure-docx/cell-6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glue the SI and IR models together to make an SIR model, we perform the following:</w:t>
      </w:r>
      <w:r>
        <w:t xml:space="preserve"> </w:t>
      </w:r>
      <w:r>
        <w:t xml:space="preserve">1. We define an undirected wiring diagram which contains all our states, and two transitions.</w:t>
      </w:r>
      <w:r>
        <w:t xml:space="preserve"> </w:t>
      </w:r>
      <w:r>
        <w:t xml:space="preserve">2. We then create a</w:t>
      </w:r>
      <w:r>
        <w:t xml:space="preserve"> </w:t>
      </w:r>
      <w:r>
        <w:rPr>
          <w:rStyle w:val="VerbatimChar"/>
        </w:rPr>
        <w:t xml:space="preserve">StructuredMulticospan</w:t>
      </w:r>
      <w:r>
        <w:t xml:space="preserve"> </w:t>
      </w:r>
      <w:r>
        <w:t xml:space="preserve">using this wiring diagram and a dictionary that maps the objects in the wiring diagram with the transmission and recovery Petri nets generated previously.</w:t>
      </w:r>
      <w:r>
        <w:t xml:space="preserve"> </w:t>
      </w:r>
      <w:r>
        <w:t xml:space="preserve">3. We extract the composed labelled Petri net.</w:t>
      </w:r>
    </w:p>
    <w:p>
      <w:pPr>
        <w:pStyle w:val="SourceCode"/>
      </w:pPr>
      <w:r>
        <w:rPr>
          <w:rStyle w:val="NormalTok"/>
        </w:rPr>
        <w:t xml:space="preserve">sir_uwd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I₁, I₂, I₃, I₄,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I₁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I₂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I₃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I₄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</w:t>
      </w:r>
      <w:r>
        <w:rPr>
          <w:rStyle w:val="NormalTok"/>
        </w:rPr>
        <w:t xml:space="preserve">(S, I₁, I₂, I₃, I₄)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ir</w:t>
      </w:r>
      <w:r>
        <w:rPr>
          <w:rStyle w:val="NormalTok"/>
        </w:rPr>
        <w:t xml:space="preserve">(I₁, I₂, I₃, I₄, R)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sir_smc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</w:t>
      </w:r>
      <w:r>
        <w:rPr>
          <w:rStyle w:val="NormalTok"/>
        </w:rPr>
        <w:t xml:space="preserve">(sir_uwd,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(si_lpn),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(ir_lpn),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apex</w:t>
      </w:r>
      <w:r>
        <w:rPr>
          <w:rStyle w:val="NormalTok"/>
        </w:rPr>
        <w:t xml:space="preserve">(sir_smc)</w:t>
      </w:r>
      <w:r>
        <w:br/>
      </w:r>
      <w:r>
        <w:rPr>
          <w:rStyle w:val="FunctionTok"/>
        </w:rPr>
        <w:t xml:space="preserve">Graph</w:t>
      </w:r>
      <w:r>
        <w:rPr>
          <w:rStyle w:val="NormalTok"/>
        </w:rPr>
        <w:t xml:space="preserve">(sir_lpn)</w:t>
      </w:r>
    </w:p>
    <w:p>
      <w:pPr>
        <w:pStyle w:val="FirstParagraph"/>
      </w:pPr>
      <w:r>
        <w:drawing>
          <wp:inline>
            <wp:extent cx="5334000" cy="209345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n_compose_sir_stages_files/figure-docx/cell-7-output-1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1" w:name="running-the-model"/>
    <w:p>
      <w:pPr>
        <w:pStyle w:val="Heading2"/>
      </w:pPr>
      <w:r>
        <w:t xml:space="preserve">Running the model</w:t>
      </w:r>
    </w:p>
    <w:p>
      <w:pPr>
        <w:pStyle w:val="FirstParagraph"/>
      </w:pPr>
      <w:r>
        <w:t xml:space="preserve">To run an ODE model from the labelled Petri net, we define a vector field, the initial conditions, the parameter array, and the time span.</w:t>
      </w:r>
    </w:p>
    <w:p>
      <w:pPr>
        <w:pStyle w:val="SourceCode"/>
      </w:pPr>
      <w:r>
        <w:rPr>
          <w:rStyle w:val="NormalTok"/>
        </w:rPr>
        <w:t xml:space="preserve">sir_vf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vectorfield</w:t>
      </w:r>
      <w:r>
        <w:rPr>
          <w:rStyle w:val="NormalTok"/>
        </w:rPr>
        <w:t xml:space="preserve">(sir_lpn);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990.0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snames</w:t>
      </w:r>
      <w:r>
        <w:rPr>
          <w:rStyle w:val="NormalTok"/>
        </w:rPr>
        <w:t xml:space="preserve">(sir_lpn))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([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],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],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)])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tnames</w:t>
      </w:r>
      <w:r>
        <w:rPr>
          <w:rStyle w:val="NormalTok"/>
        </w:rPr>
        <w:t xml:space="preserve">(sir_lpn))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now solve the system.</w:t>
      </w:r>
    </w:p>
    <w:p>
      <w:pPr>
        <w:pStyle w:val="SourceCode"/>
      </w:pPr>
      <w:r>
        <w:rPr>
          <w:rStyle w:val="NormalTok"/>
        </w:rPr>
        <w:t xml:space="preserve">sir_prob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(sir_vf, u0, tspan, p)</w:t>
      </w:r>
      <w:r>
        <w:br/>
      </w:r>
      <w:r>
        <w:rPr>
          <w:rStyle w:val="NormalTok"/>
        </w:rPr>
        <w:t xml:space="preserve">sir_sol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(sir_prob, </w:t>
      </w:r>
      <w:r>
        <w:rPr>
          <w:rStyle w:val="FunctionTok"/>
        </w:rPr>
        <w:t xml:space="preserve">Rosenbrock32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(sir_sol)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n_compose_sir_stages_files/figure-docx/cell-9-output-1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24" Target="media/rId24.svgz" /><Relationship Type="http://schemas.openxmlformats.org/officeDocument/2006/relationships/image" Id="rId28" Target="media/rId28.svgz" /><Relationship Type="http://schemas.openxmlformats.org/officeDocument/2006/relationships/image" Id="rId32" Target="media/rId32.svgz" /><Relationship Type="http://schemas.openxmlformats.org/officeDocument/2006/relationships/image" Id="rId37" Target="media/rId37.svgz" /><Relationship Type="http://schemas.openxmlformats.org/officeDocument/2006/relationships/hyperlink" Id="rId20" Target="https://github.com/epirecipes/EpiCats/blob/main/pn_compose_sir/pn_compose_sir.ipynb" TargetMode="External" /><Relationship Type="http://schemas.openxmlformats.org/officeDocument/2006/relationships/hyperlink" Id="rId21" Target="https://link.springer.com/article/10.1007/s00285-019-01412-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epirecipes/EpiCats/blob/main/pn_compose_sir/pn_compose_sir.ipynb" TargetMode="External" /><Relationship Type="http://schemas.openxmlformats.org/officeDocument/2006/relationships/hyperlink" Id="rId21" Target="https://link.springer.com/article/10.1007/s00285-019-01412-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Applying the linear chain trick using AlgebraicPetri.jl</dc:title>
  <dc:creator/>
  <cp:keywords/>
  <dcterms:created xsi:type="dcterms:W3CDTF">2023-06-14T17:00:20Z</dcterms:created>
  <dcterms:modified xsi:type="dcterms:W3CDTF">2023-06-14T17:00:20Z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