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Modelo Conceptual del Sistema Casa Segura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modelo entidad–relación describe el sistema 'Casa Segura' que permite al dueño de la casa configurar y controlar un sistema de seguridad.</w:t>
        <w:br w:type="textWrapping"/>
        <w:br w:type="textWrapping"/>
        <w:t xml:space="preserve">Un Usuario/Dueño se asocia a un único Sistema de Seguridad, el cual cuenta con un Panel de Control para programar sensores y administrar el sistema mediante una contraseña maestra.</w:t>
        <w:br w:type="textWrapping"/>
        <w:br w:type="textWrapping"/>
        <w:t xml:space="preserve">El sistema se conecta con uno o varios Servicios de Monitoreo, encargados de recibir alertas cuando un Sensor detecta un evento.</w:t>
        <w:br w:type="textWrapping"/>
        <w:br w:type="textWrapping"/>
        <w:t xml:space="preserve">Cada sensor, identificado por un número y tipo, puede generar Eventos que quedan registrados con fecha, hora y descripción. Estos eventos pueden activar una Alarma y están asociados a uno o varios Números Telefónicos para notificar a las personas o entidades correspondientes.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114300" distR="114300">
            <wp:extent cx="6078164" cy="2013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8164" cy="201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AzlH8L0MbPW47LrdsQvbkqyZ6w==">CgMxLjA4AHIhMW1FNEZPZktwRF8yNHJHS2s2TGUxZWZ6dVlaOTk3NnQ5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