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Methods</w:t>
      </w:r>
    </w:p>
    <w:p>
      <w:pPr>
        <w:pStyle w:val="Heading2"/>
        <w:spacing w:after="160" w:before="280"/>
      </w:pPr>
      <w:r>
        <w:rPr>
          <w:rFonts w:ascii="Times New Roman" w:cs="Times New Roman" w:eastAsia="Times New Roman" w:hAnsi="Times New Roman"/>
          <w:b/>
          <w:bCs/>
          <w:sz w:val="26"/>
          <w:szCs w:val="26"/>
        </w:rPr>
        <w:t xml:space="preserve">Dataset and prediction tasks</w:t>
      </w:r>
    </w:p>
    <w:p>
      <w:pPr>
        <w:spacing w:after="160" w:line="300"/>
        <w:jc w:val="both"/>
      </w:pPr>
      <w:r>
        <w:rPr>
          <w:rFonts w:ascii="Times New Roman" w:cs="Times New Roman" w:eastAsia="Times New Roman" w:hAnsi="Times New Roman"/>
          <w:sz w:val="24"/>
          <w:szCs w:val="24"/>
        </w:rPr>
        <w:t xml:space="preserve">We used the MIMIC-Extract dataset, a preprocessed view of the MIMIC-III critical care database. Patient-level splits were applied to prevent data leakage: training (n = 14,825), validation (n = 2,118), and test (n = 5,648). The validation cohort was further partitioned into two equal subsets: a hyperparameter selection subset (val_tune, n = 1,059) and a calibration subset (val_cal, n = 1,059). All preprocessing parameters, including imputation values, reference statistics, and class-balance weights, were derived exclusively from the training set, or from training plus val_tune as specified per analysis, and applied identically to validation and test cohorts.</w:t>
      </w:r>
    </w:p>
    <w:p>
      <w:pPr>
        <w:spacing w:after="160" w:line="300"/>
        <w:jc w:val="both"/>
      </w:pPr>
      <w:r>
        <w:rPr>
          <w:rFonts w:ascii="Times New Roman" w:cs="Times New Roman" w:eastAsia="Times New Roman" w:hAnsi="Times New Roman"/>
          <w:sz w:val="24"/>
          <w:szCs w:val="24"/>
        </w:rPr>
        <w:t xml:space="preserve">For each patient, we used the first 24 hours of ICU data to predict six binary outcomes spanning four clinical domains: acute physiological events (in-hospital mortality), post-discharge trajectory (30-day readmission), resource utilization (ICU length of stay greater than 3 days; ICU length of stay greater than 7 days), and therapeutic interventions (new initiation of mechanical ventilation after the observation window; new initiation of vasopressors after the observation window). For the two intervention tasks, patients already receiving mechanical ventilation or vasopressors during the 24-hour observation window were excluded from the corresponding analyses. Labels for in-hospital mortality and 30-day readmission were taken directly from the dataset; length-of-stay labels were derived by thresholding the continuous length-of-stay variable. The six outcomes were prespecified as distinct clinical endpoints rather than repeated tests of a single hypothesis.</w:t>
      </w:r>
    </w:p>
    <w:p>
      <w:pPr>
        <w:pStyle w:val="Heading2"/>
        <w:spacing w:after="160" w:before="280"/>
      </w:pPr>
      <w:r>
        <w:rPr>
          <w:rFonts w:ascii="Times New Roman" w:cs="Times New Roman" w:eastAsia="Times New Roman" w:hAnsi="Times New Roman"/>
          <w:b/>
          <w:bCs/>
          <w:sz w:val="26"/>
          <w:szCs w:val="26"/>
        </w:rPr>
        <w:t xml:space="preserve">Numerical feature engineering</w:t>
      </w:r>
    </w:p>
    <w:p>
      <w:pPr>
        <w:spacing w:after="160" w:line="300"/>
        <w:jc w:val="both"/>
      </w:pPr>
      <w:r>
        <w:rPr>
          <w:rFonts w:ascii="Times New Roman" w:cs="Times New Roman" w:eastAsia="Times New Roman" w:hAnsi="Times New Roman"/>
          <w:sz w:val="24"/>
          <w:szCs w:val="24"/>
        </w:rPr>
        <w:t xml:space="preserve">The Numerical Model feature set was constructed through a two-phase, domain-informed process. We first characterized each clinical variable in the training set by measurement frequency, typical number of measurements per stay, and population variance. We then applied a sequential rule-based classification that assigned each variable to one of six mutually exclusive categories based on its clinical role and measurement pattern. Sequential assignment ensured that variables satisfying an earlier rule were excluded from later rules, producing unambiguous categorization.</w:t>
      </w:r>
    </w:p>
    <w:p>
      <w:pPr>
        <w:spacing w:after="160" w:line="300"/>
        <w:jc w:val="both"/>
      </w:pPr>
      <w:r>
        <w:rPr>
          <w:rFonts w:ascii="Times New Roman" w:cs="Times New Roman" w:eastAsia="Times New Roman" w:hAnsi="Times New Roman"/>
          <w:sz w:val="24"/>
          <w:szCs w:val="24"/>
        </w:rPr>
        <w:t xml:space="preserve">The six categories were (i) static variables, comprising basic patient characteristics fixed across a stay; (ii) event-driven variables, rare measurements appearing in fewer than 5% of stays, such as specialized diagnostic tests; (iii) high-frequency physiological variables, continuously monitored signals such as vital signs; (iv) labile laboratory variables, routinely measured laboratory values reflecting rapidly changing metabolic states; (v) stable index variables, infrequently measured markers that remain relatively constant; and (vi) sparse dynamic variables, comprising remaining measurements taken sporadically but with temporal variation. Each category generated a category-specific set of statistics from the 24-hour observation window, capturing combinations of central tendency (last value, mean), variability (standard deviation, minimum, maximum), measurement burden (counts over the 24-hour and 6-hour windows), and trend (24-hour and 6-hour slopes), with the specific combination determined by the clinical role of the category. High-frequency physiological variables yielded the richest representation, with nine statistics per variable; static and stable-index variables yielded the most compact representations. The full mapping of categories to representative variables, generated statistics, and per-variable feature counts is reported in Supplementary Table 1. The procedure yielded 458 engineered features per patient stay, inclusive of demographic features.</w:t>
      </w:r>
    </w:p>
    <w:p>
      <w:pPr>
        <w:spacing w:after="160" w:line="300"/>
        <w:jc w:val="both"/>
      </w:pPr>
      <w:r>
        <w:rPr>
          <w:rFonts w:ascii="Times New Roman" w:cs="Times New Roman" w:eastAsia="Times New Roman" w:hAnsi="Times New Roman"/>
          <w:sz w:val="24"/>
          <w:szCs w:val="24"/>
        </w:rPr>
        <w:t xml:space="preserve">Missing derived features were imputed using feature-semantics-aware rules rather than generic mean imputation. Missing last values and summary statistics (means, minimums, maximums) were filled with the training-set median. Standard deviations were set to zero when fewer than two measurements were available, explicitly representing no observed variability. Slopes were set to zero when fewer than two measurements were available, representing a flat trajectory. All imputation values, including medians, were computed exclusively from the training set and applied identically to validation and test sets to prevent data leakage. Feature-family level missingness across the cohort is summarized in Supplementary Fig. 1.</w:t>
      </w:r>
    </w:p>
    <w:p>
      <w:pPr>
        <w:pStyle w:val="Heading2"/>
        <w:spacing w:after="160" w:before="280"/>
      </w:pPr>
      <w:r>
        <w:rPr>
          <w:rFonts w:ascii="Times New Roman" w:cs="Times New Roman" w:eastAsia="Times New Roman" w:hAnsi="Times New Roman"/>
          <w:b/>
          <w:bCs/>
          <w:sz w:val="26"/>
          <w:szCs w:val="26"/>
        </w:rPr>
        <w:t xml:space="preserve">Semantic representation engineering</w:t>
      </w:r>
    </w:p>
    <w:p>
      <w:pPr>
        <w:spacing w:after="160" w:line="300"/>
        <w:jc w:val="both"/>
      </w:pPr>
      <w:r>
        <w:rPr>
          <w:rFonts w:ascii="Times New Roman" w:cs="Times New Roman" w:eastAsia="Times New Roman" w:hAnsi="Times New Roman"/>
          <w:sz w:val="24"/>
          <w:szCs w:val="24"/>
        </w:rPr>
        <w:t xml:space="preserve">Structured patient data were transformed into fixed-length semantic vectors through a three-stage pipeline: text serialization, prompt wrapping, and embedding generation. To systematically evaluate how information presentation affects representation quality, we implemented a full factorial design crossing three text serialization formats with six prompting strategies, yielding 18 text configurations per embedding model.</w:t>
      </w:r>
    </w:p>
    <w:p>
      <w:pPr>
        <w:spacing w:after="160" w:line="300"/>
        <w:jc w:val="both"/>
      </w:pPr>
      <w:r>
        <w:rPr>
          <w:rFonts w:ascii="Times New Roman" w:cs="Times New Roman" w:eastAsia="Times New Roman" w:hAnsi="Times New Roman"/>
          <w:sz w:val="24"/>
          <w:szCs w:val="24"/>
        </w:rPr>
        <w:t xml:space="preserve">The three serialization formats were of increasing abstraction. F1 (uninterpreted) consisted of a structured list of raw clinical values, requiring the embedding model to infer clinical significance directly from the numbers. F2 (interpreted) augmented raw values with qualitative flags based on sex-specific reference ranges compiled from standard clinical reference sources. F3 (concise list) presented a filtered list describing only abnormal findings and key trends, reducing token noise. Full format specifications, including representative serialized text, are reported in Supplementary Table 3.</w:t>
      </w:r>
    </w:p>
    <w:p>
      <w:pPr>
        <w:spacing w:after="160" w:line="300"/>
        <w:jc w:val="both"/>
      </w:pPr>
      <w:r>
        <w:rPr>
          <w:rFonts w:ascii="Times New Roman" w:cs="Times New Roman" w:eastAsia="Times New Roman" w:hAnsi="Times New Roman"/>
          <w:sz w:val="24"/>
          <w:szCs w:val="24"/>
        </w:rPr>
        <w:t xml:space="preserve">The six prompting strategies framed the serialized text. P0 (null control) provided the text with no additional instruction. P1 (task-specific) stated the prediction goal explicitly. P2 (persona-driven) instructed the model to adopt the role of an expert ICU physician. P3 (relational focus) emphasized systemic connections between variables and temporal evolution. P4 (acute dysregulation) directed attention to signs of instability. P5 (dominant pathophysiology) encouraged reasoning about underlying disease mechanisms. For each prediction task, the outcome reference within prompt strategies P1 through P5 was substituted with the task-specific endpoint (in-hospital mortality, 30-day readmission, ICU length of stay greater than 3 or 7 days, or new mechanical ventilation or vasopressor initiation), holding the framing strategy constant across endpoints. P0 was identical across all tasks. Full prompt text for each strategy is reported in Supplementary Table 2.</w:t>
      </w:r>
    </w:p>
    <w:p>
      <w:pPr>
        <w:spacing w:after="160" w:line="300"/>
        <w:jc w:val="both"/>
      </w:pPr>
      <w:r>
        <w:rPr>
          <w:rFonts w:ascii="Times New Roman" w:cs="Times New Roman" w:eastAsia="Times New Roman" w:hAnsi="Times New Roman"/>
          <w:sz w:val="24"/>
          <w:szCs w:val="24"/>
        </w:rPr>
        <w:t xml:space="preserve">Six embedding models were evaluated, spanning general-purpose and biomedical encoders. The general-purpose models were text-embedding-004, text-embedding-005, and embedding-001 (each producing 768-dimensional embeddings), and text-embedding-large-exp-03-07 (3,000-dimensional). The biomedical models were MedEmbed-base-v0.1 (384-dimensional) and PubMedBERT (768-dimensional). Gemini-family embeddings (text-embedding-004, text-embedding-005, embedding-001, text-embedding-large-exp-03-07) were generated via the Google Generative AI API in July 2025; biomedical embeddings were generated locally via Hugging Face. Serialized patient texts were submitted to each embedding model as single inputs without local truncation or chunking. For text-embedding-005, batching was token-aware to respect API rate limits, and no records were skipped during the embedding run. Embeddings were not L2-normalized before being passed to the downstream classifier.</w:t>
      </w:r>
    </w:p>
    <w:p>
      <w:pPr>
        <w:pStyle w:val="Heading2"/>
        <w:spacing w:after="160" w:before="280"/>
      </w:pPr>
      <w:r>
        <w:rPr>
          <w:rFonts w:ascii="Times New Roman" w:cs="Times New Roman" w:eastAsia="Times New Roman" w:hAnsi="Times New Roman"/>
          <w:b/>
          <w:bCs/>
          <w:sz w:val="26"/>
          <w:szCs w:val="26"/>
        </w:rPr>
        <w:t xml:space="preserve">Model development and calibration</w:t>
      </w:r>
    </w:p>
    <w:p>
      <w:pPr>
        <w:spacing w:after="160" w:line="300"/>
        <w:jc w:val="both"/>
      </w:pPr>
      <w:r>
        <w:rPr>
          <w:rFonts w:ascii="Times New Roman" w:cs="Times New Roman" w:eastAsia="Times New Roman" w:hAnsi="Times New Roman"/>
          <w:sz w:val="24"/>
          <w:szCs w:val="24"/>
        </w:rPr>
        <w:t xml:space="preserve">Both pipelines used an XGBoost classifier as the downstream predictor, isolating the effect of feature representation on model behavior. For the Numerical Model, an ElasticNet classifier was also evaluated as a parallel linear comparator. Within each model family the configuration maximizing AUROC on val_tune was selected as the task-specific champion; for the Numerical Model, the champion was selected within each classifier family separately, with the higher val_tune AUROC choosing between XGBoost and ElasticNet for the final per-task numerical baseline. As reflected in Table 2 and Supplementary Fig. 6, the resulting numerical baseline is XGBoost for some tasks and ElasticNet for others (the 30-day readmission champion being ElasticNet).</w:t>
      </w:r>
    </w:p>
    <w:p>
      <w:pPr>
        <w:spacing w:after="160" w:line="300"/>
        <w:jc w:val="both"/>
      </w:pPr>
      <w:r>
        <w:rPr>
          <w:rFonts w:ascii="Times New Roman" w:cs="Times New Roman" w:eastAsia="Times New Roman" w:hAnsi="Times New Roman"/>
          <w:sz w:val="24"/>
          <w:szCs w:val="24"/>
        </w:rPr>
        <w:t xml:space="preserve">Hyperparameters were optimized using Bayesian search via Optuna with the Tree-structured Parzen Estimator. The Numerical XGBoost search space comprised number of estimators (100 to 1,000), learning rate (10⁻³ to 0.3, log scale), maximum depth (3 to 10), subsample and column subsample fractions (0.5 to 1.0), gamma (10⁻⁸ to 1.0), and minimum child weight (1 to 10), with early stopping after 30 rounds. The Semantic XGBoost search space comprised number of estimators (100 to 1,000), learning rate (0.01 to 0.3), maximum depth (3 to 10), subsample and column subsample fractions (0.6 to 1.0), minimum child weight (1 to 10), gamma (0 to 5), and L1 and L2 regularization (0 to 1), with early stopping after 50 rounds and GPU histogram-based training where available. The ElasticNet search space comprised regularization strength C (10⁻³ to 10³, log scale), L1 ratio (0.0 to 1.0), penalty types (L1, L2, ElasticNet), and solvers (liblinear, saga) selected under compatibility constraints. Class imbalance in both XGBoost classifiers was handled by setting scale_pos_weight to the negative-to-positive class ratio computed on the training cohort during tuning, and recomputed on the union of training and val_tune for final training; ElasticNet used class_weight = "balanced".</w:t>
      </w:r>
    </w:p>
    <w:p>
      <w:pPr>
        <w:spacing w:after="160" w:line="300"/>
        <w:jc w:val="both"/>
      </w:pPr>
      <w:r>
        <w:rPr>
          <w:rFonts w:ascii="Times New Roman" w:cs="Times New Roman" w:eastAsia="Times New Roman" w:hAnsi="Times New Roman"/>
          <w:sz w:val="24"/>
          <w:szCs w:val="24"/>
        </w:rPr>
        <w:t xml:space="preserve">For each of the six prediction tasks, each of the six embedding models was evaluated across all 18 text configurations with 30 Optuna trials per configuration, yielding 540 semantic-model fits per embedding model and 3,240 fits per task. Across all six tasks, this produced 19,440 semantic-model fits. The numerical pipeline contributed an additional 360 fits across the two classifier families (30 trials each for XGBoost and ElasticNet across the six tasks), for a total of 19,800 model fits. This single accounting supersedes prior summary counts.</w:t>
      </w:r>
    </w:p>
    <w:p>
      <w:pPr>
        <w:spacing w:after="160" w:line="300"/>
        <w:jc w:val="both"/>
      </w:pPr>
      <w:r>
        <w:rPr>
          <w:rFonts w:ascii="Times New Roman" w:cs="Times New Roman" w:eastAsia="Times New Roman" w:hAnsi="Times New Roman"/>
          <w:sz w:val="24"/>
          <w:szCs w:val="24"/>
        </w:rPr>
        <w:t xml:space="preserve">Within each model family, the task-specific selected configuration was retrained on the union of training and val_tune. Both isotonic and sigmoid calibration were then evaluated on val_cal, and the method minimizing Expected Calibration Error was selected per task. Final metrics, including AUROC, Expected Calibration Error, and Brier scores, were computed strictly on the held-out test set. Calibration curves are shown in Supplementary Fig. 3 (in-hospital mortality) and Supplementary Fig. 6 (30-day readmission). Final head-to-head comparisons between the Semantic Model champion and the Numerical Model baseline used DeLong’s method on paired test-set predictions.</w:t>
      </w:r>
    </w:p>
    <w:p>
      <w:pPr>
        <w:pStyle w:val="Heading2"/>
        <w:spacing w:after="160" w:before="280"/>
      </w:pPr>
      <w:r>
        <w:rPr>
          <w:rFonts w:ascii="Times New Roman" w:cs="Times New Roman" w:eastAsia="Times New Roman" w:hAnsi="Times New Roman"/>
          <w:b/>
          <w:bCs/>
          <w:sz w:val="26"/>
          <w:szCs w:val="26"/>
        </w:rPr>
        <w:t xml:space="preserve">Embedding-space interpretability</w:t>
      </w:r>
    </w:p>
    <w:p>
      <w:pPr>
        <w:spacing w:after="160" w:line="300"/>
        <w:jc w:val="both"/>
      </w:pPr>
      <w:r>
        <w:rPr>
          <w:rFonts w:ascii="Times New Roman" w:cs="Times New Roman" w:eastAsia="Times New Roman" w:hAnsi="Times New Roman"/>
          <w:sz w:val="24"/>
          <w:szCs w:val="24"/>
        </w:rPr>
        <w:t xml:space="preserve">We characterized the semantic embedding space using two complementary analyses. First, we used linear probes to quantify the encoding fidelity of individual clinical variables. For each prediction task separately (not pooled across tasks), a Ridge regression model with fixed regularization strength (alpha = 1.0) was trained to predict each probed clinical variable from the full embedding vector under 5-fold shuffled cross-validation. Out-of-fold predictions were aggregated across folds, and R² was computed per variable on the aggregated predictions and clipped at zero to avoid reporting negative R² values for variables not encoded above chance. The linearity constraint was deliberate: because the downstream XGBoost classifier consumes each embedding dimension independently, linear accessibility reflects the information the pipeline can directly leverage. Each probed variable was evaluated in two forms, raw physiological value and measurement count, to distinguish whether the embedding encoded the clinical quantity itself or the frequency with which it was measured. The probed variable set was curated to include error-archetype drivers, comparative failure-mode markers, and reference variables spanning major physiological domains.</w:t>
      </w:r>
    </w:p>
    <w:p>
      <w:pPr>
        <w:spacing w:after="160" w:line="300"/>
        <w:jc w:val="both"/>
      </w:pPr>
      <w:r>
        <w:rPr>
          <w:rFonts w:ascii="Times New Roman" w:cs="Times New Roman" w:eastAsia="Times New Roman" w:hAnsi="Times New Roman"/>
          <w:sz w:val="24"/>
          <w:szCs w:val="24"/>
        </w:rPr>
        <w:t xml:space="preserve">Second, we computed TreeSHAP values for the XGBoost classifiers in both pipelines, using the default tree-path-dependent feature perturbation method on a random sample of up to 500 held-out test patients. No explicit background sample was supplied; the trained tree structure served as the implicit background distribution. For the Numerical Model, SHAP values mapped directly to named clinical features. For the Semantic Model, each embedding dimension lacks inherent clinical meaning, and each top-contributing dimension was annotated with its three strongest unique clinical correlates by univariate out-of-fold R² from the linear probe analysis, linking SHAP importance to encoding fidelity. Robustness checks for the error-decomposition analysis are reported in Supplementary Fig. 4.</w:t>
      </w:r>
    </w:p>
    <w:p>
      <w:pPr>
        <w:pStyle w:val="Heading2"/>
        <w:spacing w:after="160" w:before="280"/>
      </w:pPr>
      <w:r>
        <w:rPr>
          <w:rFonts w:ascii="Times New Roman" w:cs="Times New Roman" w:eastAsia="Times New Roman" w:hAnsi="Times New Roman"/>
          <w:b/>
          <w:bCs/>
          <w:sz w:val="26"/>
          <w:szCs w:val="26"/>
        </w:rPr>
        <w:t xml:space="preserve">Discordance analysis</w:t>
      </w:r>
    </w:p>
    <w:p>
      <w:pPr>
        <w:spacing w:after="160" w:line="300"/>
        <w:jc w:val="both"/>
      </w:pPr>
      <w:r>
        <w:rPr>
          <w:rFonts w:ascii="Times New Roman" w:cs="Times New Roman" w:eastAsia="Times New Roman" w:hAnsi="Times New Roman"/>
          <w:sz w:val="24"/>
          <w:szCs w:val="24"/>
        </w:rPr>
        <w:t xml:space="preserve">To investigate whether the Numerical Model and Semantic Model failed on the same or different patients, we conducted a multi-stage discordance analysis that isolated patients correctly classified by one model but missed by the other. To keep failure modes clinically interpretable rather than dependent on latent model features, we used a fixed catalog of 53 deterministic, rule-based clinical phenotypes drawn from standard critical care definitions, covering hemodynamic states (for example, mean arterial pressure below 60 mmHg defining severe hypotension), organ dysfunction (for example, a 24-hour creatinine slope above +0.1 mg/dL defining rising creatinine), metabolic derangements (for example, lactate above 4.0 mmol/L with pH below 7.35 defining lactic acidosis), support modalities, and inflammatory syndromes including Systemic Inflammatory Response Syndrome criteria. Phenotypes were computed from standardized numeric inputs after inverse transformation to the original measurement scale, then evaluated against an explicit rule catalog mapping laboratory and physiologic signals to binary, categorical, or continuous clinical constructs. To keep findings actionable, the search space was restricted so that binary phenotypes contributed only positive, abnormal, or present states; categorical phenotypes excluded explicitly designated normal or reference levels; and continuous phenotypes entered only through interval or inequality conditions. The full 53-phenotype rule catalog is provided in the Supplementary Information.</w:t>
      </w:r>
    </w:p>
    <w:p>
      <w:pPr>
        <w:spacing w:after="160" w:line="300"/>
        <w:jc w:val="both"/>
      </w:pPr>
      <w:r>
        <w:rPr>
          <w:rFonts w:ascii="Times New Roman" w:cs="Times New Roman" w:eastAsia="Times New Roman" w:hAnsi="Times New Roman"/>
          <w:sz w:val="24"/>
          <w:szCs w:val="24"/>
        </w:rPr>
        <w:t xml:space="preserve">Two cohort designs were used. Differential failure contrasts compared, separately for each model, patients in whom that model erred against patients in whom both models agreed on the correct class, including false-negative regions versus concordant true positives and false-positive regions versus concordant true negatives. Comparative discordance contrasts isolated patients with the same observed outcome in whom the two models disagreed (for example, among survivors, patients in whom one model correctly predicted survival while the other produced a false positive).</w:t>
      </w:r>
    </w:p>
    <w:p>
      <w:pPr>
        <w:spacing w:after="160" w:line="300"/>
        <w:jc w:val="both"/>
      </w:pPr>
      <w:r>
        <w:rPr>
          <w:rFonts w:ascii="Times New Roman" w:cs="Times New Roman" w:eastAsia="Times New Roman" w:hAnsi="Times New Roman"/>
          <w:sz w:val="24"/>
          <w:szCs w:val="24"/>
        </w:rPr>
        <w:t xml:space="preserve">Candidate rules were discovered using beam search over conjunctive phenotype conditions, with weighted relative accuracy (WRAcc) as the quality function, implemented using the Subgroups Python library. Search was performed at depths 2 through 7, with a result-set size of 200 per run, a minimum subgroup support of 1% of the discovery cohort, and a minimum WRAcc threshold of 0.001. Candidates were sorted by descending WRAcc with a deterministic secondary tie-breaker and deduplicated within depth: any later candidate whose patient overlap with an already retained rule exceeded a Jaccard similarity of 0.80 was discarded.</w:t>
      </w:r>
    </w:p>
    <w:p>
      <w:pPr>
        <w:spacing w:after="160" w:line="300"/>
        <w:jc w:val="both"/>
      </w:pPr>
      <w:r>
        <w:rPr>
          <w:rFonts w:ascii="Times New Roman" w:cs="Times New Roman" w:eastAsia="Times New Roman" w:hAnsi="Times New Roman"/>
          <w:sz w:val="24"/>
          <w:szCs w:val="24"/>
        </w:rPr>
        <w:t xml:space="preserve">Each candidate rule was then validated on the held-out test set using a statistical test aligned with the cohort design. Differential failure contrasts were tested using a two-sided Fisher’s exact test comparing the subgroup failure rate to the global cohort failure rate. Comparative discordance contrasts were tested using a two-sided exact binomial test (the exact form of McNemar’s test) comparing paired failure frequencies of the two models within the subgroup. P values were adjusted within each contrast using the Benjamini-Hochberg false discovery rate correction (reported as q values). Rules were required to produce nondegenerate results on the held-out test set: the test-set error ratio (subgroup error rate divided by global error rate for differential failure rules, or relative risk of failure between the two models for comparative discordance rules) had to be at least 1.0, and the test-set metric was required to retain at least 70% of its discovery-cohort magnitude.</w:t>
      </w:r>
    </w:p>
    <w:p>
      <w:pPr>
        <w:spacing w:after="160" w:line="300"/>
        <w:jc w:val="both"/>
      </w:pPr>
      <w:r>
        <w:rPr>
          <w:rFonts w:ascii="Times New Roman" w:cs="Times New Roman" w:eastAsia="Times New Roman" w:hAnsi="Times New Roman"/>
          <w:sz w:val="24"/>
          <w:szCs w:val="24"/>
        </w:rPr>
        <w:t xml:space="preserve">Subgroup discovery was repeated across depths 2 through 7 and results pooled. A separate archetype-selection step then applied stricter reporting thresholds: a minimum absolute subgroup coverage of 75 patients on the held-out test set and a minimum test-set lift of 1.5. Near-duplicate rules across depths were clustered using a patient-overlap Jaccard similarity threshold of 0.75, and within each cluster a single best-supported rule was retained, prioritizing higher WRAcc, then higher lift and coverage, and finally simpler (shallower) rules. For each reporting stratum, at most eight archetypes were carried forward to summary tables and figures. All reported archetype metrics, including coverage, subgroup outcome fraction, lift, error ratio, and q value, refer strictly to the held-out test set. Independent in-hospital mortality false-positive failure modes are reported in Supplementary Table 4; comparative in-hospital mortality discordance archetypes in Supplementary Table 5; independent 30-day readmission false-positive failure modes in Supplementary Table 8; and comparative 30-day readmission discordance archetypes in Supplementary Table 9.</w:t>
      </w:r>
    </w:p>
    <w:p>
      <w:pPr>
        <w:pStyle w:val="Heading2"/>
        <w:spacing w:after="160" w:before="280"/>
      </w:pPr>
      <w:r>
        <w:rPr>
          <w:rFonts w:ascii="Times New Roman" w:cs="Times New Roman" w:eastAsia="Times New Roman" w:hAnsi="Times New Roman"/>
          <w:b/>
          <w:bCs/>
          <w:sz w:val="26"/>
          <w:szCs w:val="26"/>
        </w:rPr>
        <w:t xml:space="preserve">Data-architecture meta-analysis</w:t>
      </w:r>
    </w:p>
    <w:p>
      <w:pPr>
        <w:spacing w:after="160" w:line="300"/>
        <w:jc w:val="both"/>
      </w:pPr>
      <w:r>
        <w:rPr>
          <w:rFonts w:ascii="Times New Roman" w:cs="Times New Roman" w:eastAsia="Times New Roman" w:hAnsi="Times New Roman"/>
          <w:sz w:val="24"/>
          <w:szCs w:val="24"/>
        </w:rPr>
        <w:t xml:space="preserve">To assess whether errors were systematically linked to the structure of the input record rather than its clinical content alone, we computed patient-level meta-features from the 24-hour observation window in four families: data density and sparsity, data volatility and trend, temporal distribution, and imputation burden. To prevent overweighting variables with multiple derived metrics (for example, mean, standard deviation, and slope computed from a single laboratory value), meta-features were aggregated within variable families prior to summarization.</w:t>
      </w:r>
    </w:p>
    <w:p>
      <w:pPr>
        <w:spacing w:after="160" w:line="300"/>
        <w:jc w:val="both"/>
      </w:pPr>
      <w:r>
        <w:rPr>
          <w:rFonts w:ascii="Times New Roman" w:cs="Times New Roman" w:eastAsia="Times New Roman" w:hAnsi="Times New Roman"/>
          <w:sz w:val="24"/>
          <w:szCs w:val="24"/>
        </w:rPr>
        <w:t xml:space="preserve">The specific meta-features were: total measurement events (absolute count of all data points across variable families); number of measured variable families with at least one non-imputed measurement; imputation burden (proportion of variable families relying entirely on imputed values); average within-stay variability (mean standard deviation across variable families); average absolute trend magnitude (mean absolute slope, prioritizing 24-hour trends); and late-window temporal concentration (proportion of measurement events occurring in the final six hours of the observation window).</w:t>
      </w:r>
    </w:p>
    <w:p>
      <w:pPr>
        <w:spacing w:after="160" w:line="300"/>
        <w:jc w:val="both"/>
      </w:pPr>
      <w:r>
        <w:rPr>
          <w:rFonts w:ascii="Times New Roman" w:cs="Times New Roman" w:eastAsia="Times New Roman" w:hAnsi="Times New Roman"/>
          <w:sz w:val="24"/>
          <w:szCs w:val="24"/>
        </w:rPr>
        <w:t xml:space="preserve">Within each validated failure archetype, we compared meta-feature distributions across two matched populations using the Mann-Whitney U test. For differential failure archetypes, archetype members misclassified by the model were compared against archetype members correctly classified by the same model. For comparative discordance archetypes, archetype members in whom one model erred (while the other was correct) were compared against archetype members in whom the other model erred (while the first was correct), isolating data-architectural characteristics specifically associated with disagreement between architectures rather than against a generic study-population reference. Benjamini-Hochberg false discovery rate correction was applied within each archetype and within each meta-feature family (density, volatility, temporal concentration), preserving sensitivity within specific clinical contexts. Independent in-hospital mortality meta-feature comparisons are reported in Supplementary Table 6; comparative in-hospital mortality meta-feature comparisons in Supplementary Table 7; independent 30-day readmission meta-feature comparisons in Supplementary Table 10; and comparative 30-day readmission meta-feature comparisons in Supplementary Table 11.</w:t>
      </w:r>
    </w:p>
    <w:p>
      <w:pPr>
        <w:pStyle w:val="Heading2"/>
        <w:spacing w:after="160" w:before="280"/>
      </w:pPr>
      <w:r>
        <w:rPr>
          <w:rFonts w:ascii="Times New Roman" w:cs="Times New Roman" w:eastAsia="Times New Roman" w:hAnsi="Times New Roman"/>
          <w:b/>
          <w:bCs/>
          <w:sz w:val="26"/>
          <w:szCs w:val="26"/>
        </w:rPr>
        <w:t xml:space="preserve">Operating thresholds for discordance analysis</w:t>
      </w:r>
    </w:p>
    <w:p>
      <w:pPr>
        <w:spacing w:after="160" w:line="300"/>
        <w:jc w:val="both"/>
      </w:pPr>
      <w:r>
        <w:rPr>
          <w:rFonts w:ascii="Times New Roman" w:cs="Times New Roman" w:eastAsia="Times New Roman" w:hAnsi="Times New Roman"/>
          <w:sz w:val="24"/>
          <w:szCs w:val="24"/>
        </w:rPr>
        <w:t xml:space="preserve">Binary class assignments required for the discordance and data-architecture meta-analysis pipelines used scalar decision thresholds for each calibrated model. Thresholds were used only for the in-hospital mortality and 30-day readmission discordance analyses; all AUROC-based comparisons used continuous predicted probabilities and did not depend on threshold selection. Thresholds were selected on the pooled original training and validation cohorts (the union of training, val_tune, and val_cal), explicitly excluding the held-out test set. We performed a grid search over candidate thresholds from 0.01 to 0.99 in 0.01 increments and selected the threshold maximizing Youden’s J statistic (sensitivity + specificity − 1). The resulting thresholds were 0.350 (Numerical Model) and 0.260 (Semantic Model) for in-hospital mortality, and 0.050 (Numerical Model) and 0.080 (Semantic Model) for 30-day readmission. Visualizations of model agreement under these operating points are shown in Supplementary Fig. 2 (in-hospital mortality) and Supplementary Fig. 5 (30-day readmission).</w:t>
      </w:r>
    </w:p>
    <w:p>
      <w:pPr>
        <w:pStyle w:val="Heading2"/>
        <w:spacing w:after="160" w:before="280"/>
      </w:pPr>
      <w:r>
        <w:rPr>
          <w:rFonts w:ascii="Times New Roman" w:cs="Times New Roman" w:eastAsia="Times New Roman" w:hAnsi="Times New Roman"/>
          <w:b/>
          <w:bCs/>
          <w:sz w:val="26"/>
          <w:szCs w:val="26"/>
        </w:rPr>
        <w:t xml:space="preserve">Statistics and reproducibility</w:t>
      </w:r>
    </w:p>
    <w:p>
      <w:pPr>
        <w:spacing w:after="160" w:line="300"/>
        <w:jc w:val="both"/>
      </w:pPr>
      <w:r>
        <w:rPr>
          <w:rFonts w:ascii="Times New Roman" w:cs="Times New Roman" w:eastAsia="Times New Roman" w:hAnsi="Times New Roman"/>
          <w:sz w:val="24"/>
          <w:szCs w:val="24"/>
        </w:rPr>
        <w:t xml:space="preserve">Discrimination was assessed using AUROC on the held-out test set, with 95% confidence intervals from 1,000-sample percentile bootstrap resampling of test-set predictions. Numerical Model bootstraps were stratified by outcome to preserve class prevalence within each resample; Semantic Model bootstraps were generated with ordinary unstratified resampling, with one-class resamples (those producing a degenerate label distribution) discarded. Differences in discrimination between the Numerical Model baseline and the champion Semantic Model on each task were tested using DeLong’s method on paired test-set predictions. Calibration was assessed using Expected Calibration Error and Brier scores on the held-out test set (Supplementary Figs. 3, 6).</w:t>
      </w:r>
    </w:p>
    <w:p>
      <w:pPr>
        <w:spacing w:after="160" w:line="300"/>
        <w:jc w:val="both"/>
      </w:pPr>
      <w:r>
        <w:rPr>
          <w:rFonts w:ascii="Times New Roman" w:cs="Times New Roman" w:eastAsia="Times New Roman" w:hAnsi="Times New Roman"/>
          <w:sz w:val="24"/>
          <w:szCs w:val="24"/>
        </w:rPr>
        <w:t xml:space="preserve">All p values are reported two-sided. The prespecified alpha level was 0.05. Because the six outcomes were prespecified as distinct clinical endpoints rather than repeated tests of a single hypothesis, p values from DeLong comparisons across tasks are reported uncorrected. Exact p values are reported wherever computationally available; values below the limits of double-precision evaluation are reported as p &lt; 0.001. The Mann-Whitney U tests and Benjamini-Hochberg false discovery rate correction applied within the data-architecture meta-analysis, and the Fisher’s exact and exact binomial tests with Benjamini-Hochberg correction applied within the discordance analysis, are specified in detail in their respective subsections above; the same testing framework and correction logic are used wherever those tests appear in the manuscript and supplementary materials.</w:t>
      </w:r>
    </w:p>
    <w:p>
      <w:pPr>
        <w:pStyle w:val="Heading2"/>
        <w:spacing w:after="160" w:before="280"/>
      </w:pPr>
      <w:r>
        <w:rPr>
          <w:rFonts w:ascii="Times New Roman" w:cs="Times New Roman" w:eastAsia="Times New Roman" w:hAnsi="Times New Roman"/>
          <w:b/>
          <w:bCs/>
          <w:sz w:val="26"/>
          <w:szCs w:val="26"/>
        </w:rPr>
        <w:t xml:space="preserve">Use of large language model–based tools</w:t>
      </w:r>
    </w:p>
    <w:p>
      <w:pPr>
        <w:spacing w:after="160" w:line="300"/>
        <w:jc w:val="both"/>
      </w:pPr>
      <w:r>
        <w:rPr>
          <w:rFonts w:ascii="Times New Roman" w:cs="Times New Roman" w:eastAsia="Times New Roman" w:hAnsi="Times New Roman"/>
          <w:sz w:val="24"/>
          <w:szCs w:val="24"/>
        </w:rPr>
        <w:t xml:space="preserve">This study used large language model based embedding models to generate fixed-length vector representations of serialized structured EHR data. No generative LLM was used to assign outcome labels, adjudicate clinical phenotypes, select operating thresholds, or make clinical decisions. Embedding models, prompts, and configurations are fully specified in the Semantic representation engineering and Software and computational reproducibility subsections. Generative AI tools, including LLM-based assistants, were used in a limited capacity for manuscript editing and code review. All AI-assisted outputs, whether textual or computational, were reviewed and verified by the authors, who retain full responsibility for the content and integrity of this work. No AI tool is listed as an author.</w:t>
      </w:r>
    </w:p>
    <w:p>
      <w:pPr>
        <w:pStyle w:val="Heading2"/>
        <w:spacing w:after="160" w:before="280"/>
      </w:pPr>
      <w:r>
        <w:rPr>
          <w:rFonts w:ascii="Times New Roman" w:cs="Times New Roman" w:eastAsia="Times New Roman" w:hAnsi="Times New Roman"/>
          <w:b/>
          <w:bCs/>
          <w:sz w:val="26"/>
          <w:szCs w:val="26"/>
        </w:rPr>
        <w:t xml:space="preserve">Software and computational reproducibility</w:t>
      </w:r>
    </w:p>
    <w:p>
      <w:pPr>
        <w:spacing w:after="160" w:line="300"/>
        <w:jc w:val="both"/>
      </w:pPr>
      <w:r>
        <w:rPr>
          <w:rFonts w:ascii="Times New Roman" w:cs="Times New Roman" w:eastAsia="Times New Roman" w:hAnsi="Times New Roman"/>
          <w:sz w:val="24"/>
          <w:szCs w:val="24"/>
        </w:rPr>
        <w:t xml:space="preserve">Analyses were performed in Python 3.7.16 with the following primary package versions: XGBoost 1.6.2, scikit-learn 1.0.2, Optuna 3.5.0, SHAP 0.42.1, NumPy 1.21.6, pandas 1.3.5, and SciPy 1.7.3. Embedding generation for Gemini-family models used the Google Generative AI API in July 2025; SDK and model revision identifiers were not pinned in repository configuration files at the time of the embedding run, which we acknowledge as a residual reproducibility limitation for that subset of representations. Biomedical embedding models (MedEmbed-base-v0.1, PubMedBERT) were accessed locally through Hugging Face using the model identifiers reported in the Semantic representation engineering subsection.</w:t>
      </w:r>
    </w:p>
    <w:p>
      <w:pPr>
        <w:spacing w:after="160" w:line="300"/>
        <w:jc w:val="both"/>
      </w:pPr>
      <w:r>
        <w:rPr>
          <w:rFonts w:ascii="Times New Roman" w:cs="Times New Roman" w:eastAsia="Times New Roman" w:hAnsi="Times New Roman"/>
          <w:sz w:val="24"/>
          <w:szCs w:val="24"/>
        </w:rPr>
        <w:t xml:space="preserve">The global random seed was fixed at 42 across all experiments, including the Optuna TPE sampler (seed = 42), bootstrap resampling (numpy.random.seed(42)), and the fixed MIMIC-Extract training, validation, and test splits. Deterministic operations were enabled where supported, including XGBoost deterministic histogram settings, PyTorch manual seeding, and deterministic cuDNN backends. Residual nondeterminism may remain in hardware-accelerated kernels and in third-party API responses.</w:t>
      </w:r>
    </w:p>
    <w:p>
      <w:pPr>
        <w:pStyle w:val="Heading1"/>
        <w:spacing w:after="200" w:before="360"/>
      </w:pPr>
      <w:r>
        <w:rPr>
          <w:rFonts w:ascii="Times New Roman" w:cs="Times New Roman" w:eastAsia="Times New Roman" w:hAnsi="Times New Roman"/>
          <w:b/>
          <w:bCs/>
          <w:sz w:val="28"/>
          <w:szCs w:val="28"/>
        </w:rPr>
        <w:t xml:space="preserve">Data Availability</w:t>
      </w:r>
    </w:p>
    <w:p>
      <w:pPr>
        <w:spacing w:after="160" w:line="300"/>
        <w:jc w:val="both"/>
      </w:pPr>
      <w:r>
        <w:rPr>
          <w:rFonts w:ascii="Times New Roman" w:cs="Times New Roman" w:eastAsia="Times New Roman" w:hAnsi="Times New Roman"/>
          <w:sz w:val="24"/>
          <w:szCs w:val="24"/>
        </w:rPr>
        <w:t xml:space="preserve">The MIMIC-III critical care database is available to credentialed users through PhysioNet (https://physionet.org/content/mimiciii/) under a data use agreement. The MIMIC-Extract preprocessed view used in this study is available through its public repository. No new patient-level data were generated. Derived patient-level meta-features, phenotype assignments, and final test-set predictions used to generate all tables and figures are provided in the project code repository upon credentialed verification of access to the underlying MIMIC-III data.</w:t>
      </w:r>
    </w:p>
    <w:p>
      <w:pPr>
        <w:pStyle w:val="Heading1"/>
        <w:spacing w:after="200" w:before="360"/>
      </w:pPr>
      <w:r>
        <w:rPr>
          <w:rFonts w:ascii="Times New Roman" w:cs="Times New Roman" w:eastAsia="Times New Roman" w:hAnsi="Times New Roman"/>
          <w:b/>
          <w:bCs/>
          <w:sz w:val="28"/>
          <w:szCs w:val="28"/>
        </w:rPr>
        <w:t xml:space="preserve">Code Availability</w:t>
      </w:r>
    </w:p>
    <w:p>
      <w:pPr>
        <w:spacing w:after="160" w:line="300"/>
        <w:jc w:val="both"/>
      </w:pPr>
      <w:r>
        <w:rPr>
          <w:rFonts w:ascii="Times New Roman" w:cs="Times New Roman" w:eastAsia="Times New Roman" w:hAnsi="Times New Roman"/>
          <w:sz w:val="24"/>
          <w:szCs w:val="24"/>
        </w:rPr>
        <w:t xml:space="preserve">All analysis code, including feature-engineering pipelines, prompt and serialization specifications, model-training and calibration scripts, discordance analysis (subgroup discovery, statistical validation, and reporting), and data-architecture meta-analysis, is available at [repository URL to be inserted at acceptance]. Repository contents include the fixed 53-phenotype rule catalog, hyperparameter search configurations, and seeded random-state initialization, sufficient to reproduce all reported analyses up to the residual nondeterminism noted in the Software and computational reproducibility subsection.</w:t>
      </w:r>
    </w:p>
    <w:p>
      <w:pPr>
        <w:pStyle w:val="Heading1"/>
        <w:spacing w:after="200" w:before="360"/>
      </w:pPr>
      <w:r>
        <w:rPr>
          <w:rFonts w:ascii="Times New Roman" w:cs="Times New Roman" w:eastAsia="Times New Roman" w:hAnsi="Times New Roman"/>
          <w:b/>
          <w:bCs/>
          <w:sz w:val="28"/>
          <w:szCs w:val="28"/>
        </w:rPr>
        <w:t xml:space="preserve">Ethics Approval</w:t>
      </w:r>
    </w:p>
    <w:p>
      <w:pPr>
        <w:spacing w:after="160" w:line="300"/>
        <w:jc w:val="both"/>
      </w:pPr>
      <w:r>
        <w:rPr>
          <w:rFonts w:ascii="Times New Roman" w:cs="Times New Roman" w:eastAsia="Times New Roman" w:hAnsi="Times New Roman"/>
          <w:sz w:val="24"/>
          <w:szCs w:val="24"/>
        </w:rPr>
        <w:t xml:space="preserve">This study used the publicly available, de-identified MIMIC-III critical care database. The collection of patient information for MIMIC-III was approved by the Institutional Review Boards of the Massachusetts Institute of Technology and Beth Israel Deaconess Medical Center, with a waiver of informed consent for the use of de-identified records under HIPAA Safe Harbor provisions. Access was obtained through PhysioNet credentialing, including completion of required human-subjects research training. No additional IRB review was required at the authors’ institutions for the analyses reported here.</w:t>
      </w:r>
    </w:p>
    <w:p>
      <w:pPr>
        <w:pStyle w:val="Heading1"/>
        <w:spacing w:after="200" w:before="360"/>
      </w:pPr>
      <w:r>
        <w:rPr>
          <w:rFonts w:ascii="Times New Roman" w:cs="Times New Roman" w:eastAsia="Times New Roman" w:hAnsi="Times New Roman"/>
          <w:b/>
          <w:bCs/>
          <w:sz w:val="28"/>
          <w:szCs w:val="28"/>
        </w:rPr>
        <w:t xml:space="preserve">Author Contributions</w:t>
      </w:r>
    </w:p>
    <w:p>
      <w:pPr>
        <w:spacing w:after="160" w:line="300"/>
        <w:jc w:val="both"/>
      </w:pPr>
      <w:r>
        <w:rPr>
          <w:rFonts w:ascii="Times New Roman" w:cs="Times New Roman" w:eastAsia="Times New Roman" w:hAnsi="Times New Roman"/>
          <w:sz w:val="24"/>
          <w:szCs w:val="24"/>
        </w:rPr>
        <w:t xml:space="preserve">[To be completed by the authors prior to submission.]</w:t>
      </w:r>
    </w:p>
    <w:p>
      <w:pPr>
        <w:pStyle w:val="Heading1"/>
        <w:spacing w:after="200" w:before="360"/>
      </w:pPr>
      <w:r>
        <w:rPr>
          <w:rFonts w:ascii="Times New Roman" w:cs="Times New Roman" w:eastAsia="Times New Roman" w:hAnsi="Times New Roman"/>
          <w:b/>
          <w:bCs/>
          <w:sz w:val="28"/>
          <w:szCs w:val="28"/>
        </w:rPr>
        <w:t xml:space="preserve">Acknowledgements</w:t>
      </w:r>
    </w:p>
    <w:p>
      <w:pPr>
        <w:spacing w:after="160" w:line="300"/>
        <w:jc w:val="both"/>
      </w:pPr>
      <w:r>
        <w:rPr>
          <w:rFonts w:ascii="Times New Roman" w:cs="Times New Roman" w:eastAsia="Times New Roman" w:hAnsi="Times New Roman"/>
          <w:sz w:val="24"/>
          <w:szCs w:val="24"/>
        </w:rPr>
        <w:t xml:space="preserve">[To be completed by the authors prior to submission, including funding sources and acknowledgement of computational resources used for embedding generation and model training.]</w:t>
      </w:r>
    </w:p>
    <w:p>
      <w:pPr>
        <w:pStyle w:val="Heading1"/>
        <w:spacing w:after="200" w:before="360"/>
      </w:pPr>
      <w:r>
        <w:rPr>
          <w:rFonts w:ascii="Times New Roman" w:cs="Times New Roman" w:eastAsia="Times New Roman" w:hAnsi="Times New Roman"/>
          <w:b/>
          <w:bCs/>
          <w:sz w:val="28"/>
          <w:szCs w:val="28"/>
        </w:rPr>
        <w:t xml:space="preserve">Competing Interests</w:t>
      </w:r>
    </w:p>
    <w:p>
      <w:pPr>
        <w:spacing w:after="160" w:line="300"/>
        <w:jc w:val="both"/>
      </w:pPr>
      <w:r>
        <w:rPr>
          <w:rFonts w:ascii="Times New Roman" w:cs="Times New Roman" w:eastAsia="Times New Roman" w:hAnsi="Times New Roman"/>
          <w:sz w:val="24"/>
          <w:szCs w:val="24"/>
        </w:rPr>
        <w:t xml:space="preserve">[To be completed by the authors prior to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2026-05-12T14:18:19.452Z</dcterms:created>
  <dcterms:modified xsi:type="dcterms:W3CDTF">2026-05-12T14:18:19.452Z</dcterms:modified>
</cp:coreProperties>
</file>

<file path=docProps/custom.xml><?xml version="1.0" encoding="utf-8"?>
<Properties xmlns="http://schemas.openxmlformats.org/officeDocument/2006/custom-properties" xmlns:vt="http://schemas.openxmlformats.org/officeDocument/2006/docPropsVTypes"/>
</file>