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AD3D" w14:textId="2D574D55" w:rsidR="00B471D4" w:rsidRPr="00B471D4" w:rsidRDefault="00B471D4" w:rsidP="00B471D4">
      <w:pPr>
        <w:pBdr>
          <w:bottom w:val="single" w:sz="6" w:space="4" w:color="auto"/>
        </w:pBdr>
        <w:spacing w:before="100" w:beforeAutospacing="1" w:after="100" w:afterAutospacing="1"/>
        <w:outlineLvl w:val="0"/>
        <w:rPr>
          <w:rFonts w:ascii="Segoe UI" w:hAnsi="Segoe UI" w:cs="Segoe UI"/>
          <w:color w:val="000000"/>
          <w:kern w:val="36"/>
          <w:sz w:val="48"/>
          <w:szCs w:val="48"/>
        </w:rPr>
      </w:pPr>
      <w:r w:rsidRPr="00B471D4">
        <w:rPr>
          <w:rFonts w:ascii="Segoe UI" w:hAnsi="Segoe UI" w:cs="Segoe UI"/>
          <w:color w:val="000000"/>
          <w:kern w:val="36"/>
          <w:sz w:val="48"/>
          <w:szCs w:val="48"/>
        </w:rPr>
        <w:t>M</w:t>
      </w:r>
      <w:r w:rsidR="00C424BF">
        <w:rPr>
          <w:rFonts w:ascii="Segoe UI" w:hAnsi="Segoe UI" w:cs="Segoe UI"/>
          <w:color w:val="000000"/>
          <w:kern w:val="36"/>
          <w:sz w:val="48"/>
          <w:szCs w:val="48"/>
        </w:rPr>
        <w:t>éthodologie</w:t>
      </w:r>
      <w:r w:rsidRPr="00B471D4">
        <w:rPr>
          <w:rFonts w:ascii="Segoe UI" w:hAnsi="Segoe UI" w:cs="Segoe UI"/>
          <w:color w:val="000000"/>
          <w:kern w:val="36"/>
          <w:sz w:val="48"/>
          <w:szCs w:val="48"/>
        </w:rPr>
        <w:t xml:space="preserve"> d’évaluation PCAF®</w:t>
      </w:r>
      <w:r w:rsidR="00C424BF">
        <w:rPr>
          <w:rFonts w:ascii="Segoe UI" w:hAnsi="Segoe UI" w:cs="Segoe UI"/>
          <w:color w:val="000000"/>
          <w:kern w:val="36"/>
          <w:sz w:val="48"/>
          <w:szCs w:val="48"/>
        </w:rPr>
        <w:t xml:space="preserve"> V2</w:t>
      </w:r>
    </w:p>
    <w:p w14:paraId="134FCA31" w14:textId="77777777" w:rsidR="00B471D4" w:rsidRPr="00B471D4" w:rsidRDefault="00B471D4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B471D4">
        <w:rPr>
          <w:rFonts w:ascii="Segoe UI" w:hAnsi="Segoe UI" w:cs="Segoe UI"/>
          <w:color w:val="000000"/>
          <w:sz w:val="36"/>
          <w:szCs w:val="36"/>
        </w:rPr>
        <w:t>Guide d’utilisation et d’intégration</w:t>
      </w:r>
    </w:p>
    <w:p w14:paraId="3136A092" w14:textId="721DE588" w:rsidR="00B471D4" w:rsidRPr="00C424BF" w:rsidRDefault="00B471D4" w:rsidP="00C424BF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Version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2.0</w:t>
      </w:r>
      <w:r w:rsidRPr="00B471D4">
        <w:rPr>
          <w:rFonts w:ascii="Segoe UI" w:hAnsi="Segoe UI" w:cs="Segoe UI"/>
          <w:color w:val="000000"/>
          <w:sz w:val="21"/>
          <w:szCs w:val="21"/>
        </w:rPr>
        <w:br/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Date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>1</w:t>
      </w:r>
      <w:r w:rsidR="00C424BF">
        <w:rPr>
          <w:rFonts w:ascii="Segoe UI" w:hAnsi="Segoe UI" w:cs="Segoe UI"/>
          <w:color w:val="000000"/>
          <w:sz w:val="21"/>
          <w:szCs w:val="21"/>
        </w:rPr>
        <w:t>9</w:t>
      </w:r>
      <w:r>
        <w:rPr>
          <w:rFonts w:ascii="Segoe UI" w:hAnsi="Segoe UI" w:cs="Segoe UI"/>
          <w:color w:val="000000"/>
          <w:sz w:val="21"/>
          <w:szCs w:val="21"/>
        </w:rPr>
        <w:t xml:space="preserve"> mars 2026</w:t>
      </w:r>
      <w:r w:rsidRPr="00B471D4">
        <w:rPr>
          <w:rFonts w:ascii="Segoe UI" w:hAnsi="Segoe UI" w:cs="Segoe UI"/>
          <w:color w:val="000000"/>
          <w:sz w:val="21"/>
          <w:szCs w:val="21"/>
        </w:rPr>
        <w:br/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Objectif :</w:t>
      </w:r>
      <w:r w:rsidRPr="00B471D4">
        <w:rPr>
          <w:rFonts w:ascii="Segoe UI" w:hAnsi="Segoe UI" w:cs="Segoe UI"/>
          <w:color w:val="000000"/>
          <w:sz w:val="21"/>
          <w:szCs w:val="21"/>
        </w:rPr>
        <w:t> évaluer le degré de conformité des institutions financières par rapport aux Parties A, B et C de la norme PCAF®</w:t>
      </w:r>
    </w:p>
    <w:p w14:paraId="663681E5" w14:textId="77777777" w:rsidR="00B471D4" w:rsidRPr="00B471D4" w:rsidRDefault="00E84350" w:rsidP="00B471D4">
      <w:pPr>
        <w:rPr>
          <w:rFonts w:ascii="Segoe UI" w:hAnsi="Segoe UI" w:cs="Segoe UI"/>
          <w:sz w:val="21"/>
          <w:szCs w:val="21"/>
        </w:rPr>
      </w:pPr>
      <w:r>
        <w:pict w14:anchorId="346CE362">
          <v:rect id="Horizontal Line 1" o:spid="_x0000_s1030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220B8D" w14:textId="05C7ABEF" w:rsidR="00B471D4" w:rsidRPr="00B471D4" w:rsidRDefault="00B471D4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B471D4">
        <w:rPr>
          <w:rFonts w:ascii="Segoe UI" w:hAnsi="Segoe UI" w:cs="Segoe UI"/>
          <w:color w:val="000000"/>
          <w:sz w:val="36"/>
          <w:szCs w:val="36"/>
        </w:rPr>
        <w:t>1. P</w:t>
      </w:r>
      <w:r w:rsidR="00C424BF">
        <w:rPr>
          <w:rFonts w:ascii="Segoe UI" w:hAnsi="Segoe UI" w:cs="Segoe UI"/>
          <w:color w:val="000000"/>
          <w:sz w:val="36"/>
          <w:szCs w:val="36"/>
        </w:rPr>
        <w:t>RÉSENTATION</w:t>
      </w:r>
    </w:p>
    <w:p w14:paraId="78E26B9B" w14:textId="77777777" w:rsidR="00C424BF" w:rsidRDefault="00B471D4" w:rsidP="00C424BF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Objectif</w:t>
      </w:r>
    </w:p>
    <w:p w14:paraId="69603404" w14:textId="0224C5A8" w:rsidR="00B471D4" w:rsidRPr="00C424BF" w:rsidRDefault="00B471D4" w:rsidP="00C424BF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1"/>
          <w:szCs w:val="21"/>
        </w:rPr>
        <w:t>L</w:t>
      </w:r>
      <w:r w:rsidR="00C424BF">
        <w:rPr>
          <w:rFonts w:ascii="Segoe UI" w:hAnsi="Segoe UI" w:cs="Segoe UI"/>
          <w:color w:val="000000"/>
          <w:sz w:val="21"/>
          <w:szCs w:val="21"/>
        </w:rPr>
        <w:t>’objectif est de définir le niveau de maturité du reporting carbone des portefeuilles de prêts et d’investissement des Institutions Financières. Pour ce faire nous souhaitons obtenir d</w:t>
      </w:r>
      <w:r>
        <w:rPr>
          <w:rFonts w:ascii="Segoe UI" w:hAnsi="Segoe UI" w:cs="Segoe UI"/>
          <w:color w:val="000000"/>
          <w:sz w:val="21"/>
          <w:szCs w:val="21"/>
        </w:rPr>
        <w:t xml:space="preserve">es pourcentages de conformité 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qui </w:t>
      </w:r>
      <w:r w:rsidRPr="00B471D4">
        <w:rPr>
          <w:rFonts w:ascii="Segoe UI" w:hAnsi="Segoe UI" w:cs="Segoe UI"/>
          <w:color w:val="000000"/>
          <w:sz w:val="21"/>
          <w:szCs w:val="21"/>
        </w:rPr>
        <w:t>jauge</w:t>
      </w:r>
      <w:r>
        <w:rPr>
          <w:rFonts w:ascii="Segoe UI" w:hAnsi="Segoe UI" w:cs="Segoe UI"/>
          <w:color w:val="000000"/>
          <w:sz w:val="21"/>
          <w:szCs w:val="21"/>
        </w:rPr>
        <w:t>nt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 les progrès des institutions financières en matière d’intégration de la norme Partnership for Carbon Accounting Financials (PCAF®) et de ses trois parties :</w:t>
      </w:r>
    </w:p>
    <w:p w14:paraId="2AB85D4A" w14:textId="33D508C1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Partie A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émissions financées </w:t>
      </w:r>
      <w:r w:rsidR="00C424BF">
        <w:rPr>
          <w:rFonts w:ascii="Segoe UI" w:hAnsi="Segoe UI" w:cs="Segoe UI"/>
          <w:color w:val="000000"/>
          <w:sz w:val="21"/>
          <w:szCs w:val="21"/>
        </w:rPr>
        <w:t>(</w:t>
      </w:r>
      <w:r>
        <w:rPr>
          <w:rFonts w:ascii="Segoe UI" w:hAnsi="Segoe UI" w:cs="Segoe UI"/>
          <w:color w:val="000000"/>
          <w:sz w:val="21"/>
          <w:szCs w:val="21"/>
        </w:rPr>
        <w:t xml:space="preserve">7 </w:t>
      </w:r>
      <w:r w:rsidRPr="00B471D4">
        <w:rPr>
          <w:rFonts w:ascii="Segoe UI" w:hAnsi="Segoe UI" w:cs="Segoe UI"/>
          <w:color w:val="000000"/>
          <w:sz w:val="21"/>
          <w:szCs w:val="21"/>
        </w:rPr>
        <w:t>classes d’actifs)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- </w:t>
      </w:r>
      <w:r>
        <w:rPr>
          <w:rFonts w:ascii="Segoe UI" w:hAnsi="Segoe UI" w:cs="Segoe UI"/>
          <w:color w:val="000000"/>
          <w:sz w:val="21"/>
          <w:szCs w:val="21"/>
        </w:rPr>
        <w:t>5 critères</w:t>
      </w:r>
    </w:p>
    <w:p w14:paraId="7DDF9F92" w14:textId="1D34C4CA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Partie B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émissions facilitées </w:t>
      </w:r>
      <w:r w:rsidR="003B6215" w:rsidRPr="003B6215">
        <w:rPr>
          <w:rFonts w:ascii="Segoe UI" w:hAnsi="Segoe UI" w:cs="Segoe UI"/>
          <w:color w:val="000000"/>
          <w:sz w:val="21"/>
          <w:szCs w:val="21"/>
        </w:rPr>
        <w:t>(</w:t>
      </w:r>
      <w:r>
        <w:rPr>
          <w:rFonts w:ascii="Segoe UI" w:hAnsi="Segoe UI" w:cs="Segoe UI"/>
          <w:color w:val="000000"/>
          <w:sz w:val="21"/>
          <w:szCs w:val="21"/>
        </w:rPr>
        <w:t>marché primaire de 5 classes d’actifs)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- </w:t>
      </w:r>
      <w:r>
        <w:rPr>
          <w:rFonts w:ascii="Segoe UI" w:hAnsi="Segoe UI" w:cs="Segoe UI"/>
          <w:color w:val="000000"/>
          <w:sz w:val="21"/>
          <w:szCs w:val="21"/>
        </w:rPr>
        <w:t>3 critères</w:t>
      </w:r>
    </w:p>
    <w:p w14:paraId="06F98D04" w14:textId="0D26AD8B" w:rsidR="00B471D4" w:rsidRPr="00B471D4" w:rsidRDefault="00B471D4" w:rsidP="00B471D4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Partie C :</w:t>
      </w:r>
      <w:r w:rsidRPr="00B471D4">
        <w:rPr>
          <w:rFonts w:ascii="Segoe UI" w:hAnsi="Segoe UI" w:cs="Segoe UI"/>
          <w:color w:val="000000"/>
          <w:sz w:val="21"/>
          <w:szCs w:val="21"/>
        </w:rPr>
        <w:t> émissions liées à l’assurance (</w:t>
      </w:r>
      <w:r>
        <w:rPr>
          <w:rFonts w:ascii="Segoe UI" w:hAnsi="Segoe UI" w:cs="Segoe UI"/>
          <w:color w:val="000000"/>
          <w:sz w:val="21"/>
          <w:szCs w:val="21"/>
        </w:rPr>
        <w:t>2 branches d’assurance/réassurance)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-</w:t>
      </w:r>
      <w:r>
        <w:rPr>
          <w:rFonts w:ascii="Segoe UI" w:hAnsi="Segoe UI" w:cs="Segoe UI"/>
          <w:color w:val="000000"/>
          <w:sz w:val="21"/>
          <w:szCs w:val="21"/>
        </w:rPr>
        <w:t xml:space="preserve"> 3 critères </w:t>
      </w:r>
    </w:p>
    <w:p w14:paraId="29220554" w14:textId="77777777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Périmètre d’évaluation</w:t>
      </w:r>
    </w:p>
    <w:p w14:paraId="1933227D" w14:textId="68B8364D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1</w:t>
      </w:r>
      <w:r w:rsidR="00C424BF">
        <w:rPr>
          <w:rFonts w:ascii="Segoe UI" w:hAnsi="Segoe UI" w:cs="Segoe UI"/>
          <w:b/>
          <w:bCs/>
          <w:color w:val="000000"/>
          <w:sz w:val="21"/>
          <w:szCs w:val="21"/>
        </w:rPr>
        <w:t xml:space="preserve">2 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critères distincts</w:t>
      </w:r>
      <w:r w:rsidRPr="00B471D4">
        <w:rPr>
          <w:rFonts w:ascii="Segoe UI" w:hAnsi="Segoe UI" w:cs="Segoe UI"/>
          <w:color w:val="000000"/>
          <w:sz w:val="21"/>
          <w:szCs w:val="21"/>
        </w:rPr>
        <w:t> dans l’ensemble des 3 parties de la norme PCAF®</w:t>
      </w:r>
    </w:p>
    <w:p w14:paraId="59BEC703" w14:textId="2BFCE4B6" w:rsidR="00B471D4" w:rsidRPr="00B471D4" w:rsidRDefault="00B471D4" w:rsidP="00B471D4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Échelle de maturité à 6 niveaux</w:t>
      </w:r>
      <w:r w:rsidRPr="00B471D4">
        <w:rPr>
          <w:rFonts w:ascii="Segoe UI" w:hAnsi="Segoe UI" w:cs="Segoe UI"/>
          <w:color w:val="000000"/>
          <w:sz w:val="21"/>
          <w:szCs w:val="21"/>
        </w:rPr>
        <w:t> (0-5)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ou 4 niveaux (0-3)</w:t>
      </w:r>
    </w:p>
    <w:p w14:paraId="326C86D7" w14:textId="77777777" w:rsidR="00B471D4" w:rsidRPr="00B471D4" w:rsidRDefault="00E84350" w:rsidP="00B471D4">
      <w:pPr>
        <w:rPr>
          <w:rFonts w:ascii="Segoe UI" w:hAnsi="Segoe UI" w:cs="Segoe UI"/>
          <w:sz w:val="21"/>
          <w:szCs w:val="21"/>
        </w:rPr>
      </w:pPr>
      <w:r>
        <w:pict w14:anchorId="19642257">
          <v:rect id="Horizontal Line 2" o:spid="_x0000_s1029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AF1769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2EFB5024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4066E193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062897ED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A5E20C0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43B247AB" w14:textId="5E5913EC" w:rsidR="00B471D4" w:rsidRPr="00B471D4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lastRenderedPageBreak/>
        <w:t>2</w:t>
      </w:r>
      <w:r w:rsidR="00B471D4" w:rsidRPr="00B471D4">
        <w:rPr>
          <w:rFonts w:ascii="Segoe UI" w:hAnsi="Segoe UI" w:cs="Segoe UI"/>
          <w:color w:val="000000"/>
          <w:sz w:val="36"/>
          <w:szCs w:val="36"/>
        </w:rPr>
        <w:t>. CRITÈRES D’ÉVALUATION</w:t>
      </w:r>
    </w:p>
    <w:p w14:paraId="3892BB63" w14:textId="7850919B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PARTIE A : ÉMISSIONS FINANCÉES (8 critères)</w:t>
      </w:r>
    </w:p>
    <w:p w14:paraId="2CC5D7B2" w14:textId="070DD435" w:rsid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1. Couverture des classes d’actifs</w:t>
      </w:r>
    </w:p>
    <w:tbl>
      <w:tblPr>
        <w:tblW w:w="10632" w:type="dxa"/>
        <w:tblInd w:w="-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1737"/>
        <w:gridCol w:w="1108"/>
        <w:gridCol w:w="858"/>
        <w:gridCol w:w="1827"/>
        <w:gridCol w:w="861"/>
        <w:gridCol w:w="1831"/>
      </w:tblGrid>
      <w:tr w:rsidR="00C424BF" w:rsidRPr="00C424BF" w14:paraId="0DF5FCBE" w14:textId="77777777" w:rsidTr="00C424BF">
        <w:trPr>
          <w:trHeight w:val="4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6AD7661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Classe d’actifs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64739E92" w14:textId="77777777" w:rsidR="00C424BF" w:rsidRPr="00C424BF" w:rsidRDefault="00C424BF" w:rsidP="00C424B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Total Coef.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29745BE" w14:textId="77777777" w:rsidR="00C424BF" w:rsidRPr="00C424BF" w:rsidRDefault="00C424BF" w:rsidP="00C424B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Périmètre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B69C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Commentaires</w:t>
            </w:r>
          </w:p>
        </w:tc>
      </w:tr>
      <w:tr w:rsidR="00C424BF" w:rsidRPr="00C424BF" w14:paraId="541C6924" w14:textId="77777777" w:rsidTr="00C424BF">
        <w:trPr>
          <w:trHeight w:val="58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DCBC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E96F0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DE13747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S1 &amp; S2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64125A36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S1 &amp; S2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2F1BA50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5296EE76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S3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6F472" w14:textId="61668539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  <w:r w:rsidR="00F45EED">
              <w:rPr>
                <w:rFonts w:ascii="Arial" w:hAnsi="Arial" w:cs="Arial"/>
                <w:color w:val="000000"/>
                <w:sz w:val="20"/>
                <w:szCs w:val="20"/>
              </w:rPr>
              <w:t xml:space="preserve"> des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 exclusions accorde 50%</w:t>
            </w:r>
          </w:p>
        </w:tc>
      </w:tr>
      <w:tr w:rsidR="00C424BF" w:rsidRPr="00C424BF" w14:paraId="1ECD2D58" w14:textId="77777777" w:rsidTr="00C424BF">
        <w:trPr>
          <w:trHeight w:val="502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A7EF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Actions cotées et obligations de sociétés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5C85D" w14:textId="473C40FA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/6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E444A3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CDFDCD3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327510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65BA912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EE3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424BF" w:rsidRPr="00C424BF" w14:paraId="3CEE3D26" w14:textId="77777777" w:rsidTr="00C424BF">
        <w:trPr>
          <w:trHeight w:val="658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14FA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Prêts aux entreprises et capitaux propres non cotés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891FB" w14:textId="1DD3BB51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/6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8B5106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542ADBD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A0FE43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EB38A97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8B6E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Idem </w:t>
            </w:r>
          </w:p>
        </w:tc>
      </w:tr>
      <w:tr w:rsidR="00C424BF" w:rsidRPr="00C424BF" w14:paraId="623D4BFB" w14:textId="77777777" w:rsidTr="00C424BF">
        <w:trPr>
          <w:trHeight w:val="4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CA43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Financement de projets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56BEF" w14:textId="3000DA8E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2AA9D5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6640E6B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789EEA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Seulement si pertinent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196011F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5C46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Idem </w:t>
            </w:r>
          </w:p>
        </w:tc>
      </w:tr>
      <w:tr w:rsidR="00C424BF" w:rsidRPr="00C424BF" w14:paraId="5AE7D724" w14:textId="77777777" w:rsidTr="00C424BF">
        <w:trPr>
          <w:trHeight w:val="55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8D9D6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Immobilier commercial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9D808" w14:textId="3A64A194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/1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4119D5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2CD3AA5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F75F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DCDD7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E78AA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Idem, bâtiments déjà construits seulement</w:t>
            </w:r>
          </w:p>
        </w:tc>
      </w:tr>
      <w:tr w:rsidR="00C424BF" w:rsidRPr="00C424BF" w14:paraId="3CCEF8D7" w14:textId="77777777" w:rsidTr="00C424BF">
        <w:trPr>
          <w:trHeight w:val="4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5619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Hypothèques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C90DB" w14:textId="10882D73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…/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37DD63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D9089E0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61431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17006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34FF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idem</w:t>
            </w:r>
          </w:p>
        </w:tc>
      </w:tr>
      <w:tr w:rsidR="00C424BF" w:rsidRPr="00C424BF" w14:paraId="087C23A5" w14:textId="77777777" w:rsidTr="00C424BF">
        <w:trPr>
          <w:trHeight w:val="467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D289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Prêts pour véhicules à moteur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B3CEA" w14:textId="16959F6D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/0,5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8DCB3DA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5EC79AD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4C6A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Facultatif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4CDB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53E1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idem</w:t>
            </w:r>
          </w:p>
        </w:tc>
      </w:tr>
      <w:tr w:rsidR="00C424BF" w:rsidRPr="00C424BF" w14:paraId="57BABB7A" w14:textId="77777777" w:rsidTr="00C424BF">
        <w:trPr>
          <w:trHeight w:val="276"/>
        </w:trPr>
        <w:tc>
          <w:tcPr>
            <w:tcW w:w="241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02D43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Dette souveraine</w:t>
            </w:r>
          </w:p>
        </w:tc>
        <w:tc>
          <w:tcPr>
            <w:tcW w:w="173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51F48" w14:textId="23537D84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50DF2F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32F81B2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08F3C7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86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320F80EA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3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1692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Conso-based approach</w:t>
            </w:r>
          </w:p>
        </w:tc>
      </w:tr>
      <w:tr w:rsidR="00C424BF" w:rsidRPr="00C424BF" w14:paraId="7923F9B2" w14:textId="77777777" w:rsidTr="00C424BF">
        <w:trPr>
          <w:trHeight w:val="276"/>
        </w:trPr>
        <w:tc>
          <w:tcPr>
            <w:tcW w:w="24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722C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3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DA52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B767F5F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LULUCF (+/-)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C01390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8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683E3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E5EF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3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E698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424BF" w:rsidRPr="00C424BF" w14:paraId="2510622E" w14:textId="77777777" w:rsidTr="00C424BF">
        <w:trPr>
          <w:trHeight w:val="276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F19B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9C16B" w14:textId="55952EE1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…</w:t>
            </w: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/18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DF42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D0EB4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9FD9D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33665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A89AB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  <w:tr w:rsidR="00C424BF" w:rsidRPr="00C424BF" w14:paraId="1EF8121E" w14:textId="77777777" w:rsidTr="00C424BF">
        <w:trPr>
          <w:trHeight w:val="276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00933856" w14:textId="1570426C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Couverture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2AE4E282" w14:textId="0EB0E7E1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= (Score/18)*100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24F9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472AC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FD04A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697FD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192C3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</w:tbl>
    <w:p w14:paraId="16B854FD" w14:textId="477DE113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Commentaires : </w:t>
      </w:r>
      <w:r w:rsidR="003B6215">
        <w:rPr>
          <w:rFonts w:ascii="Segoe UI" w:hAnsi="Segoe UI" w:cs="Segoe UI"/>
          <w:i/>
          <w:iCs/>
          <w:color w:val="000000"/>
          <w:sz w:val="20"/>
          <w:szCs w:val="20"/>
        </w:rPr>
        <w:t>s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i les exclusions de certaines classes d’actifs sont justifiées, 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50 % d</w:t>
      </w:r>
      <w:r w:rsidR="00C424BF" w:rsidRPr="00C424BF">
        <w:rPr>
          <w:rFonts w:ascii="Segoe UI" w:hAnsi="Segoe UI" w:cs="Segoe UI"/>
          <w:i/>
          <w:iCs/>
          <w:color w:val="000000"/>
          <w:sz w:val="20"/>
          <w:szCs w:val="20"/>
        </w:rPr>
        <w:t>es p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oint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>s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sont 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accordé</w:t>
      </w:r>
      <w:r w:rsidR="00C424BF">
        <w:rPr>
          <w:rFonts w:ascii="Segoe UI" w:hAnsi="Segoe UI" w:cs="Segoe UI"/>
          <w:i/>
          <w:iCs/>
          <w:color w:val="000000"/>
          <w:sz w:val="20"/>
          <w:szCs w:val="20"/>
        </w:rPr>
        <w:t>s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</w:t>
      </w:r>
    </w:p>
    <w:p w14:paraId="51A8B1D3" w14:textId="50EA9CB4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 w:rsidR="00C424BF">
        <w:rPr>
          <w:rFonts w:ascii="Segoe UI" w:hAnsi="Segoe UI" w:cs="Segoe UI"/>
          <w:color w:val="000000"/>
          <w:sz w:val="21"/>
          <w:szCs w:val="21"/>
        </w:rPr>
        <w:t>part des</w:t>
      </w:r>
      <w:r>
        <w:rPr>
          <w:rFonts w:ascii="Segoe UI" w:hAnsi="Segoe UI" w:cs="Segoe UI"/>
          <w:color w:val="000000"/>
          <w:sz w:val="21"/>
          <w:szCs w:val="21"/>
        </w:rPr>
        <w:t xml:space="preserve"> classes d’actifs </w:t>
      </w:r>
      <w:r w:rsidRPr="00B471D4">
        <w:rPr>
          <w:rFonts w:ascii="Segoe UI" w:hAnsi="Segoe UI" w:cs="Segoe UI"/>
          <w:color w:val="000000"/>
          <w:sz w:val="21"/>
          <w:szCs w:val="21"/>
        </w:rPr>
        <w:t>PCAF®</w:t>
      </w:r>
      <w:r>
        <w:rPr>
          <w:rFonts w:ascii="Segoe UI" w:hAnsi="Segoe UI" w:cs="Segoe UI"/>
          <w:color w:val="000000"/>
          <w:sz w:val="21"/>
          <w:szCs w:val="21"/>
        </w:rPr>
        <w:t xml:space="preserve"> couvert par le calcul des émissions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798"/>
      </w:tblGrid>
      <w:tr w:rsidR="00B471D4" w:rsidRPr="00B471D4" w14:paraId="3792C6D4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AD48D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90A73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Couverture</w:t>
            </w:r>
          </w:p>
        </w:tc>
      </w:tr>
      <w:tr w:rsidR="00B471D4" w:rsidRPr="00B471D4" w14:paraId="683BDAD8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27FD2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E55B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classe d’actifs ne fait l’objet de reporting</w:t>
            </w:r>
          </w:p>
        </w:tc>
      </w:tr>
      <w:tr w:rsidR="00B471D4" w:rsidRPr="00B471D4" w14:paraId="34E1B60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79098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30849" w14:textId="06A1052F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(10 %-20 %)</w:t>
            </w:r>
          </w:p>
        </w:tc>
      </w:tr>
      <w:tr w:rsidR="00B471D4" w:rsidRPr="00B471D4" w14:paraId="255CF15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11EC2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5C7BF" w14:textId="2DA31CC9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(30 %-40 %)</w:t>
            </w:r>
          </w:p>
        </w:tc>
      </w:tr>
      <w:tr w:rsidR="00B471D4" w:rsidRPr="00B471D4" w14:paraId="2DD364B1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328F6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75278" w14:textId="10284C78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(50 %-60 %)</w:t>
            </w:r>
          </w:p>
        </w:tc>
      </w:tr>
      <w:tr w:rsidR="00B471D4" w:rsidRPr="00B471D4" w14:paraId="12A571C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A9C64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E63BE" w14:textId="26E90379" w:rsidR="00B471D4" w:rsidRPr="00C424BF" w:rsidRDefault="00C424BF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(</w:t>
            </w:r>
            <w:r w:rsidR="00B471D4"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70 %-90 %)</w:t>
            </w:r>
          </w:p>
        </w:tc>
      </w:tr>
      <w:tr w:rsidR="00B471D4" w:rsidRPr="00B471D4" w14:paraId="702650F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B9006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12C1F" w14:textId="5B44228B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(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90 %-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100 %)</w:t>
            </w:r>
          </w:p>
        </w:tc>
      </w:tr>
    </w:tbl>
    <w:p w14:paraId="08FDEECD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Classes d’actifs selon PCAF® :</w:t>
      </w:r>
    </w:p>
    <w:p w14:paraId="10BEEFBD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Actions cotées et obligations de sociétés</w:t>
      </w:r>
    </w:p>
    <w:p w14:paraId="07FFE128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Prêts aux entreprises et capitaux propres non cotés</w:t>
      </w:r>
    </w:p>
    <w:p w14:paraId="7E6D778C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Financement de projets</w:t>
      </w:r>
    </w:p>
    <w:p w14:paraId="489022A8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lastRenderedPageBreak/>
        <w:t>Immobilier commercial</w:t>
      </w:r>
    </w:p>
    <w:p w14:paraId="5C8E56FA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Hypothèques</w:t>
      </w:r>
    </w:p>
    <w:p w14:paraId="5BABADC1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Prêts pour véhicules à moteur</w:t>
      </w:r>
    </w:p>
    <w:p w14:paraId="01FC110E" w14:textId="77777777" w:rsidR="00B471D4" w:rsidRPr="00B471D4" w:rsidRDefault="00B471D4" w:rsidP="00B471D4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Dette souveraine</w:t>
      </w:r>
    </w:p>
    <w:p w14:paraId="759A7981" w14:textId="77777777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2. Data Quality Score (score de qualité des données)</w:t>
      </w:r>
    </w:p>
    <w:p w14:paraId="423447BE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intégration du scoring de qualité PCAF® à 5 niveaux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295"/>
      </w:tblGrid>
      <w:tr w:rsidR="00B471D4" w:rsidRPr="00B471D4" w14:paraId="6CD53FA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123DB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96E9D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Plage de scoring de qualité</w:t>
            </w:r>
          </w:p>
        </w:tc>
      </w:tr>
      <w:tr w:rsidR="00B471D4" w:rsidRPr="00B471D4" w14:paraId="3E6DCF1E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7892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4E8A4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Absence de scoring de qualité</w:t>
            </w:r>
          </w:p>
        </w:tc>
      </w:tr>
      <w:tr w:rsidR="00B471D4" w:rsidRPr="00B471D4" w14:paraId="3A7DD43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F8F30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4DD6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de 4-5 (données indirectes/estimées)</w:t>
            </w:r>
          </w:p>
        </w:tc>
      </w:tr>
      <w:tr w:rsidR="00B471D4" w:rsidRPr="00B471D4" w14:paraId="555524AC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4079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521F9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3-4 (données primaires/estimées)</w:t>
            </w:r>
          </w:p>
        </w:tc>
      </w:tr>
      <w:tr w:rsidR="00B471D4" w:rsidRPr="00B471D4" w14:paraId="07BF68F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CC4C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7095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2-3 (données auditées/primaires)</w:t>
            </w:r>
          </w:p>
        </w:tc>
      </w:tr>
      <w:tr w:rsidR="00B471D4" w:rsidRPr="00B471D4" w14:paraId="45FDC32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B85E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CE08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1-2 (données vérifiées/auditées)</w:t>
            </w:r>
          </w:p>
        </w:tc>
      </w:tr>
      <w:tr w:rsidR="00B471D4" w:rsidRPr="00B471D4" w14:paraId="62176B59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4868A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A1EA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Score &lt;2 avec amélioration continue</w:t>
            </w:r>
          </w:p>
        </w:tc>
      </w:tr>
    </w:tbl>
    <w:p w14:paraId="377E1E62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Référence de score de qualité PCAF®</w:t>
      </w:r>
    </w:p>
    <w:p w14:paraId="7C606DDD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1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vérifiées – données d’émissions déclarées</w:t>
      </w:r>
    </w:p>
    <w:p w14:paraId="1A63B671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2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auditées – données déclarées, mais avec publication limitée</w:t>
      </w:r>
    </w:p>
    <w:p w14:paraId="7E5AC9F7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3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primaires – données issues des activités physiques</w:t>
      </w:r>
    </w:p>
    <w:p w14:paraId="7C02FC6B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4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estimées – activités physiques estimées</w:t>
      </w:r>
    </w:p>
    <w:p w14:paraId="199A8019" w14:textId="77777777" w:rsidR="00B471D4" w:rsidRPr="00B471D4" w:rsidRDefault="00B471D4" w:rsidP="00B471D4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Score 5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indirectes – données d’activité économique</w:t>
      </w:r>
    </w:p>
    <w:p w14:paraId="5730EFDC" w14:textId="77777777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3. Méthode d’attribution</w:t>
      </w:r>
    </w:p>
    <w:p w14:paraId="0B6EAE48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méthode de calcul des émissions financées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889"/>
      </w:tblGrid>
      <w:tr w:rsidR="00B471D4" w:rsidRPr="00B471D4" w14:paraId="13A3952A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0AE17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36917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Méthode</w:t>
            </w:r>
          </w:p>
        </w:tc>
      </w:tr>
      <w:tr w:rsidR="00B471D4" w:rsidRPr="00B471D4" w14:paraId="2A604CCC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E1ED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11C286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méthode d’attribution</w:t>
            </w:r>
          </w:p>
        </w:tc>
      </w:tr>
      <w:tr w:rsidR="00B471D4" w:rsidRPr="00B471D4" w14:paraId="190A432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EF7D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6C2C0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Estimation basique sans méthode claire</w:t>
            </w:r>
          </w:p>
        </w:tc>
      </w:tr>
      <w:tr w:rsidR="00B471D4" w:rsidRPr="00B471D4" w14:paraId="0944941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FDFC1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7B0C1" w14:textId="5D5627EC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documentée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, couverture limitée des classes d’actifs</w:t>
            </w:r>
          </w:p>
        </w:tc>
      </w:tr>
      <w:tr w:rsidR="00B471D4" w:rsidRPr="00B471D4" w14:paraId="4809CDB7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1DDC5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596E0" w14:textId="18B31092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alignée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sur la norme PCAF®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propres à chaque classe d’actif</w:t>
            </w:r>
          </w:p>
        </w:tc>
      </w:tr>
      <w:tr w:rsidR="00B471D4" w:rsidRPr="00B471D4" w14:paraId="0E7FC743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5C41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1762F" w14:textId="34B9ECE3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s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complète</w:t>
            </w:r>
            <w:r w:rsidR="00C424BF"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</w:p>
        </w:tc>
      </w:tr>
      <w:tr w:rsidR="00B471D4" w:rsidRPr="00B471D4" w14:paraId="4D1B05EE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C152D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55643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+ améliorations spécifiques aux secteurs</w:t>
            </w:r>
          </w:p>
        </w:tc>
      </w:tr>
    </w:tbl>
    <w:p w14:paraId="76087B05" w14:textId="2D57D35D" w:rsidR="00B471D4" w:rsidRPr="00B471D4" w:rsidRDefault="00C424BF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4</w:t>
      </w:r>
      <w:r w:rsidR="00B471D4" w:rsidRPr="00B471D4">
        <w:rPr>
          <w:rFonts w:ascii="Segoe UI" w:hAnsi="Segoe UI" w:cs="Segoe UI"/>
          <w:b/>
          <w:bCs/>
          <w:color w:val="000000"/>
          <w:sz w:val="21"/>
          <w:szCs w:val="21"/>
        </w:rPr>
        <w:t>. Couverture du portefeuille</w:t>
      </w:r>
    </w:p>
    <w:p w14:paraId="3E6472B1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% des AsG/prêts intégrant des données d’émissions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373"/>
      </w:tblGrid>
      <w:tr w:rsidR="00B471D4" w:rsidRPr="00B471D4" w14:paraId="6399A8A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0BE27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lastRenderedPageBreak/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BAD72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% de couverture</w:t>
            </w:r>
          </w:p>
        </w:tc>
      </w:tr>
      <w:tr w:rsidR="00B471D4" w:rsidRPr="00B471D4" w14:paraId="19DA2F9A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72DD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74E0D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 reporting de la couverture</w:t>
            </w:r>
          </w:p>
        </w:tc>
      </w:tr>
      <w:tr w:rsidR="00B471D4" w:rsidRPr="00B471D4" w14:paraId="2B455596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0E98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CD8C8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&lt;40 % du portefeuille</w:t>
            </w:r>
          </w:p>
        </w:tc>
      </w:tr>
      <w:tr w:rsidR="00B471D4" w:rsidRPr="00B471D4" w14:paraId="13864618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128A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20568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40 %-60 %</w:t>
            </w:r>
          </w:p>
        </w:tc>
      </w:tr>
      <w:tr w:rsidR="00B471D4" w:rsidRPr="00B471D4" w14:paraId="4218958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BBBF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7DEBC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60 %-80 %</w:t>
            </w:r>
          </w:p>
        </w:tc>
      </w:tr>
      <w:tr w:rsidR="00B471D4" w:rsidRPr="00B471D4" w14:paraId="07F6530D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C7371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5A05F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80 %-95 %</w:t>
            </w:r>
          </w:p>
        </w:tc>
      </w:tr>
      <w:tr w:rsidR="00B471D4" w:rsidRPr="00B471D4" w14:paraId="4BCC990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CDAD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C417AA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&gt;95 %</w:t>
            </w:r>
          </w:p>
        </w:tc>
      </w:tr>
    </w:tbl>
    <w:p w14:paraId="57DAA80A" w14:textId="195CB652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7. Couverture temporelle</w:t>
      </w:r>
    </w:p>
    <w:p w14:paraId="7A6D73FA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5FD5ECEA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730AF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394F3" w14:textId="77777777" w:rsidR="00B471D4" w:rsidRPr="00B471D4" w:rsidRDefault="00B471D4" w:rsidP="00B471D4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Nombre d’années de données</w:t>
            </w:r>
          </w:p>
        </w:tc>
      </w:tr>
      <w:tr w:rsidR="00B471D4" w:rsidRPr="00B471D4" w14:paraId="57371A95" w14:textId="77777777" w:rsidTr="00B471D4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EC784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8EC1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donnée historique</w:t>
            </w:r>
          </w:p>
        </w:tc>
      </w:tr>
      <w:tr w:rsidR="00B471D4" w:rsidRPr="00B471D4" w14:paraId="077BBB30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39E3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AA1BE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Année en cours uniquement</w:t>
            </w:r>
          </w:p>
        </w:tc>
      </w:tr>
      <w:tr w:rsidR="00B471D4" w:rsidRPr="00B471D4" w14:paraId="56DD7AF4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8C6A7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9C093" w14:textId="1D545B92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 années d’historique + tendances</w:t>
            </w:r>
          </w:p>
        </w:tc>
      </w:tr>
      <w:tr w:rsidR="00B471D4" w:rsidRPr="00B471D4" w14:paraId="673FBA32" w14:textId="77777777" w:rsidTr="00B471D4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2BB49" w14:textId="77777777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78E6E" w14:textId="299B137F" w:rsidR="00B471D4" w:rsidRPr="00B471D4" w:rsidRDefault="00B471D4" w:rsidP="00B471D4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 an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nées + tendances +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projections/objectifs</w:t>
            </w:r>
          </w:p>
        </w:tc>
      </w:tr>
    </w:tbl>
    <w:p w14:paraId="2FE79A29" w14:textId="4E9B3CFB" w:rsidR="00B471D4" w:rsidRPr="00B471D4" w:rsidRDefault="00E84350" w:rsidP="00B471D4">
      <w:pPr>
        <w:rPr>
          <w:rFonts w:ascii="Segoe UI" w:hAnsi="Segoe UI" w:cs="Segoe UI"/>
          <w:sz w:val="21"/>
          <w:szCs w:val="21"/>
        </w:rPr>
      </w:pPr>
      <w:r>
        <w:pict w14:anchorId="0A646928">
          <v:rect id="Horizontal Line 3" o:spid="_x0000_s1028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136BBA" w14:textId="1318A753" w:rsidR="00C424BF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PARTIE B : ÉMISSIONS FACILITÉES (2 critères)</w:t>
      </w:r>
    </w:p>
    <w:p w14:paraId="134E3161" w14:textId="727AACA6" w:rsid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1. Couverture des classes d’actifs</w:t>
      </w:r>
    </w:p>
    <w:tbl>
      <w:tblPr>
        <w:tblW w:w="10166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6"/>
        <w:gridCol w:w="1486"/>
        <w:gridCol w:w="325"/>
        <w:gridCol w:w="123"/>
        <w:gridCol w:w="1108"/>
        <w:gridCol w:w="1212"/>
        <w:gridCol w:w="86"/>
        <w:gridCol w:w="1214"/>
        <w:gridCol w:w="272"/>
        <w:gridCol w:w="1192"/>
        <w:gridCol w:w="620"/>
        <w:gridCol w:w="652"/>
      </w:tblGrid>
      <w:tr w:rsidR="00C424BF" w:rsidRPr="00C424BF" w14:paraId="1D724043" w14:textId="77777777" w:rsidTr="00C424BF">
        <w:trPr>
          <w:gridAfter w:val="1"/>
          <w:wAfter w:w="652" w:type="dxa"/>
          <w:trHeight w:val="5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48ED837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Classe d’actifs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5AD9F13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Total Coef.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760761D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Périmètre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4411195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F4C358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9AD6E6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C424BF" w:rsidRPr="00C424BF" w14:paraId="1DC6A211" w14:textId="77777777" w:rsidTr="00C424BF">
        <w:trPr>
          <w:gridAfter w:val="1"/>
          <w:wAfter w:w="652" w:type="dxa"/>
          <w:trHeight w:val="68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81D1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FB6AC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4EAF9F61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S1 &amp; S2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42821D3C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S1 &amp; S2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4A86E33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S3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C98677B" w14:textId="77777777" w:rsidR="00C424BF" w:rsidRPr="00C424BF" w:rsidRDefault="00C424BF" w:rsidP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S3</w:t>
            </w:r>
          </w:p>
        </w:tc>
      </w:tr>
      <w:tr w:rsidR="00C424BF" w:rsidRPr="00C424BF" w14:paraId="045EDE52" w14:textId="77777777" w:rsidTr="00C424BF">
        <w:trPr>
          <w:gridAfter w:val="1"/>
          <w:wAfter w:w="652" w:type="dxa"/>
          <w:trHeight w:val="58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42B7B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Dette Publique 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50E90" w14:textId="4DBE9D16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64C6DF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D23C41F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027AADD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CD28C5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1C08DC82" w14:textId="77777777" w:rsidTr="00C424BF">
        <w:trPr>
          <w:gridAfter w:val="1"/>
          <w:wAfter w:w="652" w:type="dxa"/>
          <w:trHeight w:val="7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3A32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Actions Publiques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7FD85" w14:textId="143F657C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A65BA27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BA30DAE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3950D02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C4E89C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72963A34" w14:textId="77777777" w:rsidTr="00C424BF">
        <w:trPr>
          <w:gridAfter w:val="1"/>
          <w:wAfter w:w="652" w:type="dxa"/>
          <w:trHeight w:val="5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01DB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Private Equity 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037E3" w14:textId="2C7EED92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7ECF3D4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852E94D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FCD0E4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8A9BBC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317AB3DA" w14:textId="77777777" w:rsidTr="00C424BF">
        <w:trPr>
          <w:gridAfter w:val="1"/>
          <w:wAfter w:w="652" w:type="dxa"/>
          <w:trHeight w:val="64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3C678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Private Debt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19A86" w14:textId="15CFB300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331D19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94319B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4E3EB60F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6DB2DD9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3592BF4F" w14:textId="77777777" w:rsidTr="00C424BF">
        <w:trPr>
          <w:gridAfter w:val="1"/>
          <w:wAfter w:w="652" w:type="dxa"/>
          <w:trHeight w:val="56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279C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Consortia Loans (Prêts Syndiqués) </w:t>
            </w:r>
          </w:p>
        </w:tc>
        <w:tc>
          <w:tcPr>
            <w:tcW w:w="1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5A67F" w14:textId="5651E2F0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7A1379E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EDF8E4C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162FB02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18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D44703E" w14:textId="77777777" w:rsidR="00C424BF" w:rsidRPr="00C424BF" w:rsidRDefault="00C424BF" w:rsidP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:rsidRPr="00C424BF" w14:paraId="3DCF7CA5" w14:textId="77777777" w:rsidTr="00C424BF">
        <w:trPr>
          <w:trHeight w:val="54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209CC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EB79F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>0/10</w:t>
            </w:r>
          </w:p>
        </w:tc>
        <w:tc>
          <w:tcPr>
            <w:tcW w:w="15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70070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8B2F0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26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56A64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F69EE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  <w:tr w:rsidR="00C424BF" w:rsidRPr="00C424BF" w14:paraId="3C393D8E" w14:textId="77777777" w:rsidTr="00C424BF">
        <w:trPr>
          <w:gridAfter w:val="4"/>
          <w:wAfter w:w="2736" w:type="dxa"/>
          <w:trHeight w:val="32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5BED8DB9" w14:textId="77777777" w:rsidR="00C424BF" w:rsidRP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424BF"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8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hideMark/>
          </w:tcPr>
          <w:p w14:paraId="4362CC7F" w14:textId="53985D80" w:rsidR="00C424BF" w:rsidRPr="00C424BF" w:rsidRDefault="00C424BF" w:rsidP="00C424BF">
            <w:pPr>
              <w:jc w:val="right"/>
              <w:rPr>
                <w:rFonts w:ascii="Aptos Narrow" w:hAnsi="Aptos Narrow"/>
                <w:color w:val="000000"/>
              </w:rPr>
            </w:pPr>
            <w:r w:rsidRPr="00EC42B3">
              <w:rPr>
                <w:rFonts w:ascii="Arial" w:hAnsi="Arial" w:cs="Arial"/>
                <w:color w:val="000000"/>
                <w:sz w:val="20"/>
                <w:szCs w:val="20"/>
              </w:rPr>
              <w:t>= (Score/18)*100</w:t>
            </w:r>
          </w:p>
        </w:tc>
        <w:tc>
          <w:tcPr>
            <w:tcW w:w="244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2790E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AC4B6" w14:textId="77777777" w:rsidR="00C424BF" w:rsidRPr="00C424BF" w:rsidRDefault="00C424BF" w:rsidP="00C424BF">
            <w:pPr>
              <w:rPr>
                <w:sz w:val="20"/>
                <w:szCs w:val="20"/>
              </w:rPr>
            </w:pPr>
          </w:p>
        </w:tc>
      </w:tr>
    </w:tbl>
    <w:p w14:paraId="29D78988" w14:textId="31FCB790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i/>
          <w:iCs/>
          <w:color w:val="000000"/>
          <w:sz w:val="21"/>
          <w:szCs w:val="21"/>
        </w:rPr>
      </w:pP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lastRenderedPageBreak/>
        <w:t xml:space="preserve">Commentaire : le calcul des émissions ne concerne que le </w:t>
      </w:r>
      <w:r w:rsidRPr="00C424BF">
        <w:rPr>
          <w:rFonts w:ascii="Segoe UI" w:hAnsi="Segoe UI" w:cs="Segoe UI"/>
          <w:i/>
          <w:iCs/>
          <w:color w:val="000000"/>
          <w:sz w:val="21"/>
          <w:szCs w:val="21"/>
          <w:u w:val="single"/>
        </w:rPr>
        <w:t>marché primaire</w:t>
      </w: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 </w:t>
      </w:r>
      <w:r w:rsidR="00C424BF"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- 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 xml:space="preserve">50 % du </w:t>
      </w:r>
      <w:r w:rsidR="003B6215">
        <w:rPr>
          <w:rFonts w:ascii="Segoe UI" w:hAnsi="Segoe UI" w:cs="Segoe UI"/>
          <w:i/>
          <w:iCs/>
          <w:color w:val="000000"/>
          <w:sz w:val="20"/>
          <w:szCs w:val="20"/>
        </w:rPr>
        <w:t>p</w:t>
      </w:r>
      <w:r w:rsidRPr="00C424BF">
        <w:rPr>
          <w:rFonts w:ascii="Segoe UI" w:hAnsi="Segoe UI" w:cs="Segoe UI"/>
          <w:i/>
          <w:iCs/>
          <w:color w:val="000000"/>
          <w:sz w:val="20"/>
          <w:szCs w:val="20"/>
        </w:rPr>
        <w:t>oint accordé si justification des exclusions</w:t>
      </w:r>
    </w:p>
    <w:p w14:paraId="25F1807D" w14:textId="4E7F12B3" w:rsid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</w:t>
      </w:r>
      <w:r w:rsidR="00C424BF">
        <w:rPr>
          <w:rFonts w:ascii="Segoe UI" w:hAnsi="Segoe UI" w:cs="Segoe UI"/>
          <w:color w:val="000000"/>
          <w:sz w:val="21"/>
          <w:szCs w:val="21"/>
        </w:rPr>
        <w:t>part des</w:t>
      </w:r>
      <w:r>
        <w:rPr>
          <w:rFonts w:ascii="Segoe UI" w:hAnsi="Segoe UI" w:cs="Segoe UI"/>
          <w:color w:val="000000"/>
          <w:sz w:val="21"/>
          <w:szCs w:val="21"/>
        </w:rPr>
        <w:t xml:space="preserve"> classes d’actifs </w:t>
      </w:r>
      <w:r w:rsidRPr="00B471D4">
        <w:rPr>
          <w:rFonts w:ascii="Segoe UI" w:hAnsi="Segoe UI" w:cs="Segoe UI"/>
          <w:color w:val="000000"/>
          <w:sz w:val="21"/>
          <w:szCs w:val="21"/>
        </w:rPr>
        <w:t>PCAF®</w:t>
      </w:r>
      <w:r>
        <w:rPr>
          <w:rFonts w:ascii="Segoe UI" w:hAnsi="Segoe UI" w:cs="Segoe UI"/>
          <w:color w:val="000000"/>
          <w:sz w:val="21"/>
          <w:szCs w:val="21"/>
        </w:rPr>
        <w:t xml:space="preserve"> couvert par le calcul des émissions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798"/>
      </w:tblGrid>
      <w:tr w:rsidR="00B471D4" w:rsidRPr="00B471D4" w14:paraId="66C1779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E996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FCE13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Couverture</w:t>
            </w:r>
          </w:p>
        </w:tc>
      </w:tr>
      <w:tr w:rsidR="00B471D4" w:rsidRPr="00B471D4" w14:paraId="341F98E1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57050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2771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classe d’actifs ne fait l’objet de reporting</w:t>
            </w:r>
          </w:p>
        </w:tc>
      </w:tr>
      <w:tr w:rsidR="00B471D4" w:rsidRPr="00B471D4" w14:paraId="3B404952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8BC6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01B34" w14:textId="3CDB11BA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(10 %-20 %)</w:t>
            </w:r>
          </w:p>
        </w:tc>
      </w:tr>
      <w:tr w:rsidR="00B471D4" w:rsidRPr="00B471D4" w14:paraId="3541437D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9A7CE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75B96" w14:textId="3B43F000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(30 %-40 %)</w:t>
            </w:r>
          </w:p>
        </w:tc>
      </w:tr>
      <w:tr w:rsidR="00B471D4" w:rsidRPr="00B471D4" w14:paraId="576C6E15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6DC8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68015" w14:textId="385B0B43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(50 %-60 %)</w:t>
            </w:r>
          </w:p>
        </w:tc>
      </w:tr>
      <w:tr w:rsidR="00B471D4" w:rsidRPr="00B471D4" w14:paraId="01A0C9FB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80E4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84376" w14:textId="17CBEC53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(70 %-90 %)</w:t>
            </w:r>
          </w:p>
        </w:tc>
      </w:tr>
      <w:tr w:rsidR="00B471D4" w:rsidRPr="00B471D4" w14:paraId="2ED332D6" w14:textId="77777777" w:rsidTr="00B471D4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159EF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3DEB2" w14:textId="0535DD9C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(90 %-100 %)</w:t>
            </w:r>
          </w:p>
        </w:tc>
      </w:tr>
    </w:tbl>
    <w:p w14:paraId="01C25B4C" w14:textId="29921E02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 xml:space="preserve">2. </w:t>
      </w:r>
      <w:r>
        <w:rPr>
          <w:rFonts w:ascii="Segoe UI" w:hAnsi="Segoe UI" w:cs="Segoe UI"/>
          <w:b/>
          <w:bCs/>
          <w:color w:val="000000"/>
          <w:sz w:val="21"/>
          <w:szCs w:val="21"/>
        </w:rPr>
        <w:t>M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éthode d’attribution</w:t>
      </w:r>
    </w:p>
    <w:p w14:paraId="18352CFB" w14:textId="12134DA9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méthode de calcul des émissions </w:t>
      </w:r>
      <w:r>
        <w:rPr>
          <w:rFonts w:ascii="Segoe UI" w:hAnsi="Segoe UI" w:cs="Segoe UI"/>
          <w:color w:val="000000"/>
          <w:sz w:val="21"/>
          <w:szCs w:val="21"/>
        </w:rPr>
        <w:t>facilitées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889"/>
      </w:tblGrid>
      <w:tr w:rsidR="00C424BF" w:rsidRPr="00B471D4" w14:paraId="4515C1E5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D6089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D4966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Méthode</w:t>
            </w:r>
          </w:p>
        </w:tc>
      </w:tr>
      <w:tr w:rsidR="00C424BF" w:rsidRPr="00B471D4" w14:paraId="30F4216F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C40F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5F8B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méthode d’attribution</w:t>
            </w:r>
          </w:p>
        </w:tc>
      </w:tr>
      <w:tr w:rsidR="00C424BF" w:rsidRPr="00B471D4" w14:paraId="0E73F33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370B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7408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Estimation basique sans méthode claire</w:t>
            </w:r>
          </w:p>
        </w:tc>
      </w:tr>
      <w:tr w:rsidR="00C424BF" w:rsidRPr="00B471D4" w14:paraId="7FE6707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6028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B0F4A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documentée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, couverture limitée des classes d’actifs</w:t>
            </w:r>
          </w:p>
        </w:tc>
      </w:tr>
      <w:tr w:rsidR="00C424BF" w:rsidRPr="00B471D4" w14:paraId="61BDF8A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52BE5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1BF8B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alignée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sur la norme PCAF®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propres à chaque classe d’actif</w:t>
            </w:r>
          </w:p>
        </w:tc>
      </w:tr>
      <w:tr w:rsidR="00C424BF" w:rsidRPr="00B471D4" w14:paraId="513DAF92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A2C76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8915E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s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complète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</w:p>
        </w:tc>
      </w:tr>
      <w:tr w:rsidR="00C424BF" w:rsidRPr="00B471D4" w14:paraId="017BA6D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54782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52D68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+ améliorations spécifiques aux secteurs</w:t>
            </w:r>
          </w:p>
        </w:tc>
      </w:tr>
    </w:tbl>
    <w:p w14:paraId="2860D80D" w14:textId="19FD1221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3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. Couverture temporelle</w:t>
      </w:r>
    </w:p>
    <w:p w14:paraId="264D2DC9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4B50D4D9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2414C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FF32C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Nombre d’années de données</w:t>
            </w:r>
          </w:p>
        </w:tc>
      </w:tr>
      <w:tr w:rsidR="00B471D4" w:rsidRPr="00B471D4" w14:paraId="58D24572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2580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80486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donnée historique</w:t>
            </w:r>
          </w:p>
        </w:tc>
      </w:tr>
      <w:tr w:rsidR="00B471D4" w:rsidRPr="00B471D4" w14:paraId="5F368186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F0C2B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29AB9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Année en cours uniquement</w:t>
            </w:r>
          </w:p>
        </w:tc>
      </w:tr>
      <w:tr w:rsidR="00B471D4" w:rsidRPr="00B471D4" w14:paraId="68107B4D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3D51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36E70" w14:textId="1CAD4A4A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 années d’historique + tendances</w:t>
            </w:r>
          </w:p>
        </w:tc>
      </w:tr>
      <w:tr w:rsidR="00B471D4" w:rsidRPr="00B471D4" w14:paraId="5AAC7F28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7372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BA883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 an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nées + tendances +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projections/objectifs</w:t>
            </w:r>
          </w:p>
        </w:tc>
      </w:tr>
    </w:tbl>
    <w:p w14:paraId="78709827" w14:textId="06F48507" w:rsidR="00B471D4" w:rsidRPr="00B471D4" w:rsidRDefault="00E84350" w:rsidP="00B471D4">
      <w:pPr>
        <w:spacing w:before="100" w:beforeAutospacing="1" w:after="100" w:afterAutospacing="1"/>
        <w:outlineLvl w:val="3"/>
        <w:rPr>
          <w:rFonts w:ascii="Segoe UI" w:hAnsi="Segoe UI" w:cs="Segoe UI"/>
          <w:sz w:val="21"/>
          <w:szCs w:val="21"/>
        </w:rPr>
      </w:pPr>
      <w:r>
        <w:pict w14:anchorId="55172A7B">
          <v:rect id="Horizontal Line 4" o:spid="_x0000_s1027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89F88C" w14:textId="77777777" w:rsid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PARTIE C : ÉMISSIONS LIÉES À L’ASSURANCE (8 critères)</w:t>
      </w:r>
    </w:p>
    <w:p w14:paraId="7340DEF6" w14:textId="6319954B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lastRenderedPageBreak/>
        <w:t>1. Couverture des branches d’assurance</w:t>
      </w:r>
    </w:p>
    <w:tbl>
      <w:tblPr>
        <w:tblW w:w="10326" w:type="dxa"/>
        <w:tblInd w:w="-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1"/>
        <w:gridCol w:w="2127"/>
        <w:gridCol w:w="160"/>
        <w:gridCol w:w="619"/>
        <w:gridCol w:w="2753"/>
        <w:gridCol w:w="619"/>
        <w:gridCol w:w="1108"/>
        <w:gridCol w:w="619"/>
      </w:tblGrid>
      <w:tr w:rsidR="00C424BF" w14:paraId="5F477BB5" w14:textId="77777777" w:rsidTr="00C424BF">
        <w:trPr>
          <w:trHeight w:val="48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5DEF21F6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Classe d’actifs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95DCF7"/>
            <w:vAlign w:val="center"/>
            <w:hideMark/>
          </w:tcPr>
          <w:p w14:paraId="39F6B94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 Coef.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92F9E22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Périmètre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42D24C0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8BC766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E59EDC"/>
            <w:vAlign w:val="center"/>
            <w:hideMark/>
          </w:tcPr>
          <w:p w14:paraId="1117F610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C424BF" w14:paraId="0439A6F1" w14:textId="77777777" w:rsidTr="00C424BF">
        <w:trPr>
          <w:trHeight w:val="582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1BBEC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33F86" w14:textId="77777777" w:rsidR="00C424BF" w:rsidRDefault="00C424BF">
            <w:pPr>
              <w:rPr>
                <w:sz w:val="20"/>
                <w:szCs w:val="20"/>
              </w:rPr>
            </w:pP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458DC03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S1 &amp; S2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2FFD1AE2" w14:textId="77777777" w:rsidR="00C424BF" w:rsidRDefault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S1 &amp; S2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1BFD27FF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S3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2CEED"/>
            <w:vAlign w:val="center"/>
            <w:hideMark/>
          </w:tcPr>
          <w:p w14:paraId="59F41795" w14:textId="77777777" w:rsidR="00C424BF" w:rsidRDefault="00C424BF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Coef. S3</w:t>
            </w:r>
          </w:p>
        </w:tc>
      </w:tr>
      <w:tr w:rsidR="00C424BF" w14:paraId="706B22FD" w14:textId="77777777" w:rsidTr="00C424BF">
        <w:trPr>
          <w:trHeight w:val="497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63009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Assurance Commercial Lines 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DA3DB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3/3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9F3F98E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FB96CC3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378E6D2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Si possible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DFF263F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C424BF" w14:paraId="3A246809" w14:textId="77777777" w:rsidTr="00C424BF">
        <w:trPr>
          <w:trHeight w:val="651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A3786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Réassurance Commercial Lines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0F402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0/1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0BDD2E3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Obligatoire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D4FFFFE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611C8F95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Obligatoire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1FBD3EF1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0,25</w:t>
            </w:r>
          </w:p>
        </w:tc>
      </w:tr>
      <w:tr w:rsidR="00C424BF" w14:paraId="072CCF88" w14:textId="77777777" w:rsidTr="00C424BF">
        <w:trPr>
          <w:trHeight w:val="48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7FBDC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Personnal Motor Lines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5F18D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3/3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585084C4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2402252D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8FE40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E9AFE" w14:textId="77777777" w:rsidR="00C424BF" w:rsidRDefault="00C424BF">
            <w:pPr>
              <w:rPr>
                <w:sz w:val="20"/>
                <w:szCs w:val="20"/>
              </w:rPr>
            </w:pPr>
          </w:p>
        </w:tc>
      </w:tr>
      <w:tr w:rsidR="00C424BF" w14:paraId="492B6B35" w14:textId="77777777" w:rsidTr="00C424BF">
        <w:trPr>
          <w:trHeight w:val="548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23765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Réassurance personnal Motor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4173B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0/1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0BEBD760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Obligatoire 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000000" w:fill="F0EBF2"/>
            <w:vAlign w:val="center"/>
            <w:hideMark/>
          </w:tcPr>
          <w:p w14:paraId="71B24667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3D706" w14:textId="77777777" w:rsidR="00C424BF" w:rsidRDefault="00C424B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CF9E4" w14:textId="77777777" w:rsidR="00C424BF" w:rsidRDefault="00C424BF">
            <w:pPr>
              <w:rPr>
                <w:sz w:val="20"/>
                <w:szCs w:val="20"/>
              </w:rPr>
            </w:pPr>
          </w:p>
        </w:tc>
      </w:tr>
      <w:tr w:rsidR="00C424BF" w14:paraId="66BE6F25" w14:textId="77777777" w:rsidTr="00C424BF">
        <w:trPr>
          <w:trHeight w:val="480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C9FC1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97E3C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6/8</w:t>
            </w:r>
          </w:p>
        </w:tc>
        <w:tc>
          <w:tcPr>
            <w:tcW w:w="35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CBCCF" w14:textId="77777777" w:rsidR="00C424BF" w:rsidRDefault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41216" w14:textId="77777777" w:rsidR="00C424BF" w:rsidRDefault="00C424BF">
            <w:pPr>
              <w:rPr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6BB60" w14:textId="77777777" w:rsidR="00C424BF" w:rsidRDefault="00C424BF">
            <w:pPr>
              <w:rPr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EFC35" w14:textId="77777777" w:rsidR="00C424BF" w:rsidRDefault="00C424BF">
            <w:pPr>
              <w:rPr>
                <w:sz w:val="20"/>
                <w:szCs w:val="20"/>
              </w:rPr>
            </w:pPr>
          </w:p>
        </w:tc>
      </w:tr>
      <w:tr w:rsidR="00C424BF" w14:paraId="07158EB2" w14:textId="77777777" w:rsidTr="00C424BF">
        <w:trPr>
          <w:gridAfter w:val="4"/>
          <w:wAfter w:w="5099" w:type="dxa"/>
          <w:trHeight w:val="462"/>
        </w:trPr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vAlign w:val="center"/>
            <w:hideMark/>
          </w:tcPr>
          <w:p w14:paraId="32BABBE1" w14:textId="77777777" w:rsidR="00C424BF" w:rsidRDefault="00C424BF" w:rsidP="00C424B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hideMark/>
          </w:tcPr>
          <w:p w14:paraId="40C66D9F" w14:textId="5E86EC09" w:rsidR="00C424BF" w:rsidRDefault="00C424BF" w:rsidP="00C424BF">
            <w:pPr>
              <w:rPr>
                <w:rFonts w:ascii="Aptos Narrow" w:hAnsi="Aptos Narrow"/>
                <w:color w:val="000000"/>
              </w:rPr>
            </w:pPr>
            <w:r w:rsidRPr="00EC42B3">
              <w:rPr>
                <w:rFonts w:ascii="Arial" w:hAnsi="Arial" w:cs="Arial"/>
                <w:color w:val="000000"/>
                <w:sz w:val="20"/>
                <w:szCs w:val="20"/>
              </w:rPr>
              <w:t>= (Score/18)*100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1B31" w14:textId="77777777" w:rsidR="00C424BF" w:rsidRDefault="00C424BF" w:rsidP="00C424BF">
            <w:pPr>
              <w:rPr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FB2C" w14:textId="77777777" w:rsidR="00C424BF" w:rsidRDefault="00C424BF" w:rsidP="00C424BF">
            <w:pPr>
              <w:rPr>
                <w:sz w:val="20"/>
                <w:szCs w:val="20"/>
              </w:rPr>
            </w:pPr>
          </w:p>
        </w:tc>
      </w:tr>
    </w:tbl>
    <w:p w14:paraId="7A1811EB" w14:textId="3DC70CA6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i/>
          <w:iCs/>
          <w:color w:val="000000"/>
          <w:sz w:val="21"/>
          <w:szCs w:val="21"/>
          <w:highlight w:val="yellow"/>
        </w:rPr>
      </w:pP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Pour infos, Commercial lines comprend : </w:t>
      </w:r>
      <w:r w:rsidRPr="00C424BF">
        <w:rPr>
          <w:rFonts w:ascii="Segoe UI" w:hAnsi="Segoe UI" w:cs="Segoe UI"/>
          <w:i/>
          <w:iCs/>
          <w:sz w:val="20"/>
          <w:szCs w:val="20"/>
        </w:rPr>
        <w:t>Dommages - Responsabilité civile/Sinistres - Automobile commerciale, Maritime (responsabilité et corps de navire) – Aviation - Agriculture - Crédit commercial - Lignes d’ingénierie (machines et équipements électroniques) - Lignes financières -Activité statuaire</w:t>
      </w:r>
      <w:r w:rsidRPr="00B471D4">
        <w:rPr>
          <w:rFonts w:ascii="Segoe UI" w:hAnsi="Segoe UI" w:cs="Segoe UI"/>
          <w:sz w:val="20"/>
          <w:szCs w:val="20"/>
        </w:rPr>
        <w:br/>
      </w:r>
    </w:p>
    <w:p w14:paraId="68BDE11A" w14:textId="3BA94B44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 Couverture des </w:t>
      </w:r>
      <w:r>
        <w:rPr>
          <w:rFonts w:ascii="Segoe UI" w:hAnsi="Segoe UI" w:cs="Segoe UI"/>
          <w:color w:val="000000"/>
          <w:sz w:val="21"/>
          <w:szCs w:val="21"/>
        </w:rPr>
        <w:t xml:space="preserve">2 branches </w:t>
      </w:r>
      <w:r w:rsidRPr="00B471D4">
        <w:rPr>
          <w:rFonts w:ascii="Segoe UI" w:hAnsi="Segoe UI" w:cs="Segoe UI"/>
          <w:color w:val="000000"/>
          <w:sz w:val="21"/>
          <w:szCs w:val="21"/>
        </w:rPr>
        <w:t>d’assurance définies par PCAF®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4798"/>
      </w:tblGrid>
      <w:tr w:rsidR="00B471D4" w:rsidRPr="00B471D4" w14:paraId="4A37C366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22A39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A8EDF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Couverture</w:t>
            </w:r>
          </w:p>
        </w:tc>
      </w:tr>
      <w:tr w:rsidR="00B471D4" w:rsidRPr="00B471D4" w14:paraId="7D9EC263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FF758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0DC43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classe d’actifs ne fait l’objet de reporting</w:t>
            </w:r>
          </w:p>
        </w:tc>
      </w:tr>
      <w:tr w:rsidR="00B471D4" w:rsidRPr="00B471D4" w14:paraId="3BFB973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45E2E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DDB1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(10 %-20 %)</w:t>
            </w:r>
          </w:p>
        </w:tc>
      </w:tr>
      <w:tr w:rsidR="00B471D4" w:rsidRPr="00B471D4" w14:paraId="5276A05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3FA5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860CE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(30 %-40 %)</w:t>
            </w:r>
          </w:p>
        </w:tc>
      </w:tr>
      <w:tr w:rsidR="00B471D4" w:rsidRPr="00B471D4" w14:paraId="4B0ABD8D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12968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E366C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(50 %-60 %)</w:t>
            </w:r>
          </w:p>
        </w:tc>
      </w:tr>
      <w:tr w:rsidR="00B471D4" w:rsidRPr="00B471D4" w14:paraId="160053E1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6AEC6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BD8FD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(70 %-90 %)</w:t>
            </w:r>
          </w:p>
        </w:tc>
      </w:tr>
      <w:tr w:rsidR="00B471D4" w:rsidRPr="00B471D4" w14:paraId="581947A4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E9CC8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1676B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(90 %-100 %)</w:t>
            </w:r>
          </w:p>
        </w:tc>
      </w:tr>
    </w:tbl>
    <w:p w14:paraId="0C29281A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Branches d’assurance PCAF® :</w:t>
      </w:r>
    </w:p>
    <w:p w14:paraId="21F41C6D" w14:textId="77723E73" w:rsidR="00B471D4" w:rsidRPr="00B471D4" w:rsidRDefault="00B471D4" w:rsidP="00B471D4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Assurance de branches commerciales</w:t>
      </w:r>
      <w:r>
        <w:rPr>
          <w:rFonts w:ascii="Segoe UI" w:hAnsi="Segoe UI" w:cs="Segoe UI"/>
          <w:color w:val="000000"/>
          <w:sz w:val="21"/>
          <w:szCs w:val="21"/>
        </w:rPr>
        <w:t xml:space="preserve"> + Réassurance </w:t>
      </w:r>
    </w:p>
    <w:p w14:paraId="5E5E6E03" w14:textId="77AB9EF1" w:rsidR="00B471D4" w:rsidRPr="00B471D4" w:rsidRDefault="00B471D4" w:rsidP="00B471D4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Branches véhicule à moteur personnel</w:t>
      </w:r>
      <w:r>
        <w:rPr>
          <w:rFonts w:ascii="Segoe UI" w:hAnsi="Segoe UI" w:cs="Segoe UI"/>
          <w:color w:val="000000"/>
          <w:sz w:val="21"/>
          <w:szCs w:val="21"/>
        </w:rPr>
        <w:t xml:space="preserve"> + Réassurance</w:t>
      </w:r>
    </w:p>
    <w:p w14:paraId="2725FAA9" w14:textId="4F36CDFF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2. Méthode d’attribution</w:t>
      </w:r>
    </w:p>
    <w:p w14:paraId="770DE54E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méthode d’attribution spécifique à l’assurance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6889"/>
      </w:tblGrid>
      <w:tr w:rsidR="00C424BF" w:rsidRPr="00B471D4" w14:paraId="13C73BC7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0D660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D190F" w14:textId="77777777" w:rsidR="00C424BF" w:rsidRPr="00B471D4" w:rsidRDefault="00C424BF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Méthode</w:t>
            </w:r>
          </w:p>
        </w:tc>
      </w:tr>
      <w:tr w:rsidR="00C424BF" w:rsidRPr="00B471D4" w14:paraId="45E1578B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D0746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CFB4B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méthode d’attribution</w:t>
            </w:r>
          </w:p>
        </w:tc>
      </w:tr>
      <w:tr w:rsidR="00C424BF" w:rsidRPr="00B471D4" w14:paraId="7EEBC945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84D87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332AD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Estimation basique sans méthode claire</w:t>
            </w:r>
          </w:p>
        </w:tc>
      </w:tr>
      <w:tr w:rsidR="00C424BF" w:rsidRPr="00B471D4" w14:paraId="7F15A46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565A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8E493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documentée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, couverture limitée des classes d’actifs</w:t>
            </w:r>
          </w:p>
        </w:tc>
      </w:tr>
      <w:tr w:rsidR="00C424BF" w:rsidRPr="00B471D4" w14:paraId="2B3C9823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01A4A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D8F3B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alignée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sur la norme PCAF®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propres à chaque classe d’actif</w:t>
            </w:r>
          </w:p>
        </w:tc>
      </w:tr>
      <w:tr w:rsidR="00C424BF" w:rsidRPr="00B471D4" w14:paraId="261A601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5380D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4338C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Méthode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s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complète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</w:p>
        </w:tc>
      </w:tr>
      <w:tr w:rsidR="00C424BF" w:rsidRPr="00B471D4" w14:paraId="67745A0F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64C11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11AF8" w14:textId="77777777" w:rsidR="00C424BF" w:rsidRPr="00B471D4" w:rsidRDefault="00C424BF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PCAF® + améliorations spécifiques aux secteurs</w:t>
            </w:r>
          </w:p>
        </w:tc>
      </w:tr>
    </w:tbl>
    <w:p w14:paraId="70C51663" w14:textId="77777777" w:rsidR="00B471D4" w:rsidRPr="00B471D4" w:rsidRDefault="00B471D4" w:rsidP="00B471D4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3</w:t>
      </w: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. Couverture temporelle</w:t>
      </w:r>
    </w:p>
    <w:p w14:paraId="53F8C3AF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Ce que ce critère mesure :</w:t>
      </w:r>
      <w:r w:rsidRPr="00B471D4">
        <w:rPr>
          <w:rFonts w:ascii="Segoe UI" w:hAnsi="Segoe UI" w:cs="Segoe UI"/>
          <w:color w:val="000000"/>
          <w:sz w:val="21"/>
          <w:szCs w:val="21"/>
        </w:rPr>
        <w:t> données historiques et reporting de tendances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480"/>
      </w:tblGrid>
      <w:tr w:rsidR="00B471D4" w:rsidRPr="00B471D4" w14:paraId="5BED75B8" w14:textId="77777777" w:rsidTr="008F34FE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7E3D3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Niveau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BC18F" w14:textId="77777777" w:rsidR="00B471D4" w:rsidRPr="00B471D4" w:rsidRDefault="00B471D4" w:rsidP="008F34FE">
            <w:pPr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Nombre d’années de données</w:t>
            </w:r>
          </w:p>
        </w:tc>
      </w:tr>
      <w:tr w:rsidR="00B471D4" w:rsidRPr="00B471D4" w14:paraId="0C6AD160" w14:textId="77777777" w:rsidTr="008F34F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CA0DD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14CC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Aucune donnée historique</w:t>
            </w:r>
          </w:p>
        </w:tc>
      </w:tr>
      <w:tr w:rsidR="00B471D4" w:rsidRPr="00B471D4" w14:paraId="0529A2E2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EFF00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ACDF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Année en cours uniquement</w:t>
            </w:r>
          </w:p>
        </w:tc>
      </w:tr>
      <w:tr w:rsidR="00B471D4" w:rsidRPr="00B471D4" w14:paraId="1318FEC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A7099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9E75C7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3 années d’historique + tendances</w:t>
            </w:r>
          </w:p>
        </w:tc>
      </w:tr>
      <w:tr w:rsidR="00B471D4" w:rsidRPr="00B471D4" w14:paraId="326DBFC1" w14:textId="77777777" w:rsidTr="008F34FE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1F314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70C40" w14:textId="77777777" w:rsidR="00B471D4" w:rsidRPr="00B471D4" w:rsidRDefault="00B471D4" w:rsidP="008F34FE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3 an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nées + tendances + </w:t>
            </w:r>
            <w:r w:rsidRPr="00B471D4">
              <w:rPr>
                <w:rFonts w:ascii="Segoe UI" w:hAnsi="Segoe UI" w:cs="Segoe UI"/>
                <w:color w:val="000000"/>
                <w:sz w:val="21"/>
                <w:szCs w:val="21"/>
              </w:rPr>
              <w:t>projections/objectifs</w:t>
            </w:r>
          </w:p>
        </w:tc>
      </w:tr>
    </w:tbl>
    <w:p w14:paraId="465B2C6D" w14:textId="72D2665D" w:rsidR="00B471D4" w:rsidRPr="00C424BF" w:rsidRDefault="00E84350" w:rsidP="00C424BF">
      <w:pPr>
        <w:rPr>
          <w:rFonts w:ascii="Segoe UI" w:hAnsi="Segoe UI" w:cs="Segoe UI"/>
          <w:sz w:val="21"/>
          <w:szCs w:val="21"/>
        </w:rPr>
      </w:pPr>
      <w:r>
        <w:pict w14:anchorId="03CF3DC7">
          <v:rect id="Horizontal Line 5" o:spid="_x0000_s102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D6889D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0EF2B11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2782F37A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4725DE6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5A93ADC0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602BCEA6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D452876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5A363B9F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4E2B075B" w14:textId="77777777" w:rsidR="00C424BF" w:rsidRDefault="00C424BF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</w:p>
    <w:p w14:paraId="16A52521" w14:textId="6D9A2930" w:rsidR="00B471D4" w:rsidRPr="00B471D4" w:rsidRDefault="00B471D4" w:rsidP="00B471D4">
      <w:pPr>
        <w:spacing w:before="100" w:beforeAutospacing="1" w:after="100" w:afterAutospacing="1"/>
        <w:outlineLvl w:val="1"/>
        <w:rPr>
          <w:rFonts w:ascii="Segoe UI" w:hAnsi="Segoe UI" w:cs="Segoe UI"/>
          <w:color w:val="000000"/>
          <w:sz w:val="36"/>
          <w:szCs w:val="36"/>
        </w:rPr>
      </w:pPr>
      <w:r w:rsidRPr="00B471D4">
        <w:rPr>
          <w:rFonts w:ascii="Segoe UI" w:hAnsi="Segoe UI" w:cs="Segoe UI"/>
          <w:color w:val="000000"/>
          <w:sz w:val="36"/>
          <w:szCs w:val="36"/>
        </w:rPr>
        <w:lastRenderedPageBreak/>
        <w:t>4. MÉTHODOLOGIE DE SCORING</w:t>
      </w:r>
    </w:p>
    <w:p w14:paraId="588E3363" w14:textId="77777777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Score pour chaque critère</w:t>
      </w:r>
    </w:p>
    <w:p w14:paraId="625632FB" w14:textId="4FD808A0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Chaque critère est noté de 0 à 5</w:t>
      </w:r>
      <w:r w:rsidR="00C424BF">
        <w:rPr>
          <w:rFonts w:ascii="Segoe UI" w:hAnsi="Segoe UI" w:cs="Segoe UI"/>
          <w:color w:val="000000"/>
          <w:sz w:val="21"/>
          <w:szCs w:val="21"/>
        </w:rPr>
        <w:t xml:space="preserve"> ou de 0 à 3</w:t>
      </w:r>
    </w:p>
    <w:p w14:paraId="1FEEB51B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Évaluation fondée sur des preuves requise</w:t>
      </w:r>
    </w:p>
    <w:p w14:paraId="23A69232" w14:textId="77777777" w:rsidR="00B471D4" w:rsidRPr="00B471D4" w:rsidRDefault="00B471D4" w:rsidP="00B471D4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Justificatif du document pour chaque score</w:t>
      </w:r>
    </w:p>
    <w:p w14:paraId="48434348" w14:textId="77777777" w:rsidR="00B471D4" w:rsidRPr="00B471D4" w:rsidRDefault="00B471D4" w:rsidP="00B471D4">
      <w:pPr>
        <w:spacing w:before="100" w:beforeAutospacing="1" w:after="100" w:afterAutospacing="1"/>
        <w:outlineLvl w:val="2"/>
        <w:rPr>
          <w:rFonts w:ascii="Segoe UI" w:hAnsi="Segoe UI" w:cs="Segoe UI"/>
          <w:color w:val="000000"/>
          <w:sz w:val="27"/>
          <w:szCs w:val="27"/>
        </w:rPr>
      </w:pPr>
      <w:r w:rsidRPr="00B471D4">
        <w:rPr>
          <w:rFonts w:ascii="Segoe UI" w:hAnsi="Segoe UI" w:cs="Segoe UI"/>
          <w:color w:val="000000"/>
          <w:sz w:val="27"/>
          <w:szCs w:val="27"/>
        </w:rPr>
        <w:t>Scores des parties</w:t>
      </w:r>
    </w:p>
    <w:p w14:paraId="5779070F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Menlo" w:hAnsi="Menlo" w:cs="Menlo"/>
          <w:color w:val="4D4D4C"/>
          <w:sz w:val="21"/>
          <w:szCs w:val="21"/>
        </w:rPr>
      </w:pPr>
      <w:r w:rsidRPr="00B471D4">
        <w:rPr>
          <w:rFonts w:ascii="Menlo" w:hAnsi="Menlo" w:cs="Menlo"/>
          <w:color w:val="4D4D4C"/>
          <w:sz w:val="21"/>
          <w:szCs w:val="21"/>
        </w:rPr>
        <w:t>Part Score = Sum of all criterion scores in that part</w:t>
      </w:r>
    </w:p>
    <w:p w14:paraId="5910A57C" w14:textId="77777777" w:rsidR="00B471D4" w:rsidRPr="00B471D4" w:rsidRDefault="00B471D4" w:rsidP="00B471D4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Menlo" w:hAnsi="Menlo" w:cs="Menlo"/>
          <w:color w:val="4D4D4C"/>
          <w:sz w:val="21"/>
          <w:szCs w:val="21"/>
        </w:rPr>
      </w:pPr>
      <w:r w:rsidRPr="00B471D4">
        <w:rPr>
          <w:rFonts w:ascii="Menlo" w:hAnsi="Menlo" w:cs="Menlo"/>
          <w:color w:val="4D4D4C"/>
          <w:sz w:val="21"/>
          <w:szCs w:val="21"/>
        </w:rPr>
        <w:t>Part Percentage = (Part Score / Maximum Possible) × 100</w:t>
      </w:r>
    </w:p>
    <w:p w14:paraId="6EA97A7C" w14:textId="77777777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b/>
          <w:bCs/>
          <w:color w:val="000000"/>
          <w:sz w:val="21"/>
          <w:szCs w:val="21"/>
        </w:rPr>
        <w:t>Exemple :</w:t>
      </w:r>
    </w:p>
    <w:p w14:paraId="76CCCB39" w14:textId="14D26B42" w:rsidR="00B471D4" w:rsidRPr="00B471D4" w:rsidRDefault="00B471D4" w:rsidP="00B471D4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 xml:space="preserve">La Partie A compte </w:t>
      </w:r>
      <w:r w:rsidR="00C424BF">
        <w:rPr>
          <w:rFonts w:ascii="Segoe UI" w:hAnsi="Segoe UI" w:cs="Segoe UI"/>
          <w:color w:val="000000"/>
          <w:sz w:val="21"/>
          <w:szCs w:val="21"/>
        </w:rPr>
        <w:t>5</w:t>
      </w:r>
      <w:r w:rsidRPr="00B471D4">
        <w:rPr>
          <w:rFonts w:ascii="Segoe UI" w:hAnsi="Segoe UI" w:cs="Segoe UI"/>
          <w:color w:val="000000"/>
          <w:sz w:val="21"/>
          <w:szCs w:val="21"/>
        </w:rPr>
        <w:t xml:space="preserve"> critères × 5 points = score maximum de 40</w:t>
      </w:r>
    </w:p>
    <w:p w14:paraId="299D445E" w14:textId="77777777" w:rsidR="00B471D4" w:rsidRPr="00B471D4" w:rsidRDefault="00B471D4" w:rsidP="00B471D4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B471D4">
        <w:rPr>
          <w:rFonts w:ascii="Segoe UI" w:hAnsi="Segoe UI" w:cs="Segoe UI"/>
          <w:color w:val="000000"/>
          <w:sz w:val="21"/>
          <w:szCs w:val="21"/>
        </w:rPr>
        <w:t>L’institution financière affiche 26/40 = 65 %</w:t>
      </w:r>
    </w:p>
    <w:p w14:paraId="040564C4" w14:textId="5E4D1C0B" w:rsidR="00B471D4" w:rsidRPr="00C424BF" w:rsidRDefault="00B471D4" w:rsidP="00B471D4">
      <w:pPr>
        <w:spacing w:before="100" w:beforeAutospacing="1" w:after="100" w:afterAutospacing="1"/>
        <w:rPr>
          <w:rFonts w:ascii="Segoe UI" w:hAnsi="Segoe UI" w:cs="Segoe UI"/>
          <w:i/>
          <w:iCs/>
          <w:color w:val="000000"/>
          <w:sz w:val="21"/>
          <w:szCs w:val="21"/>
        </w:rPr>
      </w:pP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Commentaires : </w:t>
      </w:r>
      <w:r w:rsidR="00F247B8">
        <w:rPr>
          <w:rFonts w:ascii="Segoe UI" w:hAnsi="Segoe UI" w:cs="Segoe UI"/>
          <w:i/>
          <w:iCs/>
          <w:color w:val="000000"/>
          <w:sz w:val="21"/>
          <w:szCs w:val="21"/>
        </w:rPr>
        <w:t>p</w:t>
      </w:r>
      <w:r w:rsidRPr="00C424BF">
        <w:rPr>
          <w:rFonts w:ascii="Segoe UI" w:hAnsi="Segoe UI" w:cs="Segoe UI"/>
          <w:i/>
          <w:iCs/>
          <w:color w:val="000000"/>
          <w:sz w:val="21"/>
          <w:szCs w:val="21"/>
        </w:rPr>
        <w:t xml:space="preserve">our chaque institution financière, nous souhaitons obtenir le pourcentage de compliance au standard A, au standard B et au standard C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471D4" w:rsidRPr="00C424BF" w14:paraId="1BBA9F76" w14:textId="77777777" w:rsidTr="00B471D4">
        <w:tc>
          <w:tcPr>
            <w:tcW w:w="2265" w:type="dxa"/>
          </w:tcPr>
          <w:p w14:paraId="3CD1506B" w14:textId="541455ED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 xml:space="preserve">Company name </w:t>
            </w:r>
          </w:p>
        </w:tc>
        <w:tc>
          <w:tcPr>
            <w:tcW w:w="2265" w:type="dxa"/>
          </w:tcPr>
          <w:p w14:paraId="4506FAF4" w14:textId="2DC30A26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Compliance Part A</w:t>
            </w:r>
          </w:p>
        </w:tc>
        <w:tc>
          <w:tcPr>
            <w:tcW w:w="2266" w:type="dxa"/>
          </w:tcPr>
          <w:p w14:paraId="37D63390" w14:textId="064B2F8F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Compliance Part B</w:t>
            </w:r>
          </w:p>
        </w:tc>
        <w:tc>
          <w:tcPr>
            <w:tcW w:w="2266" w:type="dxa"/>
          </w:tcPr>
          <w:p w14:paraId="2F84FBBF" w14:textId="260DFC23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b/>
                <w:bCs/>
                <w:color w:val="000000"/>
                <w:sz w:val="21"/>
                <w:szCs w:val="21"/>
              </w:rPr>
              <w:t>Compliance Part C</w:t>
            </w:r>
          </w:p>
        </w:tc>
      </w:tr>
      <w:tr w:rsidR="00B471D4" w14:paraId="1763B6A6" w14:textId="77777777" w:rsidTr="00B471D4">
        <w:tc>
          <w:tcPr>
            <w:tcW w:w="2265" w:type="dxa"/>
          </w:tcPr>
          <w:p w14:paraId="618439DF" w14:textId="37B05770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XXX</w:t>
            </w:r>
          </w:p>
        </w:tc>
        <w:tc>
          <w:tcPr>
            <w:tcW w:w="2265" w:type="dxa"/>
          </w:tcPr>
          <w:p w14:paraId="28AD0F35" w14:textId="7933F542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 %</w:t>
            </w:r>
          </w:p>
        </w:tc>
        <w:tc>
          <w:tcPr>
            <w:tcW w:w="2266" w:type="dxa"/>
          </w:tcPr>
          <w:p w14:paraId="122D2D03" w14:textId="2648C343" w:rsidR="00B471D4" w:rsidRPr="00C424BF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 %</w:t>
            </w:r>
          </w:p>
        </w:tc>
        <w:tc>
          <w:tcPr>
            <w:tcW w:w="2266" w:type="dxa"/>
          </w:tcPr>
          <w:p w14:paraId="6A248DE0" w14:textId="0AA4261E" w:rsidR="00B471D4" w:rsidRPr="00B471D4" w:rsidRDefault="00B471D4" w:rsidP="00B471D4">
            <w:pPr>
              <w:spacing w:before="100" w:beforeAutospacing="1" w:after="100" w:afterAutospacing="1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C424BF">
              <w:rPr>
                <w:rFonts w:ascii="Segoe UI" w:hAnsi="Segoe UI" w:cs="Segoe UI"/>
                <w:color w:val="000000"/>
                <w:sz w:val="21"/>
                <w:szCs w:val="21"/>
              </w:rPr>
              <w:t>XX %</w:t>
            </w:r>
          </w:p>
        </w:tc>
      </w:tr>
    </w:tbl>
    <w:p w14:paraId="1DD666F6" w14:textId="723D4853" w:rsidR="00C90746" w:rsidRPr="0027560B" w:rsidRDefault="00C90746" w:rsidP="00B471D4">
      <w:pPr>
        <w:spacing w:before="100" w:beforeAutospacing="1" w:after="100" w:afterAutospacing="1"/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</w:pPr>
      <w:r w:rsidRPr="0027560B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 xml:space="preserve">Tableau </w:t>
      </w:r>
      <w:r w:rsidR="00487C80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>incluant</w:t>
      </w:r>
      <w:r w:rsidRPr="0027560B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 xml:space="preserve"> </w:t>
      </w:r>
      <w:r w:rsidR="004E61A6" w:rsidRPr="0027560B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 xml:space="preserve">rapports 2025 </w:t>
      </w:r>
      <w:r w:rsidRPr="0027560B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 xml:space="preserve">ING et Julius Bär </w:t>
      </w:r>
      <w:r w:rsidR="00BA21E0" w:rsidRPr="0027560B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>(</w:t>
      </w:r>
      <w:r w:rsidR="00BA21E0" w:rsidRPr="0027560B">
        <w:rPr>
          <w:rFonts w:ascii="Segoe UI Symbol" w:hAnsi="Segoe UI Symbol" w:cs="Segoe UI Symbol"/>
          <w:b/>
          <w:bCs/>
          <w:color w:val="215E99" w:themeColor="text2" w:themeTint="BF"/>
          <w:sz w:val="16"/>
        </w:rPr>
        <w:t>★</w:t>
      </w:r>
      <w:r w:rsidR="00BA21E0" w:rsidRPr="0027560B">
        <w:rPr>
          <w:rFonts w:ascii="Segoe UI Symbol" w:hAnsi="Segoe UI Symbol" w:cs="Segoe UI Symbol"/>
          <w:b/>
          <w:bCs/>
          <w:color w:val="215E99" w:themeColor="text2" w:themeTint="BF"/>
          <w:sz w:val="21"/>
          <w:szCs w:val="21"/>
        </w:rPr>
        <w:t>)</w:t>
      </w:r>
      <w:r w:rsidRPr="0027560B">
        <w:rPr>
          <w:rFonts w:ascii="Segoe UI" w:hAnsi="Segoe UI" w:cs="Segoe UI"/>
          <w:b/>
          <w:bCs/>
          <w:color w:val="215E99" w:themeColor="text2" w:themeTint="BF"/>
          <w:sz w:val="21"/>
          <w:szCs w:val="21"/>
        </w:rPr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11"/>
        <w:gridCol w:w="1987"/>
        <w:gridCol w:w="1904"/>
        <w:gridCol w:w="1207"/>
        <w:gridCol w:w="1207"/>
        <w:gridCol w:w="1207"/>
      </w:tblGrid>
      <w:tr w:rsidR="00B75518" w:rsidRPr="008D7F34" w14:paraId="68916E14" w14:textId="77777777" w:rsidTr="0028598D">
        <w:trPr>
          <w:jc w:val="center"/>
        </w:trPr>
        <w:tc>
          <w:tcPr>
            <w:tcW w:w="411" w:type="dxa"/>
            <w:shd w:val="clear" w:color="auto" w:fill="0E2841" w:themeFill="text2"/>
          </w:tcPr>
          <w:p w14:paraId="4804D41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#</w:t>
            </w:r>
          </w:p>
        </w:tc>
        <w:tc>
          <w:tcPr>
            <w:tcW w:w="1987" w:type="dxa"/>
            <w:shd w:val="clear" w:color="auto" w:fill="0E2841" w:themeFill="text2"/>
          </w:tcPr>
          <w:p w14:paraId="7C49C514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Institution</w:t>
            </w:r>
          </w:p>
        </w:tc>
        <w:tc>
          <w:tcPr>
            <w:tcW w:w="1904" w:type="dxa"/>
            <w:shd w:val="clear" w:color="auto" w:fill="0E2841" w:themeFill="text2"/>
          </w:tcPr>
          <w:p w14:paraId="351A961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Type</w:t>
            </w:r>
          </w:p>
        </w:tc>
        <w:tc>
          <w:tcPr>
            <w:tcW w:w="1207" w:type="dxa"/>
            <w:shd w:val="clear" w:color="auto" w:fill="0E2841" w:themeFill="text2"/>
          </w:tcPr>
          <w:p w14:paraId="57FCB391" w14:textId="22F7007F" w:rsidR="00B75518" w:rsidRPr="008D7F34" w:rsidRDefault="00B75518" w:rsidP="00A13327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Compliance P</w:t>
            </w: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artie A</w:t>
            </w:r>
          </w:p>
        </w:tc>
        <w:tc>
          <w:tcPr>
            <w:tcW w:w="1207" w:type="dxa"/>
            <w:shd w:val="clear" w:color="auto" w:fill="0E2841" w:themeFill="text2"/>
          </w:tcPr>
          <w:p w14:paraId="148198E5" w14:textId="18AF2F0D" w:rsidR="00B75518" w:rsidRPr="008D7F34" w:rsidRDefault="00B75518" w:rsidP="00A13327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Compliance</w:t>
            </w: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 xml:space="preserve"> </w:t>
            </w: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Partie B</w:t>
            </w:r>
          </w:p>
        </w:tc>
        <w:tc>
          <w:tcPr>
            <w:tcW w:w="1207" w:type="dxa"/>
            <w:shd w:val="clear" w:color="auto" w:fill="0E2841" w:themeFill="text2"/>
          </w:tcPr>
          <w:p w14:paraId="4AD34D27" w14:textId="3A81A611" w:rsidR="00B75518" w:rsidRPr="008D7F34" w:rsidRDefault="00B75518" w:rsidP="00A13327">
            <w:pPr>
              <w:jc w:val="center"/>
              <w:rPr>
                <w:rFonts w:ascii="Segoe UI" w:hAnsi="Segoe UI" w:cs="Segoe UI"/>
                <w:color w:val="F6F6F6"/>
              </w:rPr>
            </w:pPr>
            <w:r w:rsidRPr="008D7F34">
              <w:rPr>
                <w:rFonts w:ascii="Segoe UI" w:hAnsi="Segoe UI" w:cs="Segoe UI"/>
                <w:b/>
                <w:color w:val="F6F6F6"/>
                <w:sz w:val="18"/>
              </w:rPr>
              <w:t>Compliance Partie C</w:t>
            </w:r>
          </w:p>
        </w:tc>
      </w:tr>
      <w:tr w:rsidR="00B75518" w:rsidRPr="008D7F34" w14:paraId="0285FB54" w14:textId="77777777" w:rsidTr="0028598D">
        <w:trPr>
          <w:jc w:val="center"/>
        </w:trPr>
        <w:tc>
          <w:tcPr>
            <w:tcW w:w="411" w:type="dxa"/>
          </w:tcPr>
          <w:p w14:paraId="2E38EF8D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1987" w:type="dxa"/>
          </w:tcPr>
          <w:p w14:paraId="594AB87B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Santander</w:t>
            </w:r>
          </w:p>
        </w:tc>
        <w:tc>
          <w:tcPr>
            <w:tcW w:w="1904" w:type="dxa"/>
          </w:tcPr>
          <w:p w14:paraId="229432B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2A6B06ED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87,0 %</w:t>
            </w:r>
          </w:p>
        </w:tc>
        <w:tc>
          <w:tcPr>
            <w:tcW w:w="1207" w:type="dxa"/>
          </w:tcPr>
          <w:p w14:paraId="66F58784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30,8 %</w:t>
            </w:r>
          </w:p>
        </w:tc>
        <w:tc>
          <w:tcPr>
            <w:tcW w:w="1207" w:type="dxa"/>
          </w:tcPr>
          <w:p w14:paraId="745CAF7D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1A0D9B99" w14:textId="77777777" w:rsidTr="0028598D">
        <w:trPr>
          <w:jc w:val="center"/>
        </w:trPr>
        <w:tc>
          <w:tcPr>
            <w:tcW w:w="411" w:type="dxa"/>
          </w:tcPr>
          <w:p w14:paraId="69077ADD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1987" w:type="dxa"/>
          </w:tcPr>
          <w:p w14:paraId="5F0156B7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Swiss Re</w:t>
            </w:r>
          </w:p>
        </w:tc>
        <w:tc>
          <w:tcPr>
            <w:tcW w:w="1904" w:type="dxa"/>
          </w:tcPr>
          <w:p w14:paraId="5168809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Réassurance</w:t>
            </w:r>
          </w:p>
        </w:tc>
        <w:tc>
          <w:tcPr>
            <w:tcW w:w="1207" w:type="dxa"/>
          </w:tcPr>
          <w:p w14:paraId="311955E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69,6 %</w:t>
            </w:r>
          </w:p>
        </w:tc>
        <w:tc>
          <w:tcPr>
            <w:tcW w:w="1207" w:type="dxa"/>
          </w:tcPr>
          <w:p w14:paraId="34024CB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5746371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69,2 %</w:t>
            </w:r>
          </w:p>
        </w:tc>
      </w:tr>
      <w:tr w:rsidR="00B75518" w:rsidRPr="008D7F34" w14:paraId="2CAB2E6B" w14:textId="77777777" w:rsidTr="0028598D">
        <w:trPr>
          <w:jc w:val="center"/>
        </w:trPr>
        <w:tc>
          <w:tcPr>
            <w:tcW w:w="411" w:type="dxa"/>
          </w:tcPr>
          <w:p w14:paraId="17170C8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1987" w:type="dxa"/>
          </w:tcPr>
          <w:p w14:paraId="6A488FFA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Allianz</w:t>
            </w:r>
          </w:p>
        </w:tc>
        <w:tc>
          <w:tcPr>
            <w:tcW w:w="1904" w:type="dxa"/>
          </w:tcPr>
          <w:p w14:paraId="7CC84A1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2ACFB0F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82,6 %</w:t>
            </w:r>
          </w:p>
        </w:tc>
        <w:tc>
          <w:tcPr>
            <w:tcW w:w="1207" w:type="dxa"/>
          </w:tcPr>
          <w:p w14:paraId="7CC4042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06E0875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53,8 %</w:t>
            </w:r>
          </w:p>
        </w:tc>
      </w:tr>
      <w:tr w:rsidR="00B75518" w:rsidRPr="008D7F34" w14:paraId="3E83F4E9" w14:textId="77777777" w:rsidTr="0028598D">
        <w:trPr>
          <w:jc w:val="center"/>
        </w:trPr>
        <w:tc>
          <w:tcPr>
            <w:tcW w:w="411" w:type="dxa"/>
          </w:tcPr>
          <w:p w14:paraId="3E20810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1987" w:type="dxa"/>
          </w:tcPr>
          <w:p w14:paraId="0002F8A9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AXA</w:t>
            </w:r>
          </w:p>
        </w:tc>
        <w:tc>
          <w:tcPr>
            <w:tcW w:w="1904" w:type="dxa"/>
          </w:tcPr>
          <w:p w14:paraId="0D0A1C5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57ED671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73,9 %</w:t>
            </w:r>
          </w:p>
        </w:tc>
        <w:tc>
          <w:tcPr>
            <w:tcW w:w="1207" w:type="dxa"/>
          </w:tcPr>
          <w:p w14:paraId="49986A84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773B1B2C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61,5 %</w:t>
            </w:r>
          </w:p>
        </w:tc>
      </w:tr>
      <w:tr w:rsidR="00B75518" w:rsidRPr="008D7F34" w14:paraId="40B29431" w14:textId="77777777" w:rsidTr="0028598D">
        <w:trPr>
          <w:jc w:val="center"/>
        </w:trPr>
        <w:tc>
          <w:tcPr>
            <w:tcW w:w="411" w:type="dxa"/>
          </w:tcPr>
          <w:p w14:paraId="67575F1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1987" w:type="dxa"/>
          </w:tcPr>
          <w:p w14:paraId="1DE8DEE3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 xml:space="preserve">ING </w:t>
            </w:r>
            <w:r w:rsidRPr="008D7F34">
              <w:rPr>
                <w:rFonts w:ascii="Segoe UI Symbol" w:hAnsi="Segoe UI Symbol" w:cs="Segoe UI Symbol"/>
                <w:sz w:val="18"/>
              </w:rPr>
              <w:t>★</w:t>
            </w:r>
          </w:p>
        </w:tc>
        <w:tc>
          <w:tcPr>
            <w:tcW w:w="1904" w:type="dxa"/>
          </w:tcPr>
          <w:p w14:paraId="09BB6DE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7673FCAC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82,6 %</w:t>
            </w:r>
          </w:p>
        </w:tc>
        <w:tc>
          <w:tcPr>
            <w:tcW w:w="1207" w:type="dxa"/>
          </w:tcPr>
          <w:p w14:paraId="5AB156C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23,1 %</w:t>
            </w:r>
          </w:p>
        </w:tc>
        <w:tc>
          <w:tcPr>
            <w:tcW w:w="1207" w:type="dxa"/>
          </w:tcPr>
          <w:p w14:paraId="605C147F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410E0F3D" w14:textId="77777777" w:rsidTr="0028598D">
        <w:trPr>
          <w:jc w:val="center"/>
        </w:trPr>
        <w:tc>
          <w:tcPr>
            <w:tcW w:w="411" w:type="dxa"/>
          </w:tcPr>
          <w:p w14:paraId="1DEBE5AF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1987" w:type="dxa"/>
          </w:tcPr>
          <w:p w14:paraId="7DD721CB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KBC</w:t>
            </w:r>
          </w:p>
        </w:tc>
        <w:tc>
          <w:tcPr>
            <w:tcW w:w="1904" w:type="dxa"/>
          </w:tcPr>
          <w:p w14:paraId="413863E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Bancassurance</w:t>
            </w:r>
          </w:p>
        </w:tc>
        <w:tc>
          <w:tcPr>
            <w:tcW w:w="1207" w:type="dxa"/>
          </w:tcPr>
          <w:p w14:paraId="2B5E6C9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65,2 %</w:t>
            </w:r>
          </w:p>
        </w:tc>
        <w:tc>
          <w:tcPr>
            <w:tcW w:w="1207" w:type="dxa"/>
          </w:tcPr>
          <w:p w14:paraId="6079A3F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69,2 %</w:t>
            </w:r>
          </w:p>
        </w:tc>
        <w:tc>
          <w:tcPr>
            <w:tcW w:w="1207" w:type="dxa"/>
          </w:tcPr>
          <w:p w14:paraId="359522C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53,8 %</w:t>
            </w:r>
          </w:p>
        </w:tc>
      </w:tr>
      <w:tr w:rsidR="00B75518" w:rsidRPr="008D7F34" w14:paraId="27E0ECBD" w14:textId="77777777" w:rsidTr="0028598D">
        <w:trPr>
          <w:jc w:val="center"/>
        </w:trPr>
        <w:tc>
          <w:tcPr>
            <w:tcW w:w="411" w:type="dxa"/>
          </w:tcPr>
          <w:p w14:paraId="536B6DA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1987" w:type="dxa"/>
          </w:tcPr>
          <w:p w14:paraId="5B59847D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ASR Nederland</w:t>
            </w:r>
          </w:p>
        </w:tc>
        <w:tc>
          <w:tcPr>
            <w:tcW w:w="1904" w:type="dxa"/>
          </w:tcPr>
          <w:p w14:paraId="143CA8CC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7624577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60,9 %</w:t>
            </w:r>
          </w:p>
        </w:tc>
        <w:tc>
          <w:tcPr>
            <w:tcW w:w="1207" w:type="dxa"/>
          </w:tcPr>
          <w:p w14:paraId="6B3CB41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12D5CF3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61,5 %</w:t>
            </w:r>
          </w:p>
        </w:tc>
      </w:tr>
      <w:tr w:rsidR="00B75518" w:rsidRPr="008D7F34" w14:paraId="511DC25D" w14:textId="77777777" w:rsidTr="0028598D">
        <w:trPr>
          <w:jc w:val="center"/>
        </w:trPr>
        <w:tc>
          <w:tcPr>
            <w:tcW w:w="411" w:type="dxa"/>
          </w:tcPr>
          <w:p w14:paraId="7AE6DA6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8</w:t>
            </w:r>
          </w:p>
        </w:tc>
        <w:tc>
          <w:tcPr>
            <w:tcW w:w="1987" w:type="dxa"/>
          </w:tcPr>
          <w:p w14:paraId="0555E07D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UniCredit</w:t>
            </w:r>
          </w:p>
        </w:tc>
        <w:tc>
          <w:tcPr>
            <w:tcW w:w="1904" w:type="dxa"/>
          </w:tcPr>
          <w:p w14:paraId="4A91D5E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57C8DFF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65,2 %</w:t>
            </w:r>
          </w:p>
        </w:tc>
        <w:tc>
          <w:tcPr>
            <w:tcW w:w="1207" w:type="dxa"/>
          </w:tcPr>
          <w:p w14:paraId="504575D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30,8 %</w:t>
            </w:r>
          </w:p>
        </w:tc>
        <w:tc>
          <w:tcPr>
            <w:tcW w:w="1207" w:type="dxa"/>
          </w:tcPr>
          <w:p w14:paraId="13C6111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43EE2857" w14:textId="77777777" w:rsidTr="0028598D">
        <w:trPr>
          <w:jc w:val="center"/>
        </w:trPr>
        <w:tc>
          <w:tcPr>
            <w:tcW w:w="411" w:type="dxa"/>
          </w:tcPr>
          <w:p w14:paraId="7DB63AE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9</w:t>
            </w:r>
          </w:p>
        </w:tc>
        <w:tc>
          <w:tcPr>
            <w:tcW w:w="1987" w:type="dxa"/>
          </w:tcPr>
          <w:p w14:paraId="52FFB1CC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Nordea</w:t>
            </w:r>
          </w:p>
        </w:tc>
        <w:tc>
          <w:tcPr>
            <w:tcW w:w="1904" w:type="dxa"/>
          </w:tcPr>
          <w:p w14:paraId="3654CA2F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6DDD3634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78,3 %</w:t>
            </w:r>
          </w:p>
        </w:tc>
        <w:tc>
          <w:tcPr>
            <w:tcW w:w="1207" w:type="dxa"/>
          </w:tcPr>
          <w:p w14:paraId="5A754D8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0,0 %</w:t>
            </w:r>
          </w:p>
        </w:tc>
        <w:tc>
          <w:tcPr>
            <w:tcW w:w="1207" w:type="dxa"/>
          </w:tcPr>
          <w:p w14:paraId="612BBF0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2FA37A2A" w14:textId="77777777" w:rsidTr="0028598D">
        <w:trPr>
          <w:jc w:val="center"/>
        </w:trPr>
        <w:tc>
          <w:tcPr>
            <w:tcW w:w="411" w:type="dxa"/>
          </w:tcPr>
          <w:p w14:paraId="228E7BB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10</w:t>
            </w:r>
          </w:p>
        </w:tc>
        <w:tc>
          <w:tcPr>
            <w:tcW w:w="1987" w:type="dxa"/>
          </w:tcPr>
          <w:p w14:paraId="4F2C8A06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Schroders</w:t>
            </w:r>
          </w:p>
        </w:tc>
        <w:tc>
          <w:tcPr>
            <w:tcW w:w="1904" w:type="dxa"/>
          </w:tcPr>
          <w:p w14:paraId="7AB7D5A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Gestionnaire d’actifs</w:t>
            </w:r>
          </w:p>
        </w:tc>
        <w:tc>
          <w:tcPr>
            <w:tcW w:w="1207" w:type="dxa"/>
          </w:tcPr>
          <w:p w14:paraId="798C60D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52,2 %</w:t>
            </w:r>
          </w:p>
        </w:tc>
        <w:tc>
          <w:tcPr>
            <w:tcW w:w="1207" w:type="dxa"/>
          </w:tcPr>
          <w:p w14:paraId="196B73E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4A4ABC3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7DB27BF5" w14:textId="77777777" w:rsidTr="0028598D">
        <w:trPr>
          <w:jc w:val="center"/>
        </w:trPr>
        <w:tc>
          <w:tcPr>
            <w:tcW w:w="411" w:type="dxa"/>
          </w:tcPr>
          <w:p w14:paraId="2D9278D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11</w:t>
            </w:r>
          </w:p>
        </w:tc>
        <w:tc>
          <w:tcPr>
            <w:tcW w:w="1987" w:type="dxa"/>
          </w:tcPr>
          <w:p w14:paraId="6731E8C7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Ageas</w:t>
            </w:r>
          </w:p>
        </w:tc>
        <w:tc>
          <w:tcPr>
            <w:tcW w:w="1904" w:type="dxa"/>
          </w:tcPr>
          <w:p w14:paraId="00BC07F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488B4BC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47,8 %</w:t>
            </w:r>
          </w:p>
        </w:tc>
        <w:tc>
          <w:tcPr>
            <w:tcW w:w="1207" w:type="dxa"/>
          </w:tcPr>
          <w:p w14:paraId="22E5F29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6A98A176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53,8 %</w:t>
            </w:r>
          </w:p>
        </w:tc>
      </w:tr>
      <w:tr w:rsidR="00B75518" w:rsidRPr="008D7F34" w14:paraId="7275962E" w14:textId="77777777" w:rsidTr="0028598D">
        <w:trPr>
          <w:jc w:val="center"/>
        </w:trPr>
        <w:tc>
          <w:tcPr>
            <w:tcW w:w="411" w:type="dxa"/>
          </w:tcPr>
          <w:p w14:paraId="434A578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12</w:t>
            </w:r>
          </w:p>
        </w:tc>
        <w:tc>
          <w:tcPr>
            <w:tcW w:w="1987" w:type="dxa"/>
          </w:tcPr>
          <w:p w14:paraId="160C6A5A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Zurich</w:t>
            </w:r>
          </w:p>
        </w:tc>
        <w:tc>
          <w:tcPr>
            <w:tcW w:w="1904" w:type="dxa"/>
          </w:tcPr>
          <w:p w14:paraId="7558BAC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6802A4C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39,1 %</w:t>
            </w:r>
          </w:p>
        </w:tc>
        <w:tc>
          <w:tcPr>
            <w:tcW w:w="1207" w:type="dxa"/>
          </w:tcPr>
          <w:p w14:paraId="48787EEC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51A9FDA6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53,8 %</w:t>
            </w:r>
          </w:p>
        </w:tc>
      </w:tr>
      <w:tr w:rsidR="00B75518" w:rsidRPr="008D7F34" w14:paraId="11F105C5" w14:textId="77777777" w:rsidTr="0028598D">
        <w:trPr>
          <w:jc w:val="center"/>
        </w:trPr>
        <w:tc>
          <w:tcPr>
            <w:tcW w:w="411" w:type="dxa"/>
          </w:tcPr>
          <w:p w14:paraId="240F57AD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13</w:t>
            </w:r>
          </w:p>
        </w:tc>
        <w:tc>
          <w:tcPr>
            <w:tcW w:w="1987" w:type="dxa"/>
          </w:tcPr>
          <w:p w14:paraId="7BA35B8A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Commerzbank</w:t>
            </w:r>
          </w:p>
        </w:tc>
        <w:tc>
          <w:tcPr>
            <w:tcW w:w="1904" w:type="dxa"/>
          </w:tcPr>
          <w:p w14:paraId="44FBB93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07FD450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65,2 %</w:t>
            </w:r>
          </w:p>
        </w:tc>
        <w:tc>
          <w:tcPr>
            <w:tcW w:w="1207" w:type="dxa"/>
          </w:tcPr>
          <w:p w14:paraId="1A4DF36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0,0 %</w:t>
            </w:r>
          </w:p>
        </w:tc>
        <w:tc>
          <w:tcPr>
            <w:tcW w:w="1207" w:type="dxa"/>
          </w:tcPr>
          <w:p w14:paraId="3B7FE321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7F6ED2F2" w14:textId="77777777" w:rsidTr="0028598D">
        <w:trPr>
          <w:jc w:val="center"/>
        </w:trPr>
        <w:tc>
          <w:tcPr>
            <w:tcW w:w="411" w:type="dxa"/>
          </w:tcPr>
          <w:p w14:paraId="66771D26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14</w:t>
            </w:r>
          </w:p>
        </w:tc>
        <w:tc>
          <w:tcPr>
            <w:tcW w:w="1987" w:type="dxa"/>
          </w:tcPr>
          <w:p w14:paraId="02A618B2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 xml:space="preserve">Julius Baer </w:t>
            </w:r>
            <w:r w:rsidRPr="008D7F34">
              <w:rPr>
                <w:rFonts w:ascii="Segoe UI Symbol" w:hAnsi="Segoe UI Symbol" w:cs="Segoe UI Symbol"/>
                <w:sz w:val="18"/>
              </w:rPr>
              <w:t>★</w:t>
            </w:r>
          </w:p>
        </w:tc>
        <w:tc>
          <w:tcPr>
            <w:tcW w:w="1904" w:type="dxa"/>
          </w:tcPr>
          <w:p w14:paraId="390E08A1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6A6DE98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65,2 %</w:t>
            </w:r>
          </w:p>
        </w:tc>
        <w:tc>
          <w:tcPr>
            <w:tcW w:w="1207" w:type="dxa"/>
          </w:tcPr>
          <w:p w14:paraId="15A48CC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0,0 %</w:t>
            </w:r>
          </w:p>
        </w:tc>
        <w:tc>
          <w:tcPr>
            <w:tcW w:w="1207" w:type="dxa"/>
          </w:tcPr>
          <w:p w14:paraId="64B972A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73A85E2C" w14:textId="77777777" w:rsidTr="0028598D">
        <w:trPr>
          <w:jc w:val="center"/>
        </w:trPr>
        <w:tc>
          <w:tcPr>
            <w:tcW w:w="411" w:type="dxa"/>
          </w:tcPr>
          <w:p w14:paraId="599F8A1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15</w:t>
            </w:r>
          </w:p>
        </w:tc>
        <w:tc>
          <w:tcPr>
            <w:tcW w:w="1987" w:type="dxa"/>
          </w:tcPr>
          <w:p w14:paraId="5880ADA1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Aviva</w:t>
            </w:r>
          </w:p>
        </w:tc>
        <w:tc>
          <w:tcPr>
            <w:tcW w:w="1904" w:type="dxa"/>
          </w:tcPr>
          <w:p w14:paraId="5B91D234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0439F12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73,9 %</w:t>
            </w:r>
          </w:p>
        </w:tc>
        <w:tc>
          <w:tcPr>
            <w:tcW w:w="1207" w:type="dxa"/>
          </w:tcPr>
          <w:p w14:paraId="3DE4497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79E3493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15,4 %</w:t>
            </w:r>
          </w:p>
        </w:tc>
      </w:tr>
      <w:tr w:rsidR="00B75518" w:rsidRPr="008D7F34" w14:paraId="7C80C7F3" w14:textId="77777777" w:rsidTr="0028598D">
        <w:trPr>
          <w:jc w:val="center"/>
        </w:trPr>
        <w:tc>
          <w:tcPr>
            <w:tcW w:w="411" w:type="dxa"/>
          </w:tcPr>
          <w:p w14:paraId="1D31A92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16</w:t>
            </w:r>
          </w:p>
        </w:tc>
        <w:tc>
          <w:tcPr>
            <w:tcW w:w="1987" w:type="dxa"/>
          </w:tcPr>
          <w:p w14:paraId="15324D74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Phoenix Group</w:t>
            </w:r>
          </w:p>
        </w:tc>
        <w:tc>
          <w:tcPr>
            <w:tcW w:w="1904" w:type="dxa"/>
          </w:tcPr>
          <w:p w14:paraId="45D2154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2787699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65,2 %</w:t>
            </w:r>
          </w:p>
        </w:tc>
        <w:tc>
          <w:tcPr>
            <w:tcW w:w="1207" w:type="dxa"/>
          </w:tcPr>
          <w:p w14:paraId="10E97D3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6874D6B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15,4 %</w:t>
            </w:r>
          </w:p>
        </w:tc>
      </w:tr>
      <w:tr w:rsidR="00B75518" w:rsidRPr="008D7F34" w14:paraId="07E37E03" w14:textId="77777777" w:rsidTr="0028598D">
        <w:trPr>
          <w:jc w:val="center"/>
        </w:trPr>
        <w:tc>
          <w:tcPr>
            <w:tcW w:w="411" w:type="dxa"/>
          </w:tcPr>
          <w:p w14:paraId="7383A36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17</w:t>
            </w:r>
          </w:p>
        </w:tc>
        <w:tc>
          <w:tcPr>
            <w:tcW w:w="1987" w:type="dxa"/>
          </w:tcPr>
          <w:p w14:paraId="1C214087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Legal &amp; General</w:t>
            </w:r>
          </w:p>
        </w:tc>
        <w:tc>
          <w:tcPr>
            <w:tcW w:w="1904" w:type="dxa"/>
          </w:tcPr>
          <w:p w14:paraId="42B529E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3B143E0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56,5 %</w:t>
            </w:r>
          </w:p>
        </w:tc>
        <w:tc>
          <w:tcPr>
            <w:tcW w:w="1207" w:type="dxa"/>
          </w:tcPr>
          <w:p w14:paraId="129B9F1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77329FA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23,1 %</w:t>
            </w:r>
          </w:p>
        </w:tc>
      </w:tr>
      <w:tr w:rsidR="00B75518" w:rsidRPr="008D7F34" w14:paraId="5D74DCEB" w14:textId="77777777" w:rsidTr="0028598D">
        <w:trPr>
          <w:jc w:val="center"/>
        </w:trPr>
        <w:tc>
          <w:tcPr>
            <w:tcW w:w="411" w:type="dxa"/>
          </w:tcPr>
          <w:p w14:paraId="3D65F99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18</w:t>
            </w:r>
          </w:p>
        </w:tc>
        <w:tc>
          <w:tcPr>
            <w:tcW w:w="1987" w:type="dxa"/>
          </w:tcPr>
          <w:p w14:paraId="0C2571D9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NN Group</w:t>
            </w:r>
          </w:p>
        </w:tc>
        <w:tc>
          <w:tcPr>
            <w:tcW w:w="1904" w:type="dxa"/>
          </w:tcPr>
          <w:p w14:paraId="138D50B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2F5DA5B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56,5 %</w:t>
            </w:r>
          </w:p>
        </w:tc>
        <w:tc>
          <w:tcPr>
            <w:tcW w:w="1207" w:type="dxa"/>
          </w:tcPr>
          <w:p w14:paraId="36AB2A4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5F81ECF6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23,1 %</w:t>
            </w:r>
          </w:p>
        </w:tc>
      </w:tr>
      <w:tr w:rsidR="00B75518" w:rsidRPr="008D7F34" w14:paraId="72EBDA5D" w14:textId="77777777" w:rsidTr="0028598D">
        <w:trPr>
          <w:jc w:val="center"/>
        </w:trPr>
        <w:tc>
          <w:tcPr>
            <w:tcW w:w="411" w:type="dxa"/>
          </w:tcPr>
          <w:p w14:paraId="674C147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19</w:t>
            </w:r>
          </w:p>
        </w:tc>
        <w:tc>
          <w:tcPr>
            <w:tcW w:w="1987" w:type="dxa"/>
          </w:tcPr>
          <w:p w14:paraId="6CB8EA32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Deutsche Börse</w:t>
            </w:r>
          </w:p>
        </w:tc>
        <w:tc>
          <w:tcPr>
            <w:tcW w:w="1904" w:type="dxa"/>
          </w:tcPr>
          <w:p w14:paraId="0CFD746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Bourse</w:t>
            </w:r>
          </w:p>
        </w:tc>
        <w:tc>
          <w:tcPr>
            <w:tcW w:w="1207" w:type="dxa"/>
          </w:tcPr>
          <w:p w14:paraId="72667C96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39,1 %</w:t>
            </w:r>
          </w:p>
        </w:tc>
        <w:tc>
          <w:tcPr>
            <w:tcW w:w="1207" w:type="dxa"/>
          </w:tcPr>
          <w:p w14:paraId="60C66E0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377876E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0AC49FB3" w14:textId="77777777" w:rsidTr="0028598D">
        <w:trPr>
          <w:jc w:val="center"/>
        </w:trPr>
        <w:tc>
          <w:tcPr>
            <w:tcW w:w="411" w:type="dxa"/>
          </w:tcPr>
          <w:p w14:paraId="5D251B9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20</w:t>
            </w:r>
          </w:p>
        </w:tc>
        <w:tc>
          <w:tcPr>
            <w:tcW w:w="1987" w:type="dxa"/>
          </w:tcPr>
          <w:p w14:paraId="73A16392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Eurazeo</w:t>
            </w:r>
          </w:p>
        </w:tc>
        <w:tc>
          <w:tcPr>
            <w:tcW w:w="1904" w:type="dxa"/>
          </w:tcPr>
          <w:p w14:paraId="1175DCD1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Gestionnaire d’actifs</w:t>
            </w:r>
          </w:p>
        </w:tc>
        <w:tc>
          <w:tcPr>
            <w:tcW w:w="1207" w:type="dxa"/>
          </w:tcPr>
          <w:p w14:paraId="71A4EC4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39,1 %</w:t>
            </w:r>
          </w:p>
        </w:tc>
        <w:tc>
          <w:tcPr>
            <w:tcW w:w="1207" w:type="dxa"/>
          </w:tcPr>
          <w:p w14:paraId="5F0A56E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2AB4012E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7917F479" w14:textId="77777777" w:rsidTr="0028598D">
        <w:trPr>
          <w:jc w:val="center"/>
        </w:trPr>
        <w:tc>
          <w:tcPr>
            <w:tcW w:w="411" w:type="dxa"/>
          </w:tcPr>
          <w:p w14:paraId="342F4FB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21</w:t>
            </w:r>
          </w:p>
        </w:tc>
        <w:tc>
          <w:tcPr>
            <w:tcW w:w="1987" w:type="dxa"/>
          </w:tcPr>
          <w:p w14:paraId="161240CE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Admiral Group</w:t>
            </w:r>
          </w:p>
        </w:tc>
        <w:tc>
          <w:tcPr>
            <w:tcW w:w="1904" w:type="dxa"/>
          </w:tcPr>
          <w:p w14:paraId="554CD51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Assurance</w:t>
            </w:r>
          </w:p>
        </w:tc>
        <w:tc>
          <w:tcPr>
            <w:tcW w:w="1207" w:type="dxa"/>
          </w:tcPr>
          <w:p w14:paraId="7F9773F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21,7 %</w:t>
            </w:r>
          </w:p>
        </w:tc>
        <w:tc>
          <w:tcPr>
            <w:tcW w:w="1207" w:type="dxa"/>
          </w:tcPr>
          <w:p w14:paraId="70480BA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16F36EA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53,8 %</w:t>
            </w:r>
          </w:p>
        </w:tc>
      </w:tr>
      <w:tr w:rsidR="00B75518" w:rsidRPr="008D7F34" w14:paraId="69E42E68" w14:textId="77777777" w:rsidTr="0028598D">
        <w:trPr>
          <w:jc w:val="center"/>
        </w:trPr>
        <w:tc>
          <w:tcPr>
            <w:tcW w:w="411" w:type="dxa"/>
          </w:tcPr>
          <w:p w14:paraId="270AC1A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lastRenderedPageBreak/>
              <w:t>22</w:t>
            </w:r>
          </w:p>
        </w:tc>
        <w:tc>
          <w:tcPr>
            <w:tcW w:w="1987" w:type="dxa"/>
          </w:tcPr>
          <w:p w14:paraId="62B46C66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GBL</w:t>
            </w:r>
          </w:p>
        </w:tc>
        <w:tc>
          <w:tcPr>
            <w:tcW w:w="1904" w:type="dxa"/>
          </w:tcPr>
          <w:p w14:paraId="3EAF767F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Holding d’investissements</w:t>
            </w:r>
          </w:p>
        </w:tc>
        <w:tc>
          <w:tcPr>
            <w:tcW w:w="1207" w:type="dxa"/>
          </w:tcPr>
          <w:p w14:paraId="6C61C020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34,8 %</w:t>
            </w:r>
          </w:p>
        </w:tc>
        <w:tc>
          <w:tcPr>
            <w:tcW w:w="1207" w:type="dxa"/>
          </w:tcPr>
          <w:p w14:paraId="7D146B3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1362ADF3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59DC6474" w14:textId="77777777" w:rsidTr="0028598D">
        <w:trPr>
          <w:jc w:val="center"/>
        </w:trPr>
        <w:tc>
          <w:tcPr>
            <w:tcW w:w="411" w:type="dxa"/>
          </w:tcPr>
          <w:p w14:paraId="71D5372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23</w:t>
            </w:r>
          </w:p>
        </w:tc>
        <w:tc>
          <w:tcPr>
            <w:tcW w:w="1987" w:type="dxa"/>
          </w:tcPr>
          <w:p w14:paraId="1BB1B82D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Société Générale</w:t>
            </w:r>
          </w:p>
        </w:tc>
        <w:tc>
          <w:tcPr>
            <w:tcW w:w="1904" w:type="dxa"/>
          </w:tcPr>
          <w:p w14:paraId="0BF3442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0E897F28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30,4 %</w:t>
            </w:r>
          </w:p>
        </w:tc>
        <w:tc>
          <w:tcPr>
            <w:tcW w:w="1207" w:type="dxa"/>
          </w:tcPr>
          <w:p w14:paraId="4BDFDAD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30,8 %</w:t>
            </w:r>
          </w:p>
        </w:tc>
        <w:tc>
          <w:tcPr>
            <w:tcW w:w="1207" w:type="dxa"/>
          </w:tcPr>
          <w:p w14:paraId="65DBB54F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4939E963" w14:textId="77777777" w:rsidTr="0028598D">
        <w:trPr>
          <w:jc w:val="center"/>
        </w:trPr>
        <w:tc>
          <w:tcPr>
            <w:tcW w:w="411" w:type="dxa"/>
          </w:tcPr>
          <w:p w14:paraId="7706A21C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24</w:t>
            </w:r>
          </w:p>
        </w:tc>
        <w:tc>
          <w:tcPr>
            <w:tcW w:w="1987" w:type="dxa"/>
          </w:tcPr>
          <w:p w14:paraId="5486028F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Crédit Agricole</w:t>
            </w:r>
          </w:p>
        </w:tc>
        <w:tc>
          <w:tcPr>
            <w:tcW w:w="1904" w:type="dxa"/>
          </w:tcPr>
          <w:p w14:paraId="341D017D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Banque</w:t>
            </w:r>
          </w:p>
        </w:tc>
        <w:tc>
          <w:tcPr>
            <w:tcW w:w="1207" w:type="dxa"/>
          </w:tcPr>
          <w:p w14:paraId="57CEF492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30,4 %</w:t>
            </w:r>
          </w:p>
        </w:tc>
        <w:tc>
          <w:tcPr>
            <w:tcW w:w="1207" w:type="dxa"/>
          </w:tcPr>
          <w:p w14:paraId="39896EE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23,1 %</w:t>
            </w:r>
          </w:p>
        </w:tc>
        <w:tc>
          <w:tcPr>
            <w:tcW w:w="1207" w:type="dxa"/>
          </w:tcPr>
          <w:p w14:paraId="6870D3B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  <w:tr w:rsidR="00B75518" w:rsidRPr="008D7F34" w14:paraId="2C1BA6C4" w14:textId="77777777" w:rsidTr="0028598D">
        <w:trPr>
          <w:jc w:val="center"/>
        </w:trPr>
        <w:tc>
          <w:tcPr>
            <w:tcW w:w="411" w:type="dxa"/>
          </w:tcPr>
          <w:p w14:paraId="4DBB545B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25</w:t>
            </w:r>
          </w:p>
        </w:tc>
        <w:tc>
          <w:tcPr>
            <w:tcW w:w="1987" w:type="dxa"/>
          </w:tcPr>
          <w:p w14:paraId="269FF549" w14:textId="77777777" w:rsidR="00B75518" w:rsidRPr="008D7F34" w:rsidRDefault="00B75518" w:rsidP="00A13327">
            <w:pPr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Amundi</w:t>
            </w:r>
          </w:p>
        </w:tc>
        <w:tc>
          <w:tcPr>
            <w:tcW w:w="1904" w:type="dxa"/>
          </w:tcPr>
          <w:p w14:paraId="6191BD45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Gestionnaire d’actifs</w:t>
            </w:r>
          </w:p>
        </w:tc>
        <w:tc>
          <w:tcPr>
            <w:tcW w:w="1207" w:type="dxa"/>
          </w:tcPr>
          <w:p w14:paraId="2F16F269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13,0 %</w:t>
            </w:r>
          </w:p>
        </w:tc>
        <w:tc>
          <w:tcPr>
            <w:tcW w:w="1207" w:type="dxa"/>
          </w:tcPr>
          <w:p w14:paraId="1E5E60AA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  <w:tc>
          <w:tcPr>
            <w:tcW w:w="1207" w:type="dxa"/>
          </w:tcPr>
          <w:p w14:paraId="25AF2E47" w14:textId="77777777" w:rsidR="00B75518" w:rsidRPr="008D7F34" w:rsidRDefault="00B75518" w:rsidP="00A13327">
            <w:pPr>
              <w:jc w:val="center"/>
              <w:rPr>
                <w:rFonts w:ascii="Segoe UI" w:hAnsi="Segoe UI" w:cs="Segoe UI"/>
              </w:rPr>
            </w:pPr>
            <w:r w:rsidRPr="008D7F34">
              <w:rPr>
                <w:rFonts w:ascii="Segoe UI" w:hAnsi="Segoe UI" w:cs="Segoe UI"/>
                <w:sz w:val="18"/>
              </w:rPr>
              <w:t>N/A</w:t>
            </w:r>
          </w:p>
        </w:tc>
      </w:tr>
    </w:tbl>
    <w:p w14:paraId="5C96A878" w14:textId="77777777" w:rsidR="0028598D" w:rsidRPr="008D7F34" w:rsidRDefault="0028598D" w:rsidP="0028598D">
      <w:pPr>
        <w:rPr>
          <w:rFonts w:ascii="Segoe UI Symbol" w:hAnsi="Segoe UI Symbol" w:cs="Segoe UI Symbol"/>
          <w:sz w:val="16"/>
        </w:rPr>
      </w:pPr>
    </w:p>
    <w:p w14:paraId="614924F8" w14:textId="4538BA44" w:rsidR="00B471D4" w:rsidRPr="00B471D4" w:rsidRDefault="00B471D4" w:rsidP="00B471D4">
      <w:pPr>
        <w:spacing w:before="100" w:beforeAutospacing="1" w:after="100" w:afterAutospacing="1"/>
        <w:rPr>
          <w:rFonts w:ascii="Segoe UI" w:hAnsi="Segoe UI" w:cs="Segoe UI"/>
          <w:color w:val="000000"/>
          <w:sz w:val="21"/>
          <w:szCs w:val="21"/>
        </w:rPr>
      </w:pPr>
      <w:r w:rsidRPr="00C424BF">
        <w:rPr>
          <w:rFonts w:ascii="Segoe UI" w:hAnsi="Segoe UI" w:cs="Segoe UI"/>
          <w:color w:val="000000"/>
          <w:sz w:val="21"/>
          <w:szCs w:val="21"/>
        </w:rPr>
        <w:sym w:font="Wingdings" w:char="F0E0"/>
      </w:r>
      <w:r w:rsidRPr="00C424BF">
        <w:rPr>
          <w:rFonts w:ascii="Segoe UI" w:hAnsi="Segoe UI" w:cs="Segoe UI"/>
          <w:color w:val="000000"/>
          <w:sz w:val="21"/>
          <w:szCs w:val="21"/>
        </w:rPr>
        <w:t xml:space="preserve"> Nous choisirons ensuite des pondérations pour chaque type d’institution.</w:t>
      </w:r>
    </w:p>
    <w:p w14:paraId="5C8C541C" w14:textId="02D536BC" w:rsidR="00B471D4" w:rsidRPr="00B471D4" w:rsidRDefault="00B471D4" w:rsidP="00B471D4">
      <w:pPr>
        <w:rPr>
          <w:rFonts w:ascii="Segoe UI" w:hAnsi="Segoe UI" w:cs="Segoe UI"/>
          <w:sz w:val="21"/>
          <w:szCs w:val="21"/>
        </w:rPr>
      </w:pPr>
    </w:p>
    <w:p w14:paraId="4B9F5224" w14:textId="77777777" w:rsidR="00616C93" w:rsidRDefault="00616C93"/>
    <w:sectPr w:rsidR="00616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659"/>
    <w:multiLevelType w:val="multilevel"/>
    <w:tmpl w:val="A140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005"/>
    <w:multiLevelType w:val="multilevel"/>
    <w:tmpl w:val="678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748"/>
    <w:multiLevelType w:val="multilevel"/>
    <w:tmpl w:val="8CF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BD9"/>
    <w:multiLevelType w:val="multilevel"/>
    <w:tmpl w:val="174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378FB"/>
    <w:multiLevelType w:val="multilevel"/>
    <w:tmpl w:val="246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9323D"/>
    <w:multiLevelType w:val="multilevel"/>
    <w:tmpl w:val="11A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12A1"/>
    <w:multiLevelType w:val="multilevel"/>
    <w:tmpl w:val="DA2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1C0D"/>
    <w:multiLevelType w:val="multilevel"/>
    <w:tmpl w:val="CEE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102D4"/>
    <w:multiLevelType w:val="multilevel"/>
    <w:tmpl w:val="621E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62F15"/>
    <w:multiLevelType w:val="multilevel"/>
    <w:tmpl w:val="C9F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D57F1"/>
    <w:multiLevelType w:val="multilevel"/>
    <w:tmpl w:val="E0F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4F47"/>
    <w:multiLevelType w:val="multilevel"/>
    <w:tmpl w:val="2AA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17A90"/>
    <w:multiLevelType w:val="multilevel"/>
    <w:tmpl w:val="8D7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00FF3"/>
    <w:multiLevelType w:val="multilevel"/>
    <w:tmpl w:val="1D3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B57F8"/>
    <w:multiLevelType w:val="multilevel"/>
    <w:tmpl w:val="09E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05531"/>
    <w:multiLevelType w:val="multilevel"/>
    <w:tmpl w:val="06D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75762"/>
    <w:multiLevelType w:val="multilevel"/>
    <w:tmpl w:val="439E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3904AF"/>
    <w:multiLevelType w:val="multilevel"/>
    <w:tmpl w:val="A11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30ADF"/>
    <w:multiLevelType w:val="multilevel"/>
    <w:tmpl w:val="656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A518F"/>
    <w:multiLevelType w:val="multilevel"/>
    <w:tmpl w:val="44D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4161E"/>
    <w:multiLevelType w:val="multilevel"/>
    <w:tmpl w:val="830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431FA"/>
    <w:multiLevelType w:val="multilevel"/>
    <w:tmpl w:val="11E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04F19"/>
    <w:multiLevelType w:val="multilevel"/>
    <w:tmpl w:val="961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51B2F"/>
    <w:multiLevelType w:val="multilevel"/>
    <w:tmpl w:val="FF4A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236749">
    <w:abstractNumId w:val="16"/>
  </w:num>
  <w:num w:numId="2" w16cid:durableId="1300307516">
    <w:abstractNumId w:val="12"/>
  </w:num>
  <w:num w:numId="3" w16cid:durableId="307518263">
    <w:abstractNumId w:val="1"/>
  </w:num>
  <w:num w:numId="4" w16cid:durableId="1857499959">
    <w:abstractNumId w:val="4"/>
  </w:num>
  <w:num w:numId="5" w16cid:durableId="962272513">
    <w:abstractNumId w:val="23"/>
  </w:num>
  <w:num w:numId="6" w16cid:durableId="1601403652">
    <w:abstractNumId w:val="2"/>
  </w:num>
  <w:num w:numId="7" w16cid:durableId="707337772">
    <w:abstractNumId w:val="8"/>
  </w:num>
  <w:num w:numId="8" w16cid:durableId="1472867781">
    <w:abstractNumId w:val="14"/>
  </w:num>
  <w:num w:numId="9" w16cid:durableId="1665814578">
    <w:abstractNumId w:val="21"/>
  </w:num>
  <w:num w:numId="10" w16cid:durableId="1315378008">
    <w:abstractNumId w:val="20"/>
  </w:num>
  <w:num w:numId="11" w16cid:durableId="1724331991">
    <w:abstractNumId w:val="10"/>
  </w:num>
  <w:num w:numId="12" w16cid:durableId="1616714984">
    <w:abstractNumId w:val="18"/>
  </w:num>
  <w:num w:numId="13" w16cid:durableId="1866089666">
    <w:abstractNumId w:val="7"/>
  </w:num>
  <w:num w:numId="14" w16cid:durableId="15427861">
    <w:abstractNumId w:val="0"/>
  </w:num>
  <w:num w:numId="15" w16cid:durableId="2361441">
    <w:abstractNumId w:val="11"/>
  </w:num>
  <w:num w:numId="16" w16cid:durableId="2140880802">
    <w:abstractNumId w:val="6"/>
  </w:num>
  <w:num w:numId="17" w16cid:durableId="1298728445">
    <w:abstractNumId w:val="15"/>
  </w:num>
  <w:num w:numId="18" w16cid:durableId="2001107756">
    <w:abstractNumId w:val="22"/>
  </w:num>
  <w:num w:numId="19" w16cid:durableId="239796459">
    <w:abstractNumId w:val="3"/>
  </w:num>
  <w:num w:numId="20" w16cid:durableId="1979142474">
    <w:abstractNumId w:val="17"/>
  </w:num>
  <w:num w:numId="21" w16cid:durableId="1846893812">
    <w:abstractNumId w:val="13"/>
  </w:num>
  <w:num w:numId="22" w16cid:durableId="2003392014">
    <w:abstractNumId w:val="19"/>
  </w:num>
  <w:num w:numId="23" w16cid:durableId="129789463">
    <w:abstractNumId w:val="5"/>
  </w:num>
  <w:num w:numId="24" w16cid:durableId="645167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D4"/>
    <w:rsid w:val="00086062"/>
    <w:rsid w:val="000B4A9F"/>
    <w:rsid w:val="00113403"/>
    <w:rsid w:val="0027560B"/>
    <w:rsid w:val="0028598D"/>
    <w:rsid w:val="00336B6F"/>
    <w:rsid w:val="003440D1"/>
    <w:rsid w:val="003B6215"/>
    <w:rsid w:val="00487C80"/>
    <w:rsid w:val="004E61A6"/>
    <w:rsid w:val="005B7EF0"/>
    <w:rsid w:val="00616C93"/>
    <w:rsid w:val="00677FB4"/>
    <w:rsid w:val="006D768D"/>
    <w:rsid w:val="008D7F34"/>
    <w:rsid w:val="009D0843"/>
    <w:rsid w:val="009E2364"/>
    <w:rsid w:val="00B471D4"/>
    <w:rsid w:val="00B75518"/>
    <w:rsid w:val="00BA21E0"/>
    <w:rsid w:val="00BC599E"/>
    <w:rsid w:val="00BE0A46"/>
    <w:rsid w:val="00C424BF"/>
    <w:rsid w:val="00C90746"/>
    <w:rsid w:val="00CF2247"/>
    <w:rsid w:val="00E84350"/>
    <w:rsid w:val="00F247B8"/>
    <w:rsid w:val="00F45EED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CE21BBB"/>
  <w15:chartTrackingRefBased/>
  <w15:docId w15:val="{66AA4B4B-DCA5-ED49-BCA1-FE21E8CD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BF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471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71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471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71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1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1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1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1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1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4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4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471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1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1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1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1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1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1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4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1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4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1D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471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1D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471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1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1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71D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B471D4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B471D4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B471D4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471D4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47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71D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B471D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B471D4"/>
  </w:style>
  <w:style w:type="character" w:customStyle="1" w:styleId="hljs-comment">
    <w:name w:val="hljs-comment"/>
    <w:basedOn w:val="Policepardfaut"/>
    <w:rsid w:val="00B471D4"/>
  </w:style>
  <w:style w:type="character" w:customStyle="1" w:styleId="hljs-string">
    <w:name w:val="hljs-string"/>
    <w:basedOn w:val="Policepardfaut"/>
    <w:rsid w:val="00B471D4"/>
  </w:style>
  <w:style w:type="character" w:customStyle="1" w:styleId="hljs-number">
    <w:name w:val="hljs-number"/>
    <w:basedOn w:val="Policepardfaut"/>
    <w:rsid w:val="00B471D4"/>
  </w:style>
  <w:style w:type="character" w:customStyle="1" w:styleId="hljs-function">
    <w:name w:val="hljs-function"/>
    <w:basedOn w:val="Policepardfaut"/>
    <w:rsid w:val="00B471D4"/>
  </w:style>
  <w:style w:type="character" w:customStyle="1" w:styleId="hljs-title">
    <w:name w:val="hljs-title"/>
    <w:basedOn w:val="Policepardfaut"/>
    <w:rsid w:val="00B471D4"/>
  </w:style>
  <w:style w:type="character" w:customStyle="1" w:styleId="hljs-params">
    <w:name w:val="hljs-params"/>
    <w:basedOn w:val="Policepardfaut"/>
    <w:rsid w:val="00B471D4"/>
  </w:style>
  <w:style w:type="character" w:customStyle="1" w:styleId="hljs-subst">
    <w:name w:val="hljs-subst"/>
    <w:basedOn w:val="Policepardfaut"/>
    <w:rsid w:val="00B471D4"/>
  </w:style>
  <w:style w:type="character" w:customStyle="1" w:styleId="hljs-literal">
    <w:name w:val="hljs-literal"/>
    <w:basedOn w:val="Policepardfaut"/>
    <w:rsid w:val="00B471D4"/>
  </w:style>
  <w:style w:type="table" w:styleId="Grilledutableau">
    <w:name w:val="Table Grid"/>
    <w:basedOn w:val="TableauNormal"/>
    <w:uiPriority w:val="59"/>
    <w:rsid w:val="00B4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1471</Words>
  <Characters>8095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Andreu</dc:creator>
  <cp:keywords/>
  <dc:description/>
  <cp:lastModifiedBy>LARRA Eddy-Pierre (CF/CMCL)</cp:lastModifiedBy>
  <cp:revision>19</cp:revision>
  <cp:lastPrinted>2026-03-19T12:39:00Z</cp:lastPrinted>
  <dcterms:created xsi:type="dcterms:W3CDTF">2026-03-19T17:36:00Z</dcterms:created>
  <dcterms:modified xsi:type="dcterms:W3CDTF">2026-03-23T10:13:00Z</dcterms:modified>
</cp:coreProperties>
</file>