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0A6C9" w14:textId="64D216DB" w:rsidR="003D618F" w:rsidRPr="002F706D" w:rsidRDefault="00CB011A">
      <w:pPr>
        <w:pStyle w:val="Titre1"/>
        <w:rPr>
          <w:color w:val="FFC000"/>
        </w:rPr>
      </w:pPr>
      <w:bookmarkStart w:id="0" w:name="glossaire-pcaf-v2-pcaf-v2-glossary"/>
      <w:r w:rsidRPr="002F706D">
        <w:rPr>
          <w:color w:val="FFC000"/>
        </w:rPr>
        <w:t>Glossaire PCAF®</w:t>
      </w:r>
      <w:r w:rsidRPr="002F706D">
        <w:rPr>
          <w:color w:val="FFC000"/>
        </w:rPr>
        <w:t xml:space="preserve"> · PCAF® </w:t>
      </w:r>
      <w:r w:rsidRPr="002F706D">
        <w:rPr>
          <w:color w:val="FFC000"/>
        </w:rPr>
        <w:t>Glossary</w:t>
      </w:r>
    </w:p>
    <w:p w14:paraId="7980A6CA" w14:textId="2EEA5BBB" w:rsidR="003D618F" w:rsidRDefault="00CB011A">
      <w:pPr>
        <w:pStyle w:val="Normalcentr"/>
      </w:pPr>
      <w:r>
        <w:t xml:space="preserve">Version 2.0 · </w:t>
      </w:r>
      <w:r w:rsidR="00A727B8">
        <w:t>23 m</w:t>
      </w:r>
      <w:r>
        <w:t>ars 2026</w:t>
      </w:r>
      <w:r>
        <w:br/>
        <w:t>Les traductions</w:t>
      </w:r>
      <w:r w:rsidR="00766743">
        <w:t xml:space="preserve"> professionnelles</w:t>
      </w:r>
      <w:r>
        <w:t xml:space="preserve"> sont issues de la mémoire de traduction du projet (</w:t>
      </w:r>
      <w:r>
        <w:rPr>
          <w:rStyle w:val="VerbatimChar"/>
        </w:rPr>
        <w:t>translation/tm/pcaf-compliance.tmx</w:t>
      </w:r>
      <w:r>
        <w:t>).</w:t>
      </w:r>
      <w:r>
        <w:br/>
      </w:r>
      <w:r w:rsidR="000E0E83">
        <w:rPr>
          <w:i/>
          <w:iCs/>
        </w:rPr>
        <w:t>Professional t</w:t>
      </w:r>
      <w:r>
        <w:rPr>
          <w:i/>
          <w:iCs/>
        </w:rPr>
        <w:t>ranslations sourced from the project translation memory (</w:t>
      </w:r>
      <w:r>
        <w:rPr>
          <w:rStyle w:val="VerbatimChar"/>
          <w:i/>
          <w:iCs/>
        </w:rPr>
        <w:t>translation/tm/pcaf-compliance.tmx</w:t>
      </w:r>
      <w:r>
        <w:rPr>
          <w:i/>
          <w:iCs/>
        </w:rPr>
        <w:t>).</w:t>
      </w:r>
    </w:p>
    <w:p w14:paraId="7980A6CB" w14:textId="77777777" w:rsidR="003D618F" w:rsidRDefault="00CB011A">
      <w:r>
        <w:rPr>
          <w:noProof/>
        </w:rPr>
      </w:r>
      <w:r>
        <w:pict w14:anchorId="638E0EDA">
          <v:rect id="Horizontal Line 1" o:spid="_x0000_s1055"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CC" w14:textId="77777777" w:rsidR="003D618F" w:rsidRPr="002F706D" w:rsidRDefault="00CB011A">
      <w:pPr>
        <w:pStyle w:val="Titre2"/>
        <w:rPr>
          <w:color w:val="FFC000"/>
        </w:rPr>
      </w:pPr>
      <w:bookmarkStart w:id="1" w:name="termes-généraux-general-terms"/>
      <w:r w:rsidRPr="002F706D">
        <w:rPr>
          <w:color w:val="FFC000"/>
        </w:rPr>
        <w:t>Termes généraux / General terms</w:t>
      </w:r>
    </w:p>
    <w:p w14:paraId="7980A6CD" w14:textId="5FA24FF5" w:rsidR="003D618F" w:rsidRDefault="00CB011A">
      <w:pPr>
        <w:pStyle w:val="FirstParagraph"/>
      </w:pPr>
      <w:r>
        <w:rPr>
          <w:b/>
          <w:bCs/>
        </w:rPr>
        <w:t xml:space="preserve">1. PCAF® </w:t>
      </w:r>
      <w:r w:rsidR="00B82581">
        <w:rPr>
          <w:b/>
          <w:bCs/>
        </w:rPr>
        <w:t>–</w:t>
      </w:r>
      <w:r>
        <w:rPr>
          <w:b/>
          <w:bCs/>
        </w:rPr>
        <w:t xml:space="preserve"> Partnership for Carbon Accounting Financials</w:t>
      </w:r>
      <w:r>
        <w:br/>
        <w:t>Initiative mondiale qui établit une norme de comptabilisation et de publication des émissions de gaz à effet de serre financées, facilitées et liées à l’assurance pour les institutions financières.</w:t>
      </w:r>
      <w:r>
        <w:br/>
      </w:r>
      <w:r>
        <w:rPr>
          <w:i/>
          <w:iCs/>
        </w:rPr>
        <w:t>Global initiative setting a standard for measuring and disclosing financed, facilitated and insurance-associated GHG emissions for financial institutions.</w:t>
      </w:r>
    </w:p>
    <w:p w14:paraId="7980A6CE" w14:textId="77777777" w:rsidR="003D618F" w:rsidRDefault="00CB011A">
      <w:r>
        <w:rPr>
          <w:noProof/>
        </w:rPr>
      </w:r>
      <w:r>
        <w:pict w14:anchorId="749DEF6E">
          <v:rect id="Horizontal Line 2" o:spid="_x0000_s1054"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CF" w14:textId="7E1D507A" w:rsidR="003D618F" w:rsidRDefault="00CB011A">
      <w:pPr>
        <w:pStyle w:val="FirstParagraph"/>
      </w:pPr>
      <w:r>
        <w:rPr>
          <w:b/>
          <w:bCs/>
        </w:rPr>
        <w:t xml:space="preserve">2. Émissions financées </w:t>
      </w:r>
      <w:r w:rsidR="00B82581">
        <w:rPr>
          <w:b/>
          <w:bCs/>
        </w:rPr>
        <w:t>–</w:t>
      </w:r>
      <w:r>
        <w:rPr>
          <w:b/>
          <w:bCs/>
        </w:rPr>
        <w:t xml:space="preserve"> Financed emissions</w:t>
      </w:r>
      <w:r>
        <w:br/>
        <w:t>Émissions de gaz à effet de serre (scopes 1, 2 et 3) attribuables aux prêts et investissements d’une institution financière dans son portefeuille (Partie A · Scope 3, catégorie 15).</w:t>
      </w:r>
      <w:r>
        <w:br/>
      </w:r>
      <w:r>
        <w:rPr>
          <w:i/>
          <w:iCs/>
        </w:rPr>
        <w:t>GHG emissions (scopes 1, 2 and 3) attributable to a financial institution’s loans and investments (Part A · Scope 3, category 15).</w:t>
      </w:r>
    </w:p>
    <w:p w14:paraId="7980A6D0" w14:textId="77777777" w:rsidR="003D618F" w:rsidRDefault="00CB011A">
      <w:r>
        <w:rPr>
          <w:noProof/>
        </w:rPr>
      </w:r>
      <w:r>
        <w:pict w14:anchorId="7F65E56A">
          <v:rect id="Horizontal Line 3" o:spid="_x0000_s1053"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D1" w14:textId="6FC6C684" w:rsidR="003D618F" w:rsidRDefault="00CB011A">
      <w:pPr>
        <w:pStyle w:val="FirstParagraph"/>
      </w:pPr>
      <w:r>
        <w:rPr>
          <w:b/>
          <w:bCs/>
        </w:rPr>
        <w:t xml:space="preserve">3. Émissions facilitées </w:t>
      </w:r>
      <w:r w:rsidR="00B82581">
        <w:rPr>
          <w:b/>
          <w:bCs/>
        </w:rPr>
        <w:t>–</w:t>
      </w:r>
      <w:r>
        <w:rPr>
          <w:b/>
          <w:bCs/>
        </w:rPr>
        <w:t xml:space="preserve"> Facilitated emissions</w:t>
      </w:r>
      <w:r>
        <w:br/>
        <w:t>Émissions attribuables aux activités d’émission sur les marchés des capitaux (marché primaire). Applicable aux banques uniquement (Partie B).</w:t>
      </w:r>
      <w:r>
        <w:br/>
      </w:r>
      <w:r>
        <w:rPr>
          <w:i/>
          <w:iCs/>
        </w:rPr>
        <w:t>Emissions attributable to capital market issuance activities (primary market). Applicable to banks only (Part B).</w:t>
      </w:r>
    </w:p>
    <w:p w14:paraId="7980A6D2" w14:textId="77777777" w:rsidR="003D618F" w:rsidRDefault="00CB011A">
      <w:r>
        <w:rPr>
          <w:noProof/>
        </w:rPr>
      </w:r>
      <w:r>
        <w:pict w14:anchorId="2B9B8935">
          <v:rect id="Horizontal Line 4" o:spid="_x0000_s1052"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D3" w14:textId="0DDFF141" w:rsidR="003D618F" w:rsidRDefault="00CB011A">
      <w:pPr>
        <w:pStyle w:val="FirstParagraph"/>
      </w:pPr>
      <w:r>
        <w:rPr>
          <w:b/>
          <w:bCs/>
        </w:rPr>
        <w:t xml:space="preserve">4. Émissions liées à l’assurance </w:t>
      </w:r>
      <w:r w:rsidR="00B82581">
        <w:rPr>
          <w:b/>
          <w:bCs/>
        </w:rPr>
        <w:t>–</w:t>
      </w:r>
      <w:r>
        <w:rPr>
          <w:b/>
          <w:bCs/>
        </w:rPr>
        <w:t xml:space="preserve"> Insurance-associated emissions</w:t>
      </w:r>
      <w:r>
        <w:br/>
        <w:t>Émissions attribuables aux activités de ré/assurance et de souscription d’assurance (Partie C).</w:t>
      </w:r>
      <w:r>
        <w:br/>
      </w:r>
      <w:r>
        <w:rPr>
          <w:i/>
          <w:iCs/>
        </w:rPr>
        <w:t>Emissions attributable to re/insurance and underwriting activities (Part C).</w:t>
      </w:r>
    </w:p>
    <w:p w14:paraId="7980A6D4" w14:textId="77777777" w:rsidR="003D618F" w:rsidRDefault="00CB011A">
      <w:r>
        <w:rPr>
          <w:noProof/>
        </w:rPr>
      </w:r>
      <w:r>
        <w:pict w14:anchorId="09E71A71">
          <v:rect id="Horizontal Line 5" o:spid="_x0000_s1051"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D5" w14:textId="5051236E" w:rsidR="003D618F" w:rsidRDefault="00CB011A">
      <w:pPr>
        <w:pStyle w:val="FirstParagraph"/>
      </w:pPr>
      <w:r>
        <w:rPr>
          <w:b/>
          <w:bCs/>
        </w:rPr>
        <w:lastRenderedPageBreak/>
        <w:t xml:space="preserve">5. Signataire PCAF® </w:t>
      </w:r>
      <w:r w:rsidR="00B82581">
        <w:rPr>
          <w:b/>
          <w:bCs/>
        </w:rPr>
        <w:t>–</w:t>
      </w:r>
      <w:r>
        <w:rPr>
          <w:b/>
          <w:bCs/>
        </w:rPr>
        <w:t xml:space="preserve"> PCAF signatory</w:t>
      </w:r>
      <w:r>
        <w:br/>
        <w:t>Institution financière ayant officiellement adhéré à la norme PCAF® et s’étant engagée à mesurer et publier ses émissions financées conformément au standard.</w:t>
      </w:r>
      <w:r>
        <w:br/>
      </w:r>
      <w:r>
        <w:rPr>
          <w:i/>
          <w:iCs/>
        </w:rPr>
        <w:t>Financial institution that has officially joined the PCAF® standard and committed to measuring and reporting its financed emissions in line with it.</w:t>
      </w:r>
    </w:p>
    <w:p w14:paraId="7980A6D6" w14:textId="77777777" w:rsidR="003D618F" w:rsidRDefault="00CB011A">
      <w:r>
        <w:rPr>
          <w:noProof/>
        </w:rPr>
      </w:r>
      <w:r>
        <w:pict w14:anchorId="4E8E9F2C">
          <v:rect id="Horizontal Line 6" o:spid="_x0000_s1050"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D7" w14:textId="65EB2463" w:rsidR="003D618F" w:rsidRDefault="00CB011A">
      <w:pPr>
        <w:pStyle w:val="FirstParagraph"/>
      </w:pPr>
      <w:r>
        <w:rPr>
          <w:b/>
          <w:bCs/>
        </w:rPr>
        <w:t xml:space="preserve">6. Data Quality Score (DQS) </w:t>
      </w:r>
      <w:r w:rsidR="00B82581">
        <w:rPr>
          <w:b/>
          <w:bCs/>
        </w:rPr>
        <w:t>–</w:t>
      </w:r>
      <w:r>
        <w:rPr>
          <w:b/>
          <w:bCs/>
        </w:rPr>
        <w:t xml:space="preserve"> Score de qualité des données</w:t>
      </w:r>
      <w:r>
        <w:br/>
        <w:t>Score PCAF® mesurant la qualité des données utilisées pour calculer les émissions financées. Échelle de 1 (données vérifiées, meilleure qualité) à 5 (données indirectes/estimées, qualité la plus faible). PCAF® recommande de viser un DQS du portefeuille ≤ 2,5.</w:t>
      </w:r>
      <w:r>
        <w:br/>
      </w:r>
      <w:r>
        <w:rPr>
          <w:i/>
          <w:iCs/>
        </w:rPr>
        <w:t>PCAF® score measuring the quality of data used to calculate financed emissions. Scale from 1 (verified, best) to 5 (proxy/estimated, weakest). PCAF® recommends targeting a portfolio DQS ≤ 2.5.</w:t>
      </w:r>
    </w:p>
    <w:p w14:paraId="7980A6D8" w14:textId="77777777" w:rsidR="003D618F" w:rsidRDefault="00CB011A">
      <w:r>
        <w:rPr>
          <w:noProof/>
        </w:rPr>
      </w:r>
      <w:r>
        <w:pict w14:anchorId="445EC76C">
          <v:rect id="Horizontal Line 7" o:spid="_x0000_s1049"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D9" w14:textId="10DF6887" w:rsidR="003D618F" w:rsidRDefault="00CB011A">
      <w:pPr>
        <w:pStyle w:val="FirstParagraph"/>
      </w:pPr>
      <w:r>
        <w:rPr>
          <w:b/>
          <w:bCs/>
        </w:rPr>
        <w:t xml:space="preserve">7. Méthode d’attribution </w:t>
      </w:r>
      <w:r w:rsidR="00B82581">
        <w:rPr>
          <w:b/>
          <w:bCs/>
        </w:rPr>
        <w:t>–</w:t>
      </w:r>
      <w:r>
        <w:rPr>
          <w:b/>
          <w:bCs/>
        </w:rPr>
        <w:t xml:space="preserve"> Attribution methodology</w:t>
      </w:r>
      <w:r>
        <w:br/>
        <w:t>Méthode de calcul permettant d’attribuer une part des émissions d’un emprunteur/émetteur à l’institution financière, proportionnellement à son exposition financière.</w:t>
      </w:r>
      <w:r>
        <w:br/>
      </w:r>
      <w:r>
        <w:rPr>
          <w:i/>
          <w:iCs/>
        </w:rPr>
        <w:t>Calculation method used to attribute a share of a borrower’s/issuer’s emissions to the financial institution, proportionate to its financial exposure.</w:t>
      </w:r>
    </w:p>
    <w:p w14:paraId="7980A6DA" w14:textId="77777777" w:rsidR="003D618F" w:rsidRDefault="00CB011A">
      <w:r>
        <w:rPr>
          <w:noProof/>
        </w:rPr>
      </w:r>
      <w:r>
        <w:pict w14:anchorId="03398698">
          <v:rect id="Horizontal Line 8" o:spid="_x0000_s1048"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DB" w14:textId="247B915F" w:rsidR="003D618F" w:rsidRDefault="00CB011A">
      <w:pPr>
        <w:pStyle w:val="FirstParagraph"/>
      </w:pPr>
      <w:r>
        <w:rPr>
          <w:b/>
          <w:bCs/>
        </w:rPr>
        <w:t xml:space="preserve">8. Couverture du portefeuille </w:t>
      </w:r>
      <w:r w:rsidR="00B82581">
        <w:rPr>
          <w:b/>
          <w:bCs/>
        </w:rPr>
        <w:t>–</w:t>
      </w:r>
      <w:r>
        <w:rPr>
          <w:b/>
          <w:bCs/>
        </w:rPr>
        <w:t xml:space="preserve"> Portfolio coverage</w:t>
      </w:r>
      <w:r>
        <w:br/>
        <w:t>Pourcentage des actifs sous gestion (AsG) ou des prêts pour lesquels des données d’émissions ont été intégrées dans le calcul.</w:t>
      </w:r>
      <w:r>
        <w:br/>
      </w:r>
      <w:r>
        <w:rPr>
          <w:i/>
          <w:iCs/>
        </w:rPr>
        <w:t>Percentage of assets under management (AuM) or loans for which emissions data has been incorporated in the calculation.</w:t>
      </w:r>
    </w:p>
    <w:p w14:paraId="7980A6DC" w14:textId="77777777" w:rsidR="003D618F" w:rsidRDefault="00CB011A">
      <w:r>
        <w:rPr>
          <w:noProof/>
        </w:rPr>
      </w:r>
      <w:r>
        <w:pict w14:anchorId="0A2ED396">
          <v:rect id="Horizontal Line 9" o:spid="_x0000_s1047"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DD" w14:textId="06DCCA28" w:rsidR="003D618F" w:rsidRDefault="00CB011A">
      <w:pPr>
        <w:pStyle w:val="FirstParagraph"/>
      </w:pPr>
      <w:r>
        <w:rPr>
          <w:b/>
          <w:bCs/>
        </w:rPr>
        <w:t xml:space="preserve">9. Couverture temporelle </w:t>
      </w:r>
      <w:r w:rsidR="00B82581">
        <w:rPr>
          <w:b/>
          <w:bCs/>
        </w:rPr>
        <w:t>–</w:t>
      </w:r>
      <w:r>
        <w:rPr>
          <w:b/>
          <w:bCs/>
        </w:rPr>
        <w:t xml:space="preserve"> Temporal coverage</w:t>
      </w:r>
      <w:r>
        <w:br/>
        <w:t>Nombre d’années d’historique de données d’émissions disponibles, assorti de tendances et de projections.</w:t>
      </w:r>
      <w:r>
        <w:br/>
      </w:r>
      <w:r>
        <w:rPr>
          <w:i/>
          <w:iCs/>
        </w:rPr>
        <w:t>Number of years of emissions data history available, including trends and forward-looking projections.</w:t>
      </w:r>
    </w:p>
    <w:p w14:paraId="7980A6DE" w14:textId="77777777" w:rsidR="003D618F" w:rsidRDefault="00CB011A">
      <w:r>
        <w:rPr>
          <w:noProof/>
        </w:rPr>
      </w:r>
      <w:r>
        <w:pict w14:anchorId="5DFC90B4">
          <v:rect id="Horizontal Line 10" o:spid="_x0000_s104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DF" w14:textId="22CA655D" w:rsidR="003D618F" w:rsidRDefault="00CB011A">
      <w:pPr>
        <w:pStyle w:val="FirstParagraph"/>
      </w:pPr>
      <w:r>
        <w:rPr>
          <w:b/>
          <w:bCs/>
        </w:rPr>
        <w:t xml:space="preserve">10. Couverture des classes d’actifs </w:t>
      </w:r>
      <w:r w:rsidR="00B82581">
        <w:rPr>
          <w:b/>
          <w:bCs/>
        </w:rPr>
        <w:t>–</w:t>
      </w:r>
      <w:r>
        <w:rPr>
          <w:b/>
          <w:bCs/>
        </w:rPr>
        <w:t xml:space="preserve"> Asset class coverage</w:t>
      </w:r>
      <w:r>
        <w:br/>
        <w:t xml:space="preserve">Étendue des classes d’actifs PCAF® pour lesquelles des émissions sont calculées et publiées, exprimée via un score brut pondéré par coefficients </w:t>
      </w:r>
      <w:r w:rsidR="003C1937">
        <w:t>S1 &amp; S2</w:t>
      </w:r>
      <w:r>
        <w:t xml:space="preserve"> et S3.</w:t>
      </w:r>
      <w:r>
        <w:br/>
      </w:r>
      <w:r>
        <w:rPr>
          <w:i/>
          <w:iCs/>
        </w:rPr>
        <w:lastRenderedPageBreak/>
        <w:t xml:space="preserve">Breadth of PCAF® asset classes for which emissions are calculated and disclosed, expressed as a weighted raw score using </w:t>
      </w:r>
      <w:r w:rsidR="003C1937">
        <w:rPr>
          <w:i/>
          <w:iCs/>
        </w:rPr>
        <w:t>S1 &amp; S2</w:t>
      </w:r>
      <w:r>
        <w:rPr>
          <w:i/>
          <w:iCs/>
        </w:rPr>
        <w:t xml:space="preserve"> and S3 coefficients.</w:t>
      </w:r>
    </w:p>
    <w:p w14:paraId="7980A6E0" w14:textId="77777777" w:rsidR="003D618F" w:rsidRDefault="00CB011A">
      <w:r>
        <w:rPr>
          <w:noProof/>
        </w:rPr>
      </w:r>
      <w:r>
        <w:pict w14:anchorId="0881EF34">
          <v:rect id="Horizontal Line 11" o:spid="_x0000_s1045"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E1" w14:textId="77777777" w:rsidR="003D618F" w:rsidRPr="002F706D" w:rsidRDefault="00CB011A">
      <w:pPr>
        <w:pStyle w:val="Titre2"/>
        <w:rPr>
          <w:color w:val="FFC000"/>
        </w:rPr>
      </w:pPr>
      <w:bookmarkStart w:id="2" w:name="X79ebd3c6279dca0dd003bea8239253b61fdb430"/>
      <w:bookmarkEnd w:id="1"/>
      <w:r w:rsidRPr="002F706D">
        <w:rPr>
          <w:color w:val="FFC000"/>
        </w:rPr>
        <w:t>Classes d’actifs – Partie A / Asset classes – Part A</w:t>
      </w:r>
    </w:p>
    <w:p w14:paraId="7980A6E2" w14:textId="1E36D48B" w:rsidR="003D618F" w:rsidRDefault="00CB011A">
      <w:pPr>
        <w:pStyle w:val="FirstParagraph"/>
      </w:pPr>
      <w:r>
        <w:rPr>
          <w:b/>
          <w:bCs/>
        </w:rPr>
        <w:t xml:space="preserve">11. Actions cotées et obligations de sociétés </w:t>
      </w:r>
      <w:r w:rsidR="00B82581">
        <w:rPr>
          <w:b/>
          <w:bCs/>
        </w:rPr>
        <w:t>–</w:t>
      </w:r>
      <w:r>
        <w:rPr>
          <w:b/>
          <w:bCs/>
        </w:rPr>
        <w:t xml:space="preserve"> Listed equity and corporate bonds</w:t>
      </w:r>
      <w:r>
        <w:br/>
        <w:t>Participations en capital et titres de créance d’entreprises cotées en bourse. Classe d’actifs à plus fort coefficient (6 p</w:t>
      </w:r>
      <w:r w:rsidR="0001003F">
        <w:t>oin</w:t>
      </w:r>
      <w:r>
        <w:t>ts) en raison de l’importance des émissions d</w:t>
      </w:r>
      <w:r w:rsidR="001152F1">
        <w:t>u</w:t>
      </w:r>
      <w:r>
        <w:t xml:space="preserve"> S3 des entreprises financées.</w:t>
      </w:r>
      <w:r>
        <w:br/>
      </w:r>
      <w:r>
        <w:rPr>
          <w:i/>
          <w:iCs/>
        </w:rPr>
        <w:t xml:space="preserve">Equity and debt securities of publicly listed companies. Highest-weight asset class (6 </w:t>
      </w:r>
      <w:r w:rsidR="0001003F">
        <w:rPr>
          <w:i/>
          <w:iCs/>
        </w:rPr>
        <w:t>points</w:t>
      </w:r>
      <w:r>
        <w:rPr>
          <w:i/>
          <w:iCs/>
        </w:rPr>
        <w:t>) due to the materiality of financed companies’ Scope 3 emissions.</w:t>
      </w:r>
    </w:p>
    <w:p w14:paraId="7980A6E3" w14:textId="77777777" w:rsidR="003D618F" w:rsidRDefault="00CB011A">
      <w:r>
        <w:rPr>
          <w:noProof/>
        </w:rPr>
      </w:r>
      <w:r>
        <w:pict w14:anchorId="238D511D">
          <v:rect id="Horizontal Line 12" o:spid="_x0000_s1044"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E4" w14:textId="71C75F3C" w:rsidR="003D618F" w:rsidRDefault="00CB011A">
      <w:pPr>
        <w:pStyle w:val="FirstParagraph"/>
      </w:pPr>
      <w:r>
        <w:rPr>
          <w:b/>
          <w:bCs/>
        </w:rPr>
        <w:t xml:space="preserve">12. Prêts aux entreprises et capitaux propres non cotés </w:t>
      </w:r>
      <w:r w:rsidR="00B82581">
        <w:rPr>
          <w:b/>
          <w:bCs/>
        </w:rPr>
        <w:t>–</w:t>
      </w:r>
      <w:r>
        <w:rPr>
          <w:b/>
          <w:bCs/>
        </w:rPr>
        <w:t xml:space="preserve"> Business loans and unlisted equity</w:t>
      </w:r>
      <w:r>
        <w:br/>
        <w:t xml:space="preserve">Prêts accordés à des entreprises non cotées et participations directes en capital non coté. Coefficient identique aux actions cotées (6 </w:t>
      </w:r>
      <w:r w:rsidR="0001003F">
        <w:t>points</w:t>
      </w:r>
      <w:r>
        <w:t>).</w:t>
      </w:r>
      <w:r>
        <w:br/>
      </w:r>
      <w:r>
        <w:rPr>
          <w:i/>
          <w:iCs/>
        </w:rPr>
        <w:t xml:space="preserve">Loans to unlisted companies and direct private equity holdings. Same coefficient as listed equity (6 </w:t>
      </w:r>
      <w:r w:rsidR="0001003F">
        <w:rPr>
          <w:i/>
          <w:iCs/>
        </w:rPr>
        <w:t>points</w:t>
      </w:r>
      <w:r>
        <w:rPr>
          <w:i/>
          <w:iCs/>
        </w:rPr>
        <w:t>).</w:t>
      </w:r>
    </w:p>
    <w:p w14:paraId="7980A6E5" w14:textId="77777777" w:rsidR="003D618F" w:rsidRDefault="00CB011A">
      <w:r>
        <w:rPr>
          <w:noProof/>
        </w:rPr>
      </w:r>
      <w:r>
        <w:pict w14:anchorId="1BAC14A3">
          <v:rect id="Horizontal Line 13" o:spid="_x0000_s1043"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E6" w14:textId="254A01DF" w:rsidR="003D618F" w:rsidRDefault="00CB011A">
      <w:pPr>
        <w:pStyle w:val="FirstParagraph"/>
      </w:pPr>
      <w:r>
        <w:rPr>
          <w:b/>
          <w:bCs/>
        </w:rPr>
        <w:t xml:space="preserve">13. Financement de projets </w:t>
      </w:r>
      <w:r w:rsidR="00B82581">
        <w:rPr>
          <w:b/>
          <w:bCs/>
        </w:rPr>
        <w:t>–</w:t>
      </w:r>
      <w:r>
        <w:rPr>
          <w:b/>
          <w:bCs/>
        </w:rPr>
        <w:t xml:space="preserve"> Project finance</w:t>
      </w:r>
      <w:r>
        <w:br/>
      </w:r>
      <w:r>
        <w:t>Financement de projets d’infrastructure, d’énergie ou industriels dont les flux de trésorerie constituent la garantie principale. Pertinent si significatif dans le portefeuille.</w:t>
      </w:r>
      <w:r>
        <w:br/>
      </w:r>
      <w:r>
        <w:rPr>
          <w:i/>
          <w:iCs/>
        </w:rPr>
        <w:t>Financing of infrastructure, energy or industrial projects whose cash flows serve as primary collateral. Relevant when material in the portfolio.</w:t>
      </w:r>
    </w:p>
    <w:p w14:paraId="7980A6E7" w14:textId="77777777" w:rsidR="003D618F" w:rsidRDefault="00CB011A">
      <w:r>
        <w:rPr>
          <w:noProof/>
        </w:rPr>
      </w:r>
      <w:r>
        <w:pict w14:anchorId="3A1B557A">
          <v:rect id="Horizontal Line 14" o:spid="_x0000_s1042"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E8" w14:textId="28987A0C" w:rsidR="003D618F" w:rsidRDefault="00CB011A">
      <w:pPr>
        <w:pStyle w:val="FirstParagraph"/>
      </w:pPr>
      <w:r>
        <w:rPr>
          <w:b/>
          <w:bCs/>
        </w:rPr>
        <w:t xml:space="preserve">14. Immobilier commercial </w:t>
      </w:r>
      <w:r w:rsidR="00B82581">
        <w:rPr>
          <w:b/>
          <w:bCs/>
        </w:rPr>
        <w:t>–</w:t>
      </w:r>
      <w:r>
        <w:rPr>
          <w:b/>
          <w:bCs/>
        </w:rPr>
        <w:t xml:space="preserve"> Commercial real estate</w:t>
      </w:r>
      <w:r>
        <w:br/>
        <w:t>Prêts hypothécaires ou investissements directs dans des biens immobiliers à usage commercial (bureaux, commerces, entrepôts, etc.). Seules les émissions S1</w:t>
      </w:r>
      <w:r w:rsidR="00596C84">
        <w:t xml:space="preserve"> </w:t>
      </w:r>
      <w:r>
        <w:t>&amp;</w:t>
      </w:r>
      <w:r w:rsidR="00596C84">
        <w:t xml:space="preserve"> </w:t>
      </w:r>
      <w:r>
        <w:t>S2 sont comptabilisées (bâtiments existants uniquement).</w:t>
      </w:r>
      <w:r>
        <w:br/>
      </w:r>
      <w:r>
        <w:rPr>
          <w:i/>
          <w:iCs/>
        </w:rPr>
        <w:t xml:space="preserve">Mortgage loans or direct investments in commercial properties (offices, retail, warehouses, etc.). Only </w:t>
      </w:r>
      <w:r w:rsidR="003C1937">
        <w:rPr>
          <w:i/>
          <w:iCs/>
        </w:rPr>
        <w:t>S1 &amp; S2</w:t>
      </w:r>
      <w:r>
        <w:rPr>
          <w:i/>
          <w:iCs/>
        </w:rPr>
        <w:t xml:space="preserve"> emissions are counted (existing buildings only).</w:t>
      </w:r>
    </w:p>
    <w:p w14:paraId="7980A6E9" w14:textId="77777777" w:rsidR="003D618F" w:rsidRDefault="00CB011A">
      <w:r>
        <w:rPr>
          <w:noProof/>
        </w:rPr>
      </w:r>
      <w:r>
        <w:pict w14:anchorId="106CEFDF">
          <v:rect id="Horizontal Line 15" o:spid="_x0000_s1041"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EA" w14:textId="547FE7F4" w:rsidR="003D618F" w:rsidRDefault="00CB011A">
      <w:pPr>
        <w:pStyle w:val="FirstParagraph"/>
      </w:pPr>
      <w:r>
        <w:rPr>
          <w:b/>
          <w:bCs/>
        </w:rPr>
        <w:t xml:space="preserve">15. Hypothèques </w:t>
      </w:r>
      <w:r w:rsidR="00B82581">
        <w:rPr>
          <w:b/>
          <w:bCs/>
        </w:rPr>
        <w:t>–</w:t>
      </w:r>
      <w:r>
        <w:rPr>
          <w:b/>
          <w:bCs/>
        </w:rPr>
        <w:t xml:space="preserve"> Mortgages</w:t>
      </w:r>
      <w:r>
        <w:br/>
        <w:t xml:space="preserve">Prêts immobiliers résidentiels. Coefficient </w:t>
      </w:r>
      <w:r w:rsidR="003C1937">
        <w:t>S1 &amp; S2</w:t>
      </w:r>
      <w:r>
        <w:t xml:space="preserve"> de 0,5 </w:t>
      </w:r>
      <w:r w:rsidR="003C1937">
        <w:t>point</w:t>
      </w:r>
      <w:r>
        <w:t xml:space="preserve"> ; pas de coefficient S3 distinct.</w:t>
      </w:r>
      <w:r>
        <w:br/>
      </w:r>
      <w:r>
        <w:rPr>
          <w:i/>
          <w:iCs/>
        </w:rPr>
        <w:t xml:space="preserve">Residential mortgage loans. </w:t>
      </w:r>
      <w:r w:rsidR="003C1937">
        <w:rPr>
          <w:i/>
          <w:iCs/>
        </w:rPr>
        <w:t>S1 &amp; S2</w:t>
      </w:r>
      <w:r>
        <w:rPr>
          <w:i/>
          <w:iCs/>
        </w:rPr>
        <w:t xml:space="preserve"> coefficient of 0.5 </w:t>
      </w:r>
      <w:r w:rsidR="003C1937">
        <w:rPr>
          <w:i/>
          <w:iCs/>
        </w:rPr>
        <w:t>point</w:t>
      </w:r>
      <w:r>
        <w:rPr>
          <w:i/>
          <w:iCs/>
        </w:rPr>
        <w:t>; no separate S3 coefficient.</w:t>
      </w:r>
    </w:p>
    <w:p w14:paraId="7980A6EB" w14:textId="77777777" w:rsidR="003D618F" w:rsidRDefault="00CB011A">
      <w:r>
        <w:rPr>
          <w:noProof/>
        </w:rPr>
      </w:r>
      <w:r>
        <w:pict w14:anchorId="32A37FA0">
          <v:rect id="Horizontal Line 16" o:spid="_x0000_s1040"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EC" w14:textId="663BA84F" w:rsidR="003D618F" w:rsidRDefault="00CB011A">
      <w:pPr>
        <w:pStyle w:val="FirstParagraph"/>
      </w:pPr>
      <w:r>
        <w:rPr>
          <w:b/>
          <w:bCs/>
        </w:rPr>
        <w:lastRenderedPageBreak/>
        <w:t xml:space="preserve">16. Prêts pour véhicules à moteur </w:t>
      </w:r>
      <w:r w:rsidR="00B82581">
        <w:rPr>
          <w:b/>
          <w:bCs/>
        </w:rPr>
        <w:t>–</w:t>
      </w:r>
      <w:r>
        <w:rPr>
          <w:b/>
          <w:bCs/>
        </w:rPr>
        <w:t xml:space="preserve"> Motor vehicle loans</w:t>
      </w:r>
      <w:r>
        <w:br/>
        <w:t xml:space="preserve">Crédits à la consommation pour l’achat de véhicules particuliers ou utilitaires. Coefficient </w:t>
      </w:r>
      <w:r w:rsidR="003C1937">
        <w:t>S1 &amp; S2</w:t>
      </w:r>
      <w:r>
        <w:t xml:space="preserve"> de 0,5 </w:t>
      </w:r>
      <w:r w:rsidR="003C1937">
        <w:t>point</w:t>
      </w:r>
      <w:r>
        <w:t xml:space="preserve"> ; S3 facultatif.</w:t>
      </w:r>
      <w:r>
        <w:br/>
      </w:r>
      <w:r>
        <w:rPr>
          <w:i/>
          <w:iCs/>
        </w:rPr>
        <w:t xml:space="preserve">Consumer loans for the purchase of private or commercial vehicles. </w:t>
      </w:r>
      <w:r w:rsidR="003C1937">
        <w:rPr>
          <w:i/>
          <w:iCs/>
        </w:rPr>
        <w:t>S1 &amp; S2</w:t>
      </w:r>
      <w:r>
        <w:rPr>
          <w:i/>
          <w:iCs/>
        </w:rPr>
        <w:t xml:space="preserve"> coefficient of 0.5 </w:t>
      </w:r>
      <w:r w:rsidR="003C1937">
        <w:rPr>
          <w:i/>
          <w:iCs/>
        </w:rPr>
        <w:t>point</w:t>
      </w:r>
      <w:r>
        <w:rPr>
          <w:i/>
          <w:iCs/>
        </w:rPr>
        <w:t>; S3 optional.</w:t>
      </w:r>
    </w:p>
    <w:p w14:paraId="7980A6ED" w14:textId="77777777" w:rsidR="003D618F" w:rsidRDefault="00CB011A">
      <w:r>
        <w:rPr>
          <w:noProof/>
        </w:rPr>
      </w:r>
      <w:r>
        <w:pict w14:anchorId="4D9C6D63">
          <v:rect id="Horizontal Line 17" o:spid="_x0000_s1039"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EE" w14:textId="518A68B7" w:rsidR="003D618F" w:rsidRDefault="00CB011A">
      <w:pPr>
        <w:pStyle w:val="FirstParagraph"/>
      </w:pPr>
      <w:r>
        <w:rPr>
          <w:b/>
          <w:bCs/>
        </w:rPr>
        <w:t xml:space="preserve">17. Dette souveraine </w:t>
      </w:r>
      <w:r w:rsidR="00B82581">
        <w:rPr>
          <w:b/>
          <w:bCs/>
        </w:rPr>
        <w:t>–</w:t>
      </w:r>
      <w:r>
        <w:rPr>
          <w:b/>
          <w:bCs/>
        </w:rPr>
        <w:t xml:space="preserve"> Sovereign debt</w:t>
      </w:r>
      <w:r>
        <w:br/>
        <w:t>Obligations et autres titres de créance émis par des gouvernements nationaux. Comprend un coefficient distinct pour les émissions liées au LULUCF (changement d’affectation des sols et foresterie) et un coefficient S3 via l’approche basée sur la consommation.</w:t>
      </w:r>
      <w:r>
        <w:br/>
      </w:r>
      <w:r>
        <w:rPr>
          <w:i/>
          <w:iCs/>
        </w:rPr>
        <w:t>Bonds and other debt securities issued by national governments. Includes a separate coefficient for LULUCF-related emissions and a S3 coefficient via the consumption-based approach.</w:t>
      </w:r>
    </w:p>
    <w:p w14:paraId="7980A6EF" w14:textId="77777777" w:rsidR="003D618F" w:rsidRDefault="00CB011A">
      <w:r>
        <w:rPr>
          <w:noProof/>
        </w:rPr>
      </w:r>
      <w:r>
        <w:pict w14:anchorId="56CBAE9E">
          <v:rect id="Horizontal Line 18" o:spid="_x0000_s1038"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F0" w14:textId="3E3F0C30" w:rsidR="003D618F" w:rsidRDefault="00CB011A">
      <w:pPr>
        <w:pStyle w:val="FirstParagraph"/>
      </w:pPr>
      <w:r>
        <w:rPr>
          <w:b/>
          <w:bCs/>
        </w:rPr>
        <w:t xml:space="preserve">18. Dette sub-souveraine </w:t>
      </w:r>
      <w:r w:rsidR="00B82581">
        <w:rPr>
          <w:b/>
          <w:bCs/>
        </w:rPr>
        <w:t>–</w:t>
      </w:r>
      <w:r>
        <w:rPr>
          <w:b/>
          <w:bCs/>
        </w:rPr>
        <w:t xml:space="preserve"> Sub-sovereign debt</w:t>
      </w:r>
      <w:r>
        <w:br/>
        <w:t>Obligations émises par des collectivités territoriales, régions ou municipalités.</w:t>
      </w:r>
      <w:r>
        <w:br/>
      </w:r>
      <w:r>
        <w:rPr>
          <w:i/>
          <w:iCs/>
        </w:rPr>
        <w:t>Bonds issued by sub-national entities such as regions or municipalities.</w:t>
      </w:r>
    </w:p>
    <w:p w14:paraId="7980A6F1" w14:textId="77777777" w:rsidR="003D618F" w:rsidRDefault="00CB011A">
      <w:r>
        <w:rPr>
          <w:noProof/>
        </w:rPr>
      </w:r>
      <w:r>
        <w:pict w14:anchorId="0A6C945F">
          <v:rect id="Horizontal Line 19" o:spid="_x0000_s1037"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F2" w14:textId="77777777" w:rsidR="003D618F" w:rsidRPr="002F706D" w:rsidRDefault="00CB011A">
      <w:pPr>
        <w:pStyle w:val="Titre2"/>
        <w:rPr>
          <w:color w:val="FFC000"/>
        </w:rPr>
      </w:pPr>
      <w:bookmarkStart w:id="3" w:name="Xb4c74046ee2fe5baf9d1d30cb50b93188bc2186"/>
      <w:bookmarkEnd w:id="2"/>
      <w:r w:rsidRPr="002F706D">
        <w:rPr>
          <w:color w:val="FFC000"/>
        </w:rPr>
        <w:t>Classes d’actifs – Partie B / Asset classes – Part B</w:t>
      </w:r>
    </w:p>
    <w:p w14:paraId="7980A6F3" w14:textId="5606FFD8" w:rsidR="003D618F" w:rsidRDefault="00CB011A">
      <w:pPr>
        <w:pStyle w:val="FirstParagraph"/>
      </w:pPr>
      <w:r>
        <w:rPr>
          <w:b/>
          <w:bCs/>
        </w:rPr>
        <w:t xml:space="preserve">19. Dette </w:t>
      </w:r>
      <w:r w:rsidR="009433DF">
        <w:rPr>
          <w:b/>
          <w:bCs/>
        </w:rPr>
        <w:t>d’entreprise</w:t>
      </w:r>
      <w:r>
        <w:rPr>
          <w:b/>
          <w:bCs/>
        </w:rPr>
        <w:t xml:space="preserve"> </w:t>
      </w:r>
      <w:r w:rsidR="00B82581">
        <w:rPr>
          <w:b/>
          <w:bCs/>
        </w:rPr>
        <w:t>–</w:t>
      </w:r>
      <w:r>
        <w:rPr>
          <w:b/>
          <w:bCs/>
        </w:rPr>
        <w:t xml:space="preserve"> Public debt</w:t>
      </w:r>
      <w:r>
        <w:br/>
        <w:t>Titres de dette d’entreprises sur les marchés primaires de capitaux (émissions obligataires).</w:t>
      </w:r>
      <w:r>
        <w:br/>
      </w:r>
      <w:r>
        <w:rPr>
          <w:i/>
          <w:iCs/>
        </w:rPr>
        <w:t>Corporate debt securities on primary capital markets (bond issuances).</w:t>
      </w:r>
    </w:p>
    <w:p w14:paraId="7980A6F4" w14:textId="77777777" w:rsidR="003D618F" w:rsidRDefault="00CB011A">
      <w:r>
        <w:rPr>
          <w:noProof/>
        </w:rPr>
      </w:r>
      <w:r>
        <w:pict w14:anchorId="3FAFA9F3">
          <v:rect id="Horizontal Line 20" o:spid="_x0000_s103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F5" w14:textId="47FC5589" w:rsidR="003D618F" w:rsidRDefault="00CB011A">
      <w:pPr>
        <w:pStyle w:val="FirstParagraph"/>
      </w:pPr>
      <w:r>
        <w:rPr>
          <w:b/>
          <w:bCs/>
        </w:rPr>
        <w:t xml:space="preserve">20. Actions </w:t>
      </w:r>
      <w:r w:rsidR="007D3428">
        <w:rPr>
          <w:b/>
          <w:bCs/>
        </w:rPr>
        <w:t>cotées</w:t>
      </w:r>
      <w:r>
        <w:rPr>
          <w:b/>
          <w:bCs/>
        </w:rPr>
        <w:t xml:space="preserve"> </w:t>
      </w:r>
      <w:r w:rsidR="00B82581">
        <w:rPr>
          <w:b/>
          <w:bCs/>
        </w:rPr>
        <w:t>–</w:t>
      </w:r>
      <w:r>
        <w:rPr>
          <w:b/>
          <w:bCs/>
        </w:rPr>
        <w:t xml:space="preserve"> Public equity</w:t>
      </w:r>
      <w:r>
        <w:br/>
        <w:t>Émissions d’actions sur les marchés primaires de capitaux (introductions en bourse, augmentations de capital).</w:t>
      </w:r>
      <w:r>
        <w:br/>
      </w:r>
      <w:r>
        <w:rPr>
          <w:i/>
          <w:iCs/>
        </w:rPr>
        <w:t>Equity issuances on primary capital markets (IPOs, capital increases).</w:t>
      </w:r>
    </w:p>
    <w:p w14:paraId="7980A6F6" w14:textId="77777777" w:rsidR="003D618F" w:rsidRDefault="00CB011A">
      <w:r>
        <w:rPr>
          <w:noProof/>
        </w:rPr>
      </w:r>
      <w:r>
        <w:pict w14:anchorId="5DCFE788">
          <v:rect id="Horizontal Line 21" o:spid="_x0000_s1035"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F7" w14:textId="7AE9CAD6" w:rsidR="003D618F" w:rsidRDefault="00CB011A">
      <w:pPr>
        <w:pStyle w:val="FirstParagraph"/>
      </w:pPr>
      <w:r>
        <w:rPr>
          <w:b/>
          <w:bCs/>
        </w:rPr>
        <w:t xml:space="preserve">21. Prêts syndiqués </w:t>
      </w:r>
      <w:r w:rsidR="00B82581">
        <w:rPr>
          <w:b/>
          <w:bCs/>
        </w:rPr>
        <w:t>–</w:t>
      </w:r>
      <w:r>
        <w:rPr>
          <w:b/>
          <w:bCs/>
        </w:rPr>
        <w:t xml:space="preserve"> Syndicated loans (consortia loans)</w:t>
      </w:r>
      <w:r>
        <w:br/>
        <w:t>Crédits accordés conjointement par un groupe de banques à un emprunteur, avec attribution proportionnelle des émissions à chaque prêteur.</w:t>
      </w:r>
      <w:r>
        <w:br/>
      </w:r>
      <w:r>
        <w:rPr>
          <w:i/>
          <w:iCs/>
        </w:rPr>
        <w:t>Loans granted jointly by a group of banks, with emissions attributed proportionally to each lender.</w:t>
      </w:r>
    </w:p>
    <w:p w14:paraId="7980A6F8" w14:textId="77777777" w:rsidR="003D618F" w:rsidRDefault="00CB011A">
      <w:r>
        <w:rPr>
          <w:noProof/>
        </w:rPr>
      </w:r>
      <w:r>
        <w:pict w14:anchorId="03D7AF79">
          <v:rect id="Horizontal Line 22" o:spid="_x0000_s1034"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F9" w14:textId="77777777" w:rsidR="003D618F" w:rsidRPr="002F706D" w:rsidRDefault="00CB011A">
      <w:pPr>
        <w:pStyle w:val="Titre2"/>
        <w:rPr>
          <w:color w:val="FFC000"/>
        </w:rPr>
      </w:pPr>
      <w:bookmarkStart w:id="4" w:name="Xae0a784cfd3d5d32cf698b5d7166601090ef691"/>
      <w:bookmarkEnd w:id="3"/>
      <w:r w:rsidRPr="002F706D">
        <w:rPr>
          <w:color w:val="FFC000"/>
        </w:rPr>
        <w:lastRenderedPageBreak/>
        <w:t>Branches d’assurance – Partie C / Insurance branches – Part C</w:t>
      </w:r>
    </w:p>
    <w:p w14:paraId="7980A6FA" w14:textId="3D27DF78" w:rsidR="003D618F" w:rsidRDefault="00CB011A">
      <w:pPr>
        <w:pStyle w:val="FirstParagraph"/>
      </w:pPr>
      <w:r>
        <w:rPr>
          <w:b/>
          <w:bCs/>
        </w:rPr>
        <w:t xml:space="preserve">22. Assurance de branches commerciales </w:t>
      </w:r>
      <w:r w:rsidR="00B82581">
        <w:rPr>
          <w:b/>
          <w:bCs/>
        </w:rPr>
        <w:t>–</w:t>
      </w:r>
      <w:r>
        <w:rPr>
          <w:b/>
          <w:bCs/>
        </w:rPr>
        <w:t xml:space="preserve"> Commercial lines insurance</w:t>
      </w:r>
      <w:r>
        <w:br/>
        <w:t xml:space="preserve">Couverture d’assurance destinée aux entreprises (dommages, responsabilité civile, risques industriels, etc.). Branche à plus fort coefficient (3 </w:t>
      </w:r>
      <w:r w:rsidR="0001003F">
        <w:t>points</w:t>
      </w:r>
      <w:r>
        <w:t>) pour la Partie C.</w:t>
      </w:r>
      <w:r>
        <w:br/>
      </w:r>
      <w:r>
        <w:rPr>
          <w:i/>
          <w:iCs/>
        </w:rPr>
        <w:t xml:space="preserve">Insurance coverage for businesses (property damage, liability, industrial risks, etc.). Highest-weight branch (3 </w:t>
      </w:r>
      <w:r w:rsidR="0001003F">
        <w:rPr>
          <w:i/>
          <w:iCs/>
        </w:rPr>
        <w:t>points</w:t>
      </w:r>
      <w:r>
        <w:rPr>
          <w:i/>
          <w:iCs/>
        </w:rPr>
        <w:t>) for Part C.</w:t>
      </w:r>
    </w:p>
    <w:p w14:paraId="7980A6FB" w14:textId="77777777" w:rsidR="003D618F" w:rsidRDefault="00CB011A">
      <w:r>
        <w:rPr>
          <w:noProof/>
        </w:rPr>
      </w:r>
      <w:r>
        <w:pict w14:anchorId="3C4F163C">
          <v:rect id="Horizontal Line 23" o:spid="_x0000_s1033"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FC" w14:textId="31626292" w:rsidR="003D618F" w:rsidRDefault="00CB011A">
      <w:pPr>
        <w:pStyle w:val="FirstParagraph"/>
      </w:pPr>
      <w:r>
        <w:rPr>
          <w:b/>
          <w:bCs/>
        </w:rPr>
        <w:t xml:space="preserve">23. Branches véhicule à moteur personnel </w:t>
      </w:r>
      <w:r w:rsidR="00B82581">
        <w:rPr>
          <w:b/>
          <w:bCs/>
        </w:rPr>
        <w:t>–</w:t>
      </w:r>
      <w:r>
        <w:rPr>
          <w:b/>
          <w:bCs/>
        </w:rPr>
        <w:t xml:space="preserve"> Personal motor lines</w:t>
      </w:r>
      <w:r>
        <w:br/>
        <w:t xml:space="preserve">Assurance automobile pour les particuliers (véhicules de tourisme). Coefficient </w:t>
      </w:r>
      <w:r w:rsidR="003C1937">
        <w:t>S1 &amp; S2</w:t>
      </w:r>
      <w:r>
        <w:t xml:space="preserve"> de 3 </w:t>
      </w:r>
      <w:r w:rsidR="0001003F">
        <w:t>points</w:t>
      </w:r>
      <w:r>
        <w:t>.</w:t>
      </w:r>
      <w:r>
        <w:br/>
      </w:r>
      <w:r>
        <w:rPr>
          <w:i/>
          <w:iCs/>
        </w:rPr>
        <w:t xml:space="preserve">Motor insurance for private individuals (passenger cars). </w:t>
      </w:r>
      <w:r w:rsidR="003C1937">
        <w:rPr>
          <w:i/>
          <w:iCs/>
        </w:rPr>
        <w:t>S1 &amp; S2</w:t>
      </w:r>
      <w:r>
        <w:rPr>
          <w:i/>
          <w:iCs/>
        </w:rPr>
        <w:t xml:space="preserve"> coefficient of 3 </w:t>
      </w:r>
      <w:r w:rsidR="0001003F">
        <w:rPr>
          <w:i/>
          <w:iCs/>
        </w:rPr>
        <w:t>points</w:t>
      </w:r>
      <w:r>
        <w:rPr>
          <w:i/>
          <w:iCs/>
        </w:rPr>
        <w:t>.</w:t>
      </w:r>
    </w:p>
    <w:p w14:paraId="7980A6FD" w14:textId="77777777" w:rsidR="003D618F" w:rsidRDefault="00CB011A">
      <w:r>
        <w:rPr>
          <w:noProof/>
        </w:rPr>
      </w:r>
      <w:r>
        <w:pict w14:anchorId="53153783">
          <v:rect id="Horizontal Line 24" o:spid="_x0000_s1032"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6FE" w14:textId="7A65F02F" w:rsidR="003D618F" w:rsidRDefault="00CB011A">
      <w:pPr>
        <w:pStyle w:val="FirstParagraph"/>
      </w:pPr>
      <w:r>
        <w:rPr>
          <w:b/>
          <w:bCs/>
        </w:rPr>
        <w:t xml:space="preserve">24. Traités de réassurance </w:t>
      </w:r>
      <w:r w:rsidR="00B82581">
        <w:rPr>
          <w:b/>
          <w:bCs/>
        </w:rPr>
        <w:t>–</w:t>
      </w:r>
      <w:r>
        <w:rPr>
          <w:b/>
          <w:bCs/>
        </w:rPr>
        <w:t xml:space="preserve"> Treaty reinsurance</w:t>
      </w:r>
      <w:r>
        <w:br/>
        <w:t>Accords par lesquels un réassureur accepte de couvrir une partie des risques d’un assureur sur l’ensemble d’un portefeuille (par opposition à la réassurance facultative).</w:t>
      </w:r>
      <w:r>
        <w:br/>
      </w:r>
      <w:r>
        <w:rPr>
          <w:i/>
          <w:iCs/>
        </w:rPr>
        <w:t>Agreements by which a reinsurer accepts to cover a portion of an insurer’s risks across an entire portfolio (as opposed to facultative reinsurance).</w:t>
      </w:r>
    </w:p>
    <w:p w14:paraId="7980A6FF" w14:textId="77777777" w:rsidR="003D618F" w:rsidRDefault="00CB011A">
      <w:r>
        <w:rPr>
          <w:noProof/>
        </w:rPr>
      </w:r>
      <w:r>
        <w:pict w14:anchorId="2E29DBC6">
          <v:rect id="Horizontal Line 25" o:spid="_x0000_s1031"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700" w14:textId="77777777" w:rsidR="003D618F" w:rsidRPr="002F706D" w:rsidRDefault="00CB011A">
      <w:pPr>
        <w:pStyle w:val="Titre2"/>
        <w:rPr>
          <w:color w:val="FFC000"/>
        </w:rPr>
      </w:pPr>
      <w:bookmarkStart w:id="5" w:name="X9afefe987287c7451e2677295cda1f8067e3ac4"/>
      <w:bookmarkEnd w:id="4"/>
      <w:r w:rsidRPr="002F706D">
        <w:rPr>
          <w:color w:val="FFC000"/>
        </w:rPr>
        <w:t>Termes méthodologiques / Methodological terms</w:t>
      </w:r>
    </w:p>
    <w:p w14:paraId="7980A701" w14:textId="70699061" w:rsidR="003D618F" w:rsidRDefault="00CB011A">
      <w:pPr>
        <w:pStyle w:val="FirstParagraph"/>
      </w:pPr>
      <w:r>
        <w:rPr>
          <w:b/>
          <w:bCs/>
        </w:rPr>
        <w:t xml:space="preserve">25. LULUCF </w:t>
      </w:r>
      <w:r w:rsidR="00B82581">
        <w:rPr>
          <w:b/>
          <w:bCs/>
        </w:rPr>
        <w:t>–</w:t>
      </w:r>
      <w:r>
        <w:rPr>
          <w:b/>
          <w:bCs/>
        </w:rPr>
        <w:t xml:space="preserve"> Land Use, Land-Use Change and Forestry</w:t>
      </w:r>
      <w:r>
        <w:br/>
      </w:r>
      <w:r w:rsidR="006A7FCA">
        <w:t>Catégorie</w:t>
      </w:r>
      <w:r>
        <w:t xml:space="preserve"> comptabilisant les émissions et absorptions de GES liées à l’utilisation des terres, au changement d’affectation des terres et à la foresterie. Intégré dans le coefficient </w:t>
      </w:r>
      <w:r w:rsidR="003C1937">
        <w:t>S1 &amp; S2</w:t>
      </w:r>
      <w:r>
        <w:t xml:space="preserve"> de la dette souveraine.</w:t>
      </w:r>
      <w:r>
        <w:br/>
      </w:r>
      <w:r>
        <w:rPr>
          <w:i/>
          <w:iCs/>
        </w:rPr>
        <w:t xml:space="preserve">Sector accounting for GHG emissions and removals related to land use, land-use change and forestry. Integrated in the </w:t>
      </w:r>
      <w:r w:rsidR="003C1937">
        <w:rPr>
          <w:i/>
          <w:iCs/>
        </w:rPr>
        <w:t>S1 &amp; S2</w:t>
      </w:r>
      <w:r>
        <w:rPr>
          <w:i/>
          <w:iCs/>
        </w:rPr>
        <w:t xml:space="preserve"> coefficient for sovereign debt.</w:t>
      </w:r>
    </w:p>
    <w:p w14:paraId="7980A702" w14:textId="77777777" w:rsidR="003D618F" w:rsidRDefault="00CB011A">
      <w:r>
        <w:rPr>
          <w:noProof/>
        </w:rPr>
      </w:r>
      <w:r>
        <w:pict w14:anchorId="7FF088BC">
          <v:rect id="Horizontal Line 26" o:spid="_x0000_s1030"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703" w14:textId="594557F3" w:rsidR="003D618F" w:rsidRDefault="00CB011A">
      <w:pPr>
        <w:pStyle w:val="FirstParagraph"/>
      </w:pPr>
      <w:r>
        <w:rPr>
          <w:b/>
          <w:bCs/>
        </w:rPr>
        <w:t xml:space="preserve">26. ITV </w:t>
      </w:r>
      <w:r w:rsidR="00B82581">
        <w:rPr>
          <w:b/>
          <w:bCs/>
        </w:rPr>
        <w:t>–</w:t>
      </w:r>
      <w:r>
        <w:rPr>
          <w:b/>
          <w:bCs/>
        </w:rPr>
        <w:t xml:space="preserve"> Insurance Transaction Value (méthode « valeur d’exposition d’assurance »)</w:t>
      </w:r>
      <w:r>
        <w:br/>
        <w:t>Méthode PCAF® d’attribution des émissions liées à l’assurance, basée sur le rapport entre la prime perçue et la valeur assurée des actifs.</w:t>
      </w:r>
      <w:r>
        <w:br/>
      </w:r>
      <w:r>
        <w:rPr>
          <w:i/>
          <w:iCs/>
        </w:rPr>
        <w:t>PCAF® method for attributing insurance-associated emissions, based on the ratio of premium received to insured value of the assets.</w:t>
      </w:r>
    </w:p>
    <w:p w14:paraId="7980A704" w14:textId="77777777" w:rsidR="003D618F" w:rsidRDefault="00CB011A">
      <w:r>
        <w:rPr>
          <w:noProof/>
        </w:rPr>
      </w:r>
      <w:r>
        <w:pict w14:anchorId="3091A723">
          <v:rect id="Horizontal Line 27" o:spid="_x0000_s1029"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705" w14:textId="2DDD0201" w:rsidR="003D618F" w:rsidRDefault="00CB011A">
      <w:pPr>
        <w:pStyle w:val="FirstParagraph"/>
      </w:pPr>
      <w:r>
        <w:rPr>
          <w:b/>
          <w:bCs/>
        </w:rPr>
        <w:t>27. Scope 1 / 2 / 3</w:t>
      </w:r>
      <w:r>
        <w:br/>
        <w:t xml:space="preserve">Classification </w:t>
      </w:r>
      <w:r>
        <w:t xml:space="preserve">des émissions </w:t>
      </w:r>
      <w:r w:rsidR="00085F3C">
        <w:t>par le GHG Protocol </w:t>
      </w:r>
      <w:r>
        <w:t xml:space="preserve">: Scope 1 = émissions directes provenant de sources détenues en propre ; Scope 2 = émissions indirectes provenant de l’énergie achetée ; Scope 3 = toute autre émission indirecte dans la chaîne de valeur (dont les </w:t>
      </w:r>
      <w:r>
        <w:lastRenderedPageBreak/>
        <w:t>émissions financées, catégorie 15).</w:t>
      </w:r>
      <w:r>
        <w:br/>
      </w:r>
      <w:r>
        <w:rPr>
          <w:i/>
          <w:iCs/>
        </w:rPr>
        <w:t>GHG Protocol emissions classification: Scope 1 = direct emissions from owned sources; Scope 2 = indirect emissions from purchased energy; Scope 3 = all other indirect emissions in the value chain (including financed emissions, category 15).</w:t>
      </w:r>
    </w:p>
    <w:p w14:paraId="7980A706" w14:textId="77777777" w:rsidR="003D618F" w:rsidRDefault="00CB011A">
      <w:r>
        <w:rPr>
          <w:noProof/>
        </w:rPr>
      </w:r>
      <w:r>
        <w:pict w14:anchorId="4345F1C9">
          <v:rect id="Horizontal Line 28" o:spid="_x0000_s1028"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707" w14:textId="77777777" w:rsidR="003D618F" w:rsidRDefault="00CB011A">
      <w:pPr>
        <w:pStyle w:val="FirstParagraph"/>
      </w:pPr>
      <w:r>
        <w:rPr>
          <w:b/>
          <w:bCs/>
        </w:rPr>
        <w:t>28. Bancassurance</w:t>
      </w:r>
      <w:r>
        <w:br/>
      </w:r>
      <w:r>
        <w:t>Groupe financier exerçant à la fois des activités bancaires et d’assurance. Soumis aux Parties A, B et C de la norme PCAF®.</w:t>
      </w:r>
      <w:r>
        <w:br/>
      </w:r>
      <w:r>
        <w:rPr>
          <w:i/>
          <w:iCs/>
        </w:rPr>
        <w:t>Financial group conducting both banking and insurance activities. Subject to Parts A, B and C of the PCAF® standard.</w:t>
      </w:r>
    </w:p>
    <w:p w14:paraId="7980A708" w14:textId="77777777" w:rsidR="003D618F" w:rsidRDefault="00CB011A">
      <w:r>
        <w:rPr>
          <w:noProof/>
        </w:rPr>
      </w:r>
      <w:r>
        <w:pict w14:anchorId="54594C3E">
          <v:rect id="Horizontal Line 29" o:spid="_x0000_s1027"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709" w14:textId="7EFD4515" w:rsidR="003D618F" w:rsidRDefault="00CB011A">
      <w:pPr>
        <w:pStyle w:val="FirstParagraph"/>
      </w:pPr>
      <w:r>
        <w:rPr>
          <w:b/>
          <w:bCs/>
        </w:rPr>
        <w:t xml:space="preserve">29. Gestionnaire d’actifs </w:t>
      </w:r>
      <w:r w:rsidR="00B82581">
        <w:rPr>
          <w:b/>
          <w:bCs/>
        </w:rPr>
        <w:t>–</w:t>
      </w:r>
      <w:r>
        <w:rPr>
          <w:b/>
          <w:bCs/>
        </w:rPr>
        <w:t xml:space="preserve"> Asset manager</w:t>
      </w:r>
      <w:r>
        <w:br/>
        <w:t>Institution gérant des portefeuilles d’investissement pour le compte de tiers. Soumis à la Partie A uniquement, avec une pondération de 100 %.</w:t>
      </w:r>
      <w:r>
        <w:br/>
      </w:r>
      <w:r>
        <w:rPr>
          <w:i/>
          <w:iCs/>
        </w:rPr>
        <w:t>Institution managing investment portfolios on behalf of third parties. Subject to Part A only, with a 100 % weighting.</w:t>
      </w:r>
    </w:p>
    <w:p w14:paraId="7980A70A" w14:textId="77777777" w:rsidR="003D618F" w:rsidRDefault="00CB011A">
      <w:r>
        <w:rPr>
          <w:noProof/>
        </w:rPr>
      </w:r>
      <w:r>
        <w:pict w14:anchorId="03029B4B">
          <v:rect id="Horizontal Line 30"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980A70B" w14:textId="2601DDA9" w:rsidR="003D618F" w:rsidRDefault="00CB011A">
      <w:pPr>
        <w:pStyle w:val="FirstParagraph"/>
      </w:pPr>
      <w:r>
        <w:rPr>
          <w:b/>
          <w:bCs/>
        </w:rPr>
        <w:t xml:space="preserve">30. Taux de couverture </w:t>
      </w:r>
      <w:r w:rsidR="00B82581">
        <w:rPr>
          <w:b/>
          <w:bCs/>
        </w:rPr>
        <w:t>–</w:t>
      </w:r>
      <w:r>
        <w:rPr>
          <w:b/>
          <w:bCs/>
        </w:rPr>
        <w:t xml:space="preserve"> Coverage ratio</w:t>
      </w:r>
      <w:r>
        <w:br/>
        <w:t>Rapport entre le score brut obtenu (somme des coefficients des classes d’actifs/branches couvertes) et le score brut maximum théorique</w:t>
      </w:r>
      <w:r>
        <w:t xml:space="preserve">. Ce taux est ensuite converti en niveau 0–5 </w:t>
      </w:r>
      <w:r w:rsidR="00E57317">
        <w:t>au moyen de</w:t>
      </w:r>
      <w:r>
        <w:t xml:space="preserve"> l’échelle de couverture.</w:t>
      </w:r>
      <w:r>
        <w:br/>
      </w:r>
      <w:r>
        <w:rPr>
          <w:i/>
          <w:iCs/>
        </w:rPr>
        <w:t>Ratio of the raw score obtained (sum of coefficients of covered asset classes/branches) to the maximum theoretical raw score</w:t>
      </w:r>
      <w:r>
        <w:rPr>
          <w:i/>
          <w:iCs/>
        </w:rPr>
        <w:t>. This ratio is then converted to a 0–5 level using the coverage scale.</w:t>
      </w:r>
      <w:bookmarkEnd w:id="0"/>
      <w:bookmarkEnd w:id="5"/>
    </w:p>
    <w:sectPr w:rsidR="003D618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1435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3694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618F"/>
    <w:rsid w:val="0001003F"/>
    <w:rsid w:val="00085F3C"/>
    <w:rsid w:val="000E0E83"/>
    <w:rsid w:val="001152F1"/>
    <w:rsid w:val="00223135"/>
    <w:rsid w:val="002B19C0"/>
    <w:rsid w:val="002F706D"/>
    <w:rsid w:val="003C1937"/>
    <w:rsid w:val="003D618F"/>
    <w:rsid w:val="003E78AD"/>
    <w:rsid w:val="00596C84"/>
    <w:rsid w:val="006A7FCA"/>
    <w:rsid w:val="006F7A13"/>
    <w:rsid w:val="00766743"/>
    <w:rsid w:val="007D3428"/>
    <w:rsid w:val="009433DF"/>
    <w:rsid w:val="00990DE4"/>
    <w:rsid w:val="00A727B8"/>
    <w:rsid w:val="00B82581"/>
    <w:rsid w:val="00C4644A"/>
    <w:rsid w:val="00CB011A"/>
    <w:rsid w:val="00CF3DEB"/>
    <w:rsid w:val="00E57317"/>
    <w:rsid w:val="00E95358"/>
    <w:rsid w:val="00EE1670"/>
    <w:rsid w:val="00F90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7980A6C9"/>
  <w15:docId w15:val="{B06B1741-8D10-0241-95EF-B0D922DE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1801</Words>
  <Characters>9907</Characters>
  <Application>Microsoft Office Word</Application>
  <DocSecurity>0</DocSecurity>
  <Lines>82</Lines>
  <Paragraphs>23</Paragraphs>
  <ScaleCrop>false</ScaleCrop>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LARRA Eddy-Pierre (CF/CMCL)</cp:lastModifiedBy>
  <cp:revision>34</cp:revision>
  <cp:lastPrinted>2026-03-23T09:54:00Z</cp:lastPrinted>
  <dcterms:created xsi:type="dcterms:W3CDTF">2026-03-23T08:45:00Z</dcterms:created>
  <dcterms:modified xsi:type="dcterms:W3CDTF">2026-03-23T09:54:00Z</dcterms:modified>
</cp:coreProperties>
</file>