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3A44D" w14:textId="77777777" w:rsidR="007A38EE" w:rsidRDefault="00000000">
      <w:pPr>
        <w:pStyle w:val="Titre1"/>
      </w:pPr>
      <w:bookmarkStart w:id="0" w:name="X6ad0744ae4aca745ddd5ce9e476abcad83b6169"/>
      <w:r>
        <w:t>Institutions financières et PCAF® — Étude de conformité</w:t>
      </w:r>
    </w:p>
    <w:p w14:paraId="61C3A44E" w14:textId="77777777" w:rsidR="007A38EE" w:rsidRDefault="00000000">
      <w:pPr>
        <w:pStyle w:val="Titre2"/>
      </w:pPr>
      <w:bookmarkStart w:id="1" w:name="synthèse-des-travaux"/>
      <w:r>
        <w:t>Synthèse des travaux</w:t>
      </w:r>
    </w:p>
    <w:p w14:paraId="61C3A44F" w14:textId="77777777" w:rsidR="007A38EE" w:rsidRDefault="00E03C4F">
      <w:r>
        <w:rPr>
          <w:noProof/>
        </w:rPr>
        <w:pict w14:anchorId="694DBBC3">
          <v:rect id="_x0000_i1032" alt="" style="width:453.6pt;height:.05pt;mso-width-percent:0;mso-height-percent:0;mso-width-percent:0;mso-height-percent:0" o:hralign="center" o:hrstd="t" o:hr="t"/>
        </w:pict>
      </w:r>
    </w:p>
    <w:p w14:paraId="61C3A450" w14:textId="77777777" w:rsidR="007A38EE" w:rsidRDefault="00000000">
      <w:pPr>
        <w:pStyle w:val="Titre3"/>
      </w:pPr>
      <w:bookmarkStart w:id="2" w:name="avant-propos"/>
      <w:r>
        <w:t>1. Avant-propos</w:t>
      </w:r>
    </w:p>
    <w:p w14:paraId="61C3A451" w14:textId="77777777" w:rsidR="007A38EE" w:rsidRDefault="00000000">
      <w:pPr>
        <w:pStyle w:val="FirstParagraph"/>
      </w:pPr>
      <w:r>
        <w:t xml:space="preserve">La présente étude porte sur </w:t>
      </w:r>
      <w:r>
        <w:rPr>
          <w:b/>
          <w:bCs/>
        </w:rPr>
        <w:t>23 institutions financières</w:t>
      </w:r>
      <w:r>
        <w:t xml:space="preserve"> européennes, signataires ou non de l’initiative Partnership for Carbon Accounting Financials® (PCAF). L’échantillon comprend des banques, assureurs, réassureurs, gestionnaires d’actifs et holdings d’investissement.</w:t>
      </w:r>
    </w:p>
    <w:p w14:paraId="61C3A452" w14:textId="77777777" w:rsidR="007A38EE" w:rsidRDefault="00000000">
      <w:pPr>
        <w:pStyle w:val="Corpsdetexte"/>
      </w:pPr>
      <w:r>
        <w:t>Sur son site Web, PCAF indique mettre à disposition les publications de ses membres signataires à des fins de transparence. L’initiative précise toutefois que l’intégration de ces publications ne constitue pas une certification ou validation quant au degré d’alignement effectif d’un rapport versus le standard PCAF.</w:t>
      </w:r>
    </w:p>
    <w:p w14:paraId="61C3A453" w14:textId="77777777" w:rsidR="007A38EE" w:rsidRDefault="00000000">
      <w:pPr>
        <w:pStyle w:val="Corpsdetexte"/>
      </w:pPr>
      <w:r>
        <w:t>Cette précision est d’autant plus fondamentale au regard des difficultés méthodologiques persistantes, notamment concernant les émissions de scope 3 et les activités d’assurance, où « la qualité des données et la disponibilité de la méthodologie constituent des difficultés pour la prise de décision et le reporting. »</w:t>
      </w:r>
    </w:p>
    <w:p w14:paraId="61C3A454" w14:textId="77777777" w:rsidR="007A38EE" w:rsidRDefault="00E03C4F">
      <w:r>
        <w:rPr>
          <w:noProof/>
        </w:rPr>
        <w:pict w14:anchorId="6E345305">
          <v:rect id="_x0000_i1031" alt="" style="width:453.6pt;height:.05pt;mso-width-percent:0;mso-height-percent:0;mso-width-percent:0;mso-height-percent:0" o:hralign="center" o:hrstd="t" o:hr="t"/>
        </w:pict>
      </w:r>
    </w:p>
    <w:p w14:paraId="61C3A455" w14:textId="77777777" w:rsidR="007A38EE" w:rsidRDefault="00000000">
      <w:pPr>
        <w:pStyle w:val="Titre3"/>
      </w:pPr>
      <w:bookmarkStart w:id="3" w:name="méthodologie"/>
      <w:bookmarkEnd w:id="2"/>
      <w:r>
        <w:t>2. Méthodologie</w:t>
      </w:r>
    </w:p>
    <w:p w14:paraId="61C3A456" w14:textId="77777777" w:rsidR="007A38EE" w:rsidRDefault="00000000">
      <w:pPr>
        <w:pStyle w:val="FirstParagraph"/>
      </w:pPr>
      <w:r>
        <w:t xml:space="preserve">La méthode appliquée à la présente étude compte </w:t>
      </w:r>
      <w:r>
        <w:rPr>
          <w:b/>
          <w:bCs/>
        </w:rPr>
        <w:t>quatre phases</w:t>
      </w:r>
      <w:r>
        <w:t xml:space="preserve"> :</w:t>
      </w:r>
    </w:p>
    <w:p w14:paraId="61C3A457" w14:textId="77777777" w:rsidR="007A38EE" w:rsidRDefault="00000000">
      <w:pPr>
        <w:pStyle w:val="Corpsdetexte"/>
      </w:pPr>
      <w:r>
        <w:rPr>
          <w:b/>
          <w:bCs/>
        </w:rPr>
        <w:t>Phase 1 — Extraction du référentiel PCAF</w:t>
      </w:r>
    </w:p>
    <w:p w14:paraId="61C3A458" w14:textId="77777777" w:rsidR="007A38EE" w:rsidRDefault="00000000">
      <w:pPr>
        <w:pStyle w:val="Corpsdetexte"/>
      </w:pPr>
      <w:r>
        <w:t>Extraction des catégories d’émissions du standard PCAF, structuré en trois parties :</w:t>
      </w:r>
    </w:p>
    <w:p w14:paraId="61C3A459" w14:textId="77777777" w:rsidR="007A38EE" w:rsidRDefault="00000000">
      <w:pPr>
        <w:pStyle w:val="Compact"/>
        <w:numPr>
          <w:ilvl w:val="0"/>
          <w:numId w:val="2"/>
        </w:numPr>
      </w:pPr>
      <w:r>
        <w:rPr>
          <w:b/>
          <w:bCs/>
        </w:rPr>
        <w:t>Partie A</w:t>
      </w:r>
      <w:r>
        <w:t xml:space="preserve"> : Émissions financées (financed emissions)</w:t>
      </w:r>
    </w:p>
    <w:p w14:paraId="61C3A45A" w14:textId="77777777" w:rsidR="007A38EE" w:rsidRDefault="00000000">
      <w:pPr>
        <w:pStyle w:val="Compact"/>
        <w:numPr>
          <w:ilvl w:val="0"/>
          <w:numId w:val="2"/>
        </w:numPr>
      </w:pPr>
      <w:r>
        <w:rPr>
          <w:b/>
          <w:bCs/>
        </w:rPr>
        <w:t>Partie B</w:t>
      </w:r>
      <w:r>
        <w:t xml:space="preserve"> : Émissions facilitées (facilitated emissions)</w:t>
      </w:r>
    </w:p>
    <w:p w14:paraId="61C3A45B" w14:textId="77777777" w:rsidR="007A38EE" w:rsidRDefault="00000000">
      <w:pPr>
        <w:pStyle w:val="Compact"/>
        <w:numPr>
          <w:ilvl w:val="0"/>
          <w:numId w:val="2"/>
        </w:numPr>
      </w:pPr>
      <w:r>
        <w:rPr>
          <w:b/>
          <w:bCs/>
        </w:rPr>
        <w:t>Partie C</w:t>
      </w:r>
      <w:r>
        <w:t xml:space="preserve"> : Émissions liées aux activités d’assurance (insurance-associated emissions)</w:t>
      </w:r>
    </w:p>
    <w:p w14:paraId="61C3A45C" w14:textId="77777777" w:rsidR="007A38EE" w:rsidRDefault="00000000">
      <w:pPr>
        <w:pStyle w:val="FirstParagraph"/>
      </w:pPr>
      <w:r>
        <w:t>Les données structurées sont disponibles au format JSON (pcaf_emissions_categories.json).</w:t>
      </w:r>
    </w:p>
    <w:p w14:paraId="61C3A45D" w14:textId="77777777" w:rsidR="007A38EE" w:rsidRDefault="00000000">
      <w:pPr>
        <w:pStyle w:val="Corpsdetexte"/>
      </w:pPr>
      <w:r>
        <w:rPr>
          <w:b/>
          <w:bCs/>
        </w:rPr>
        <w:t>Phase 2 — Extraction des données d’émissions</w:t>
      </w:r>
    </w:p>
    <w:p w14:paraId="61C3A45E" w14:textId="77777777" w:rsidR="007A38EE" w:rsidRDefault="00000000">
      <w:pPr>
        <w:pStyle w:val="Corpsdetexte"/>
      </w:pPr>
      <w:r>
        <w:t>Extraction des données à partir des rapports annuels et documents d’enregistrement universel (DEU) des 23 institutions financières concernées.</w:t>
      </w:r>
    </w:p>
    <w:p w14:paraId="61C3A45F" w14:textId="77777777" w:rsidR="007A38EE" w:rsidRDefault="00000000">
      <w:pPr>
        <w:pStyle w:val="Corpsdetexte"/>
      </w:pPr>
      <w:r>
        <w:rPr>
          <w:b/>
          <w:bCs/>
        </w:rPr>
        <w:t>Phase 3 — Analyse comparative</w:t>
      </w:r>
    </w:p>
    <w:p w14:paraId="61C3A460" w14:textId="77777777" w:rsidR="007A38EE" w:rsidRDefault="00000000">
      <w:pPr>
        <w:pStyle w:val="Corpsdetexte"/>
      </w:pPr>
      <w:r>
        <w:lastRenderedPageBreak/>
        <w:t>Mise en perspective des données extraites versus le référentiel PCAF. Cette phase constitue le cœur de l’analyse, permettant de dériver les indicateurs de conformité, les scores de maturité et les écarts identifiés.</w:t>
      </w:r>
    </w:p>
    <w:p w14:paraId="61C3A461" w14:textId="77777777" w:rsidR="007A38EE" w:rsidRDefault="00000000">
      <w:pPr>
        <w:pStyle w:val="Corpsdetexte"/>
      </w:pPr>
      <w:r>
        <w:rPr>
          <w:b/>
          <w:bCs/>
        </w:rPr>
        <w:t>Phase 4 — Analyse sémantique et terminologique</w:t>
      </w:r>
    </w:p>
    <w:p w14:paraId="61C3A462" w14:textId="77777777" w:rsidR="007A38EE" w:rsidRDefault="00000000">
      <w:pPr>
        <w:pStyle w:val="Corpsdetexte"/>
      </w:pPr>
      <w:r>
        <w:t>Extraction terminologique du standard PCAF et analyse sémantique des parties extra-financières des DEU versus le corpus PCAF. L’objectif est de croiser ces résultats avec ceux des phases précédentes.</w:t>
      </w:r>
    </w:p>
    <w:p w14:paraId="61C3A463" w14:textId="77777777" w:rsidR="007A38EE" w:rsidRDefault="00E03C4F">
      <w:r>
        <w:rPr>
          <w:noProof/>
        </w:rPr>
        <w:pict w14:anchorId="45B28DF5">
          <v:rect id="_x0000_i1030" alt="" style="width:453.6pt;height:.05pt;mso-width-percent:0;mso-height-percent:0;mso-width-percent:0;mso-height-percent:0" o:hralign="center" o:hrstd="t" o:hr="t"/>
        </w:pict>
      </w:r>
    </w:p>
    <w:p w14:paraId="61C3A464" w14:textId="77777777" w:rsidR="007A38EE" w:rsidRDefault="00000000">
      <w:pPr>
        <w:pStyle w:val="Titre3"/>
      </w:pPr>
      <w:bookmarkStart w:id="4" w:name="résultats"/>
      <w:bookmarkEnd w:id="3"/>
      <w:r>
        <w:t>3. Résultats</w:t>
      </w:r>
    </w:p>
    <w:p w14:paraId="61C3A465" w14:textId="77777777" w:rsidR="007A38EE" w:rsidRDefault="00000000">
      <w:pPr>
        <w:pStyle w:val="Titre4"/>
      </w:pPr>
      <w:bookmarkStart w:id="5" w:name="vue-densemble"/>
      <w:r>
        <w:t>3.1 Vue d’ensemble</w:t>
      </w:r>
    </w:p>
    <w:tbl>
      <w:tblPr>
        <w:tblStyle w:val="Table"/>
        <w:tblW w:w="0" w:type="auto"/>
        <w:tblLook w:val="0020" w:firstRow="1" w:lastRow="0" w:firstColumn="0" w:lastColumn="0" w:noHBand="0" w:noVBand="0"/>
      </w:tblPr>
      <w:tblGrid>
        <w:gridCol w:w="5309"/>
        <w:gridCol w:w="1504"/>
      </w:tblGrid>
      <w:tr w:rsidR="007A38EE" w14:paraId="61C3A468" w14:textId="77777777" w:rsidTr="007A38EE">
        <w:trPr>
          <w:cnfStyle w:val="100000000000" w:firstRow="1" w:lastRow="0" w:firstColumn="0" w:lastColumn="0" w:oddVBand="0" w:evenVBand="0" w:oddHBand="0" w:evenHBand="0" w:firstRowFirstColumn="0" w:firstRowLastColumn="0" w:lastRowFirstColumn="0" w:lastRowLastColumn="0"/>
          <w:tblHeader/>
        </w:trPr>
        <w:tc>
          <w:tcPr>
            <w:tcW w:w="0" w:type="auto"/>
          </w:tcPr>
          <w:p w14:paraId="61C3A466" w14:textId="77777777" w:rsidR="007A38EE" w:rsidRDefault="00000000">
            <w:pPr>
              <w:pStyle w:val="Compact"/>
            </w:pPr>
            <w:r>
              <w:t>Indicateur</w:t>
            </w:r>
          </w:p>
        </w:tc>
        <w:tc>
          <w:tcPr>
            <w:tcW w:w="0" w:type="auto"/>
          </w:tcPr>
          <w:p w14:paraId="61C3A467" w14:textId="77777777" w:rsidR="007A38EE" w:rsidRDefault="00000000">
            <w:pPr>
              <w:pStyle w:val="Compact"/>
            </w:pPr>
            <w:r>
              <w:t>Résultat</w:t>
            </w:r>
          </w:p>
        </w:tc>
      </w:tr>
      <w:tr w:rsidR="007A38EE" w14:paraId="61C3A46B" w14:textId="77777777">
        <w:tc>
          <w:tcPr>
            <w:tcW w:w="0" w:type="auto"/>
          </w:tcPr>
          <w:p w14:paraId="61C3A469" w14:textId="77777777" w:rsidR="007A38EE" w:rsidRDefault="00000000">
            <w:pPr>
              <w:pStyle w:val="Compact"/>
            </w:pPr>
            <w:r>
              <w:t>Institutions analysées</w:t>
            </w:r>
          </w:p>
        </w:tc>
        <w:tc>
          <w:tcPr>
            <w:tcW w:w="0" w:type="auto"/>
          </w:tcPr>
          <w:p w14:paraId="61C3A46A" w14:textId="77777777" w:rsidR="007A38EE" w:rsidRDefault="00000000">
            <w:pPr>
              <w:pStyle w:val="Compact"/>
            </w:pPr>
            <w:r>
              <w:t>23</w:t>
            </w:r>
          </w:p>
        </w:tc>
      </w:tr>
      <w:tr w:rsidR="007A38EE" w14:paraId="61C3A46E" w14:textId="77777777">
        <w:tc>
          <w:tcPr>
            <w:tcW w:w="0" w:type="auto"/>
          </w:tcPr>
          <w:p w14:paraId="61C3A46C" w14:textId="77777777" w:rsidR="007A38EE" w:rsidRDefault="00000000">
            <w:pPr>
              <w:pStyle w:val="Compact"/>
            </w:pPr>
            <w:r>
              <w:t>Mention de PCAF</w:t>
            </w:r>
          </w:p>
        </w:tc>
        <w:tc>
          <w:tcPr>
            <w:tcW w:w="0" w:type="auto"/>
          </w:tcPr>
          <w:p w14:paraId="61C3A46D" w14:textId="77777777" w:rsidR="007A38EE" w:rsidRDefault="00000000">
            <w:pPr>
              <w:pStyle w:val="Compact"/>
            </w:pPr>
            <w:r>
              <w:t>21/23 (91 %)</w:t>
            </w:r>
          </w:p>
        </w:tc>
      </w:tr>
      <w:tr w:rsidR="007A38EE" w14:paraId="61C3A471" w14:textId="77777777">
        <w:tc>
          <w:tcPr>
            <w:tcW w:w="0" w:type="auto"/>
          </w:tcPr>
          <w:p w14:paraId="61C3A46F" w14:textId="77777777" w:rsidR="007A38EE" w:rsidRDefault="00000000">
            <w:pPr>
              <w:pStyle w:val="Compact"/>
            </w:pPr>
            <w:r>
              <w:t>Signataires PCAF confirmés</w:t>
            </w:r>
          </w:p>
        </w:tc>
        <w:tc>
          <w:tcPr>
            <w:tcW w:w="0" w:type="auto"/>
          </w:tcPr>
          <w:p w14:paraId="61C3A470" w14:textId="77777777" w:rsidR="007A38EE" w:rsidRDefault="00000000">
            <w:pPr>
              <w:pStyle w:val="Compact"/>
            </w:pPr>
            <w:r>
              <w:t>14/23 (61 %)</w:t>
            </w:r>
          </w:p>
        </w:tc>
      </w:tr>
      <w:tr w:rsidR="007A38EE" w14:paraId="61C3A474" w14:textId="77777777">
        <w:tc>
          <w:tcPr>
            <w:tcW w:w="0" w:type="auto"/>
          </w:tcPr>
          <w:p w14:paraId="61C3A472" w14:textId="77777777" w:rsidR="007A38EE" w:rsidRDefault="00000000">
            <w:pPr>
              <w:pStyle w:val="Compact"/>
            </w:pPr>
            <w:r>
              <w:t>Partie A (émissions financées) complète</w:t>
            </w:r>
          </w:p>
        </w:tc>
        <w:tc>
          <w:tcPr>
            <w:tcW w:w="0" w:type="auto"/>
          </w:tcPr>
          <w:p w14:paraId="61C3A473" w14:textId="77777777" w:rsidR="007A38EE" w:rsidRDefault="00000000">
            <w:pPr>
              <w:pStyle w:val="Compact"/>
            </w:pPr>
            <w:r>
              <w:t>9/23 (39 %)</w:t>
            </w:r>
          </w:p>
        </w:tc>
      </w:tr>
      <w:tr w:rsidR="007A38EE" w14:paraId="61C3A477" w14:textId="77777777">
        <w:tc>
          <w:tcPr>
            <w:tcW w:w="0" w:type="auto"/>
          </w:tcPr>
          <w:p w14:paraId="61C3A475" w14:textId="77777777" w:rsidR="007A38EE" w:rsidRDefault="00000000">
            <w:pPr>
              <w:pStyle w:val="Compact"/>
            </w:pPr>
            <w:r>
              <w:t>DQS documenté</w:t>
            </w:r>
          </w:p>
        </w:tc>
        <w:tc>
          <w:tcPr>
            <w:tcW w:w="0" w:type="auto"/>
          </w:tcPr>
          <w:p w14:paraId="61C3A476" w14:textId="77777777" w:rsidR="007A38EE" w:rsidRDefault="00000000">
            <w:pPr>
              <w:pStyle w:val="Compact"/>
            </w:pPr>
            <w:r>
              <w:t>12/23 (52 %)</w:t>
            </w:r>
          </w:p>
        </w:tc>
      </w:tr>
      <w:tr w:rsidR="007A38EE" w14:paraId="61C3A47A" w14:textId="77777777">
        <w:tc>
          <w:tcPr>
            <w:tcW w:w="0" w:type="auto"/>
          </w:tcPr>
          <w:p w14:paraId="61C3A478" w14:textId="77777777" w:rsidR="007A38EE" w:rsidRDefault="00000000">
            <w:pPr>
              <w:pStyle w:val="Compact"/>
            </w:pPr>
            <w:r>
              <w:t>Score moyen d’adhérence aux recommandations</w:t>
            </w:r>
          </w:p>
        </w:tc>
        <w:tc>
          <w:tcPr>
            <w:tcW w:w="0" w:type="auto"/>
          </w:tcPr>
          <w:p w14:paraId="61C3A479" w14:textId="77777777" w:rsidR="007A38EE" w:rsidRDefault="00000000">
            <w:pPr>
              <w:pStyle w:val="Compact"/>
            </w:pPr>
            <w:r>
              <w:t>57,2 %</w:t>
            </w:r>
          </w:p>
        </w:tc>
      </w:tr>
    </w:tbl>
    <w:p w14:paraId="61C3A47B" w14:textId="77777777" w:rsidR="007A38EE" w:rsidRDefault="00000000">
      <w:pPr>
        <w:pStyle w:val="Titre4"/>
      </w:pPr>
      <w:bookmarkStart w:id="6" w:name="conformité-par-partie-du-standard"/>
      <w:bookmarkEnd w:id="5"/>
      <w:r>
        <w:t>3.2 Conformité par partie du standard</w:t>
      </w:r>
    </w:p>
    <w:p w14:paraId="61C3A47C" w14:textId="77777777" w:rsidR="007A38EE" w:rsidRDefault="00000000">
      <w:pPr>
        <w:pStyle w:val="FirstParagraph"/>
      </w:pPr>
      <w:r>
        <w:rPr>
          <w:b/>
          <w:bCs/>
        </w:rPr>
        <w:t>Partie A — Émissions financées</w:t>
      </w:r>
    </w:p>
    <w:p w14:paraId="61C3A47D" w14:textId="77777777" w:rsidR="007A38EE" w:rsidRDefault="00000000">
      <w:pPr>
        <w:pStyle w:val="Compact"/>
        <w:numPr>
          <w:ilvl w:val="0"/>
          <w:numId w:val="3"/>
        </w:numPr>
      </w:pPr>
      <w:r>
        <w:rPr>
          <w:b/>
          <w:bCs/>
        </w:rPr>
        <w:t>Statut « reported »</w:t>
      </w:r>
      <w:r>
        <w:t xml:space="preserve"> : 9 institutions (39 %) — Allianz, ASR Nederland, Aviva, AXA, Nordea, Phoenix Group, Santander, Swiss Re, UniCredit</w:t>
      </w:r>
    </w:p>
    <w:p w14:paraId="61C3A47E" w14:textId="77777777" w:rsidR="007A38EE" w:rsidRDefault="00000000">
      <w:pPr>
        <w:pStyle w:val="Compact"/>
        <w:numPr>
          <w:ilvl w:val="0"/>
          <w:numId w:val="3"/>
        </w:numPr>
      </w:pPr>
      <w:r>
        <w:rPr>
          <w:b/>
          <w:bCs/>
        </w:rPr>
        <w:t>Statut « partial »</w:t>
      </w:r>
      <w:r>
        <w:t xml:space="preserve"> : 12 institutions (52 %) — reporting incomplet ou sans méthodologie PCAF explicite</w:t>
      </w:r>
    </w:p>
    <w:p w14:paraId="61C3A47F" w14:textId="77777777" w:rsidR="007A38EE" w:rsidRDefault="00000000">
      <w:pPr>
        <w:pStyle w:val="Compact"/>
        <w:numPr>
          <w:ilvl w:val="0"/>
          <w:numId w:val="3"/>
        </w:numPr>
      </w:pPr>
      <w:r>
        <w:rPr>
          <w:b/>
          <w:bCs/>
        </w:rPr>
        <w:t>Statut « missing »</w:t>
      </w:r>
      <w:r>
        <w:t xml:space="preserve"> : 2 institutions (9 %) — Amundi, Deutsche Börse</w:t>
      </w:r>
    </w:p>
    <w:p w14:paraId="61C3A480" w14:textId="77777777" w:rsidR="007A38EE" w:rsidRDefault="00000000">
      <w:pPr>
        <w:pStyle w:val="FirstParagraph"/>
      </w:pPr>
      <w:r>
        <w:rPr>
          <w:b/>
          <w:bCs/>
        </w:rPr>
        <w:t>Partie B — Émissions facilitées</w:t>
      </w:r>
    </w:p>
    <w:p w14:paraId="61C3A481" w14:textId="77777777" w:rsidR="007A38EE" w:rsidRDefault="00000000">
      <w:pPr>
        <w:pStyle w:val="Corpsdetexte"/>
      </w:pPr>
      <w:r>
        <w:t>Applicable principalement aux banques d’investissement. Parmi les 6 banques de l’échantillon, 5 rapportent partiellement les émissions facilitées (Commerzbank, Crédit Agricole, Nordea, Santander, Société Générale). Aucune institution ne déclare une couverture complète.</w:t>
      </w:r>
    </w:p>
    <w:p w14:paraId="61C3A482" w14:textId="77777777" w:rsidR="007A38EE" w:rsidRDefault="00000000">
      <w:pPr>
        <w:pStyle w:val="Corpsdetexte"/>
      </w:pPr>
      <w:r>
        <w:rPr>
          <w:b/>
          <w:bCs/>
        </w:rPr>
        <w:t>Partie C — Émissions d’assurance</w:t>
      </w:r>
    </w:p>
    <w:p w14:paraId="61C3A483" w14:textId="77777777" w:rsidR="007A38EE" w:rsidRDefault="00000000">
      <w:pPr>
        <w:pStyle w:val="Corpsdetexte"/>
      </w:pPr>
      <w:r>
        <w:t>Parmi les 12 assureurs/réassureurs de l’échantillon :</w:t>
      </w:r>
    </w:p>
    <w:p w14:paraId="61C3A484" w14:textId="77777777" w:rsidR="007A38EE" w:rsidRDefault="00000000">
      <w:pPr>
        <w:pStyle w:val="Compact"/>
        <w:numPr>
          <w:ilvl w:val="0"/>
          <w:numId w:val="4"/>
        </w:numPr>
      </w:pPr>
      <w:r>
        <w:rPr>
          <w:b/>
          <w:bCs/>
        </w:rPr>
        <w:t>Statut « partial »</w:t>
      </w:r>
      <w:r>
        <w:t xml:space="preserve"> : 12/12 (100 %)</w:t>
      </w:r>
    </w:p>
    <w:p w14:paraId="61C3A485" w14:textId="77777777" w:rsidR="007A38EE" w:rsidRDefault="00000000">
      <w:pPr>
        <w:pStyle w:val="Compact"/>
        <w:numPr>
          <w:ilvl w:val="0"/>
          <w:numId w:val="4"/>
        </w:numPr>
      </w:pPr>
      <w:r>
        <w:t>Aucun assureur ne rapporte intégralement les émissions de la Partie C</w:t>
      </w:r>
    </w:p>
    <w:p w14:paraId="61C3A486" w14:textId="77777777" w:rsidR="007A38EE" w:rsidRDefault="00000000">
      <w:pPr>
        <w:pStyle w:val="Titre4"/>
      </w:pPr>
      <w:bookmarkStart w:id="7" w:name="qualité-des-données-data-quality-score"/>
      <w:bookmarkEnd w:id="6"/>
      <w:r>
        <w:lastRenderedPageBreak/>
        <w:t>3.3 Qualité des données (Data Quality Score)</w:t>
      </w:r>
    </w:p>
    <w:p w14:paraId="61C3A487" w14:textId="77777777" w:rsidR="007A38EE" w:rsidRDefault="00000000">
      <w:pPr>
        <w:pStyle w:val="FirstParagraph"/>
      </w:pPr>
      <w:r>
        <w:t>Le DQS mesure la fiabilité des données sources sur une échelle de 1 (optimal) à 5 (estimations sectorielles). Sur les 23 institutions :</w:t>
      </w:r>
    </w:p>
    <w:tbl>
      <w:tblPr>
        <w:tblStyle w:val="Table"/>
        <w:tblW w:w="0" w:type="auto"/>
        <w:tblLook w:val="0020" w:firstRow="1" w:lastRow="0" w:firstColumn="0" w:lastColumn="0" w:noHBand="0" w:noVBand="0"/>
      </w:tblPr>
      <w:tblGrid>
        <w:gridCol w:w="1894"/>
        <w:gridCol w:w="4756"/>
      </w:tblGrid>
      <w:tr w:rsidR="007A38EE" w14:paraId="61C3A48A" w14:textId="77777777" w:rsidTr="007A38EE">
        <w:trPr>
          <w:cnfStyle w:val="100000000000" w:firstRow="1" w:lastRow="0" w:firstColumn="0" w:lastColumn="0" w:oddVBand="0" w:evenVBand="0" w:oddHBand="0" w:evenHBand="0" w:firstRowFirstColumn="0" w:firstRowLastColumn="0" w:lastRowFirstColumn="0" w:lastRowLastColumn="0"/>
          <w:tblHeader/>
        </w:trPr>
        <w:tc>
          <w:tcPr>
            <w:tcW w:w="0" w:type="auto"/>
          </w:tcPr>
          <w:p w14:paraId="61C3A488" w14:textId="77777777" w:rsidR="007A38EE" w:rsidRDefault="00000000">
            <w:pPr>
              <w:pStyle w:val="Compact"/>
            </w:pPr>
            <w:r>
              <w:t>DQS</w:t>
            </w:r>
          </w:p>
        </w:tc>
        <w:tc>
          <w:tcPr>
            <w:tcW w:w="0" w:type="auto"/>
          </w:tcPr>
          <w:p w14:paraId="61C3A489" w14:textId="77777777" w:rsidR="007A38EE" w:rsidRDefault="00000000">
            <w:pPr>
              <w:pStyle w:val="Compact"/>
            </w:pPr>
            <w:r>
              <w:t>Institutions</w:t>
            </w:r>
          </w:p>
        </w:tc>
      </w:tr>
      <w:tr w:rsidR="007A38EE" w14:paraId="61C3A48D" w14:textId="77777777">
        <w:tc>
          <w:tcPr>
            <w:tcW w:w="0" w:type="auto"/>
          </w:tcPr>
          <w:p w14:paraId="61C3A48B" w14:textId="77777777" w:rsidR="007A38EE" w:rsidRDefault="00000000">
            <w:pPr>
              <w:pStyle w:val="Compact"/>
            </w:pPr>
            <w:r>
              <w:t>1 (optimal)</w:t>
            </w:r>
          </w:p>
        </w:tc>
        <w:tc>
          <w:tcPr>
            <w:tcW w:w="0" w:type="auto"/>
          </w:tcPr>
          <w:p w14:paraId="61C3A48C" w14:textId="77777777" w:rsidR="007A38EE" w:rsidRDefault="00000000">
            <w:pPr>
              <w:pStyle w:val="Compact"/>
            </w:pPr>
            <w:r>
              <w:t>Aviva, Commerzbank, NN Group, Santander</w:t>
            </w:r>
          </w:p>
        </w:tc>
      </w:tr>
      <w:tr w:rsidR="007A38EE" w14:paraId="61C3A490" w14:textId="77777777">
        <w:tc>
          <w:tcPr>
            <w:tcW w:w="0" w:type="auto"/>
          </w:tcPr>
          <w:p w14:paraId="61C3A48E" w14:textId="77777777" w:rsidR="007A38EE" w:rsidRDefault="00000000">
            <w:pPr>
              <w:pStyle w:val="Compact"/>
            </w:pPr>
            <w:r>
              <w:t>2</w:t>
            </w:r>
          </w:p>
        </w:tc>
        <w:tc>
          <w:tcPr>
            <w:tcW w:w="0" w:type="auto"/>
          </w:tcPr>
          <w:p w14:paraId="61C3A48F" w14:textId="77777777" w:rsidR="007A38EE" w:rsidRDefault="00000000">
            <w:pPr>
              <w:pStyle w:val="Compact"/>
            </w:pPr>
            <w:r>
              <w:t>Allianz, AXA, Legal &amp; General</w:t>
            </w:r>
          </w:p>
        </w:tc>
      </w:tr>
      <w:tr w:rsidR="007A38EE" w14:paraId="61C3A493" w14:textId="77777777">
        <w:tc>
          <w:tcPr>
            <w:tcW w:w="0" w:type="auto"/>
          </w:tcPr>
          <w:p w14:paraId="61C3A491" w14:textId="77777777" w:rsidR="007A38EE" w:rsidRDefault="00000000">
            <w:pPr>
              <w:pStyle w:val="Compact"/>
            </w:pPr>
            <w:r>
              <w:t>3</w:t>
            </w:r>
          </w:p>
        </w:tc>
        <w:tc>
          <w:tcPr>
            <w:tcW w:w="0" w:type="auto"/>
          </w:tcPr>
          <w:p w14:paraId="61C3A492" w14:textId="77777777" w:rsidR="007A38EE" w:rsidRDefault="00000000">
            <w:pPr>
              <w:pStyle w:val="Compact"/>
            </w:pPr>
            <w:r>
              <w:t>Swiss Re</w:t>
            </w:r>
          </w:p>
        </w:tc>
      </w:tr>
      <w:tr w:rsidR="007A38EE" w14:paraId="61C3A496" w14:textId="77777777">
        <w:tc>
          <w:tcPr>
            <w:tcW w:w="0" w:type="auto"/>
          </w:tcPr>
          <w:p w14:paraId="61C3A494" w14:textId="77777777" w:rsidR="007A38EE" w:rsidRDefault="00000000">
            <w:pPr>
              <w:pStyle w:val="Compact"/>
            </w:pPr>
            <w:r>
              <w:t>4</w:t>
            </w:r>
          </w:p>
        </w:tc>
        <w:tc>
          <w:tcPr>
            <w:tcW w:w="0" w:type="auto"/>
          </w:tcPr>
          <w:p w14:paraId="61C3A495" w14:textId="77777777" w:rsidR="007A38EE" w:rsidRDefault="00000000">
            <w:pPr>
              <w:pStyle w:val="Compact"/>
            </w:pPr>
            <w:r>
              <w:t>Nordea</w:t>
            </w:r>
          </w:p>
        </w:tc>
      </w:tr>
      <w:tr w:rsidR="007A38EE" w14:paraId="61C3A499" w14:textId="77777777">
        <w:tc>
          <w:tcPr>
            <w:tcW w:w="0" w:type="auto"/>
          </w:tcPr>
          <w:p w14:paraId="61C3A497" w14:textId="77777777" w:rsidR="007A38EE" w:rsidRDefault="00000000">
            <w:pPr>
              <w:pStyle w:val="Compact"/>
            </w:pPr>
            <w:r>
              <w:t>5</w:t>
            </w:r>
          </w:p>
        </w:tc>
        <w:tc>
          <w:tcPr>
            <w:tcW w:w="0" w:type="auto"/>
          </w:tcPr>
          <w:p w14:paraId="61C3A498" w14:textId="77777777" w:rsidR="007A38EE" w:rsidRDefault="00000000">
            <w:pPr>
              <w:pStyle w:val="Compact"/>
            </w:pPr>
            <w:r>
              <w:t>ASR Nederland, UniCredit</w:t>
            </w:r>
          </w:p>
        </w:tc>
      </w:tr>
      <w:tr w:rsidR="007A38EE" w14:paraId="61C3A49C" w14:textId="77777777">
        <w:tc>
          <w:tcPr>
            <w:tcW w:w="0" w:type="auto"/>
          </w:tcPr>
          <w:p w14:paraId="61C3A49A" w14:textId="77777777" w:rsidR="007A38EE" w:rsidRDefault="00000000">
            <w:pPr>
              <w:pStyle w:val="Compact"/>
            </w:pPr>
            <w:r>
              <w:t>Non documenté</w:t>
            </w:r>
          </w:p>
        </w:tc>
        <w:tc>
          <w:tcPr>
            <w:tcW w:w="0" w:type="auto"/>
          </w:tcPr>
          <w:p w14:paraId="61C3A49B" w14:textId="77777777" w:rsidR="007A38EE" w:rsidRDefault="00000000">
            <w:pPr>
              <w:pStyle w:val="Compact"/>
            </w:pPr>
            <w:r>
              <w:t>12 institutions (52 %)</w:t>
            </w:r>
          </w:p>
        </w:tc>
      </w:tr>
    </w:tbl>
    <w:p w14:paraId="61C3A49D" w14:textId="77777777" w:rsidR="007A38EE" w:rsidRDefault="00000000">
      <w:pPr>
        <w:pStyle w:val="Corpsdetexte"/>
      </w:pPr>
      <w:r>
        <w:rPr>
          <w:b/>
          <w:bCs/>
        </w:rPr>
        <w:t>Constat clé</w:t>
      </w:r>
      <w:r>
        <w:t xml:space="preserve"> : La moitié des institutions ne publie pas de DQS explicite, limitant la comparabilité des données.</w:t>
      </w:r>
    </w:p>
    <w:p w14:paraId="61C3A49E" w14:textId="77777777" w:rsidR="007A38EE" w:rsidRDefault="00000000">
      <w:pPr>
        <w:pStyle w:val="Titre4"/>
      </w:pPr>
      <w:bookmarkStart w:id="8" w:name="couverture-par-classe-dactifs"/>
      <w:bookmarkEnd w:id="7"/>
      <w:r>
        <w:t>3.4 Couverture par classe d’actifs</w:t>
      </w:r>
    </w:p>
    <w:p w14:paraId="61C3A49F" w14:textId="77777777" w:rsidR="007A38EE" w:rsidRDefault="00000000">
      <w:pPr>
        <w:pStyle w:val="FirstParagraph"/>
      </w:pPr>
      <w:r>
        <w:t xml:space="preserve">L’analyse de la couverture des </w:t>
      </w:r>
      <w:r>
        <w:rPr>
          <w:b/>
          <w:bCs/>
        </w:rPr>
        <w:t>10 classes d’actifs</w:t>
      </w:r>
      <w:r>
        <w:t xml:space="preserve"> du standard PCAF (Partie A) révèle des écarts significatifs :</w:t>
      </w:r>
    </w:p>
    <w:p w14:paraId="61C3A4A0" w14:textId="77777777" w:rsidR="007A38EE" w:rsidRDefault="00000000">
      <w:pPr>
        <w:pStyle w:val="Corpsdetexte"/>
      </w:pPr>
      <w:r>
        <w:rPr>
          <w:b/>
          <w:bCs/>
        </w:rPr>
        <w:t>Partie A — Émissions financées (10 classes)</w:t>
      </w:r>
    </w:p>
    <w:tbl>
      <w:tblPr>
        <w:tblStyle w:val="Table"/>
        <w:tblW w:w="0" w:type="auto"/>
        <w:tblLook w:val="0020" w:firstRow="1" w:lastRow="0" w:firstColumn="0" w:lastColumn="0" w:noHBand="0" w:noVBand="0"/>
      </w:tblPr>
      <w:tblGrid>
        <w:gridCol w:w="4545"/>
        <w:gridCol w:w="2422"/>
        <w:gridCol w:w="1075"/>
        <w:gridCol w:w="1072"/>
      </w:tblGrid>
      <w:tr w:rsidR="007A38EE" w14:paraId="61C3A4A5" w14:textId="77777777" w:rsidTr="007A38EE">
        <w:trPr>
          <w:cnfStyle w:val="100000000000" w:firstRow="1" w:lastRow="0" w:firstColumn="0" w:lastColumn="0" w:oddVBand="0" w:evenVBand="0" w:oddHBand="0" w:evenHBand="0" w:firstRowFirstColumn="0" w:firstRowLastColumn="0" w:lastRowFirstColumn="0" w:lastRowLastColumn="0"/>
          <w:tblHeader/>
        </w:trPr>
        <w:tc>
          <w:tcPr>
            <w:tcW w:w="0" w:type="auto"/>
          </w:tcPr>
          <w:p w14:paraId="61C3A4A1" w14:textId="77777777" w:rsidR="007A38EE" w:rsidRDefault="00000000">
            <w:pPr>
              <w:pStyle w:val="Compact"/>
            </w:pPr>
            <w:r>
              <w:t>Classe d’actifs</w:t>
            </w:r>
          </w:p>
        </w:tc>
        <w:tc>
          <w:tcPr>
            <w:tcW w:w="0" w:type="auto"/>
          </w:tcPr>
          <w:p w14:paraId="61C3A4A2" w14:textId="77777777" w:rsidR="007A38EE" w:rsidRDefault="00000000">
            <w:pPr>
              <w:pStyle w:val="Compact"/>
            </w:pPr>
            <w:r>
              <w:t>Couverture complète</w:t>
            </w:r>
          </w:p>
        </w:tc>
        <w:tc>
          <w:tcPr>
            <w:tcW w:w="0" w:type="auto"/>
          </w:tcPr>
          <w:p w14:paraId="61C3A4A3" w14:textId="77777777" w:rsidR="007A38EE" w:rsidRDefault="00000000">
            <w:pPr>
              <w:pStyle w:val="Compact"/>
            </w:pPr>
            <w:r>
              <w:t>Partielle</w:t>
            </w:r>
          </w:p>
        </w:tc>
        <w:tc>
          <w:tcPr>
            <w:tcW w:w="0" w:type="auto"/>
          </w:tcPr>
          <w:p w14:paraId="61C3A4A4" w14:textId="77777777" w:rsidR="007A38EE" w:rsidRDefault="00000000">
            <w:pPr>
              <w:pStyle w:val="Compact"/>
            </w:pPr>
            <w:r>
              <w:t>Absente</w:t>
            </w:r>
          </w:p>
        </w:tc>
      </w:tr>
      <w:tr w:rsidR="007A38EE" w14:paraId="61C3A4AA" w14:textId="77777777">
        <w:tc>
          <w:tcPr>
            <w:tcW w:w="0" w:type="auto"/>
          </w:tcPr>
          <w:p w14:paraId="61C3A4A6" w14:textId="77777777" w:rsidR="007A38EE" w:rsidRDefault="00000000">
            <w:pPr>
              <w:pStyle w:val="Compact"/>
            </w:pPr>
            <w:r>
              <w:t>Actions cotées et obligations</w:t>
            </w:r>
          </w:p>
        </w:tc>
        <w:tc>
          <w:tcPr>
            <w:tcW w:w="0" w:type="auto"/>
          </w:tcPr>
          <w:p w14:paraId="61C3A4A7" w14:textId="77777777" w:rsidR="007A38EE" w:rsidRDefault="00000000">
            <w:pPr>
              <w:pStyle w:val="Compact"/>
            </w:pPr>
            <w:r>
              <w:t>39 %</w:t>
            </w:r>
          </w:p>
        </w:tc>
        <w:tc>
          <w:tcPr>
            <w:tcW w:w="0" w:type="auto"/>
          </w:tcPr>
          <w:p w14:paraId="61C3A4A8" w14:textId="77777777" w:rsidR="007A38EE" w:rsidRDefault="00000000">
            <w:pPr>
              <w:pStyle w:val="Compact"/>
            </w:pPr>
            <w:r>
              <w:t>43 %</w:t>
            </w:r>
          </w:p>
        </w:tc>
        <w:tc>
          <w:tcPr>
            <w:tcW w:w="0" w:type="auto"/>
          </w:tcPr>
          <w:p w14:paraId="61C3A4A9" w14:textId="77777777" w:rsidR="007A38EE" w:rsidRDefault="00000000">
            <w:pPr>
              <w:pStyle w:val="Compact"/>
            </w:pPr>
            <w:r>
              <w:t>13 %</w:t>
            </w:r>
          </w:p>
        </w:tc>
      </w:tr>
      <w:tr w:rsidR="007A38EE" w14:paraId="61C3A4AF" w14:textId="77777777">
        <w:tc>
          <w:tcPr>
            <w:tcW w:w="0" w:type="auto"/>
          </w:tcPr>
          <w:p w14:paraId="61C3A4AB" w14:textId="77777777" w:rsidR="007A38EE" w:rsidRDefault="00000000">
            <w:pPr>
              <w:pStyle w:val="Compact"/>
            </w:pPr>
            <w:r>
              <w:t>Prêts aux entreprises / actions non cotées</w:t>
            </w:r>
          </w:p>
        </w:tc>
        <w:tc>
          <w:tcPr>
            <w:tcW w:w="0" w:type="auto"/>
          </w:tcPr>
          <w:p w14:paraId="61C3A4AC" w14:textId="77777777" w:rsidR="007A38EE" w:rsidRDefault="00000000">
            <w:pPr>
              <w:pStyle w:val="Compact"/>
            </w:pPr>
            <w:r>
              <w:t>74 %</w:t>
            </w:r>
          </w:p>
        </w:tc>
        <w:tc>
          <w:tcPr>
            <w:tcW w:w="0" w:type="auto"/>
          </w:tcPr>
          <w:p w14:paraId="61C3A4AD" w14:textId="77777777" w:rsidR="007A38EE" w:rsidRDefault="00000000">
            <w:pPr>
              <w:pStyle w:val="Compact"/>
            </w:pPr>
            <w:r>
              <w:t>22 %</w:t>
            </w:r>
          </w:p>
        </w:tc>
        <w:tc>
          <w:tcPr>
            <w:tcW w:w="0" w:type="auto"/>
          </w:tcPr>
          <w:p w14:paraId="61C3A4AE" w14:textId="77777777" w:rsidR="007A38EE" w:rsidRDefault="00000000">
            <w:pPr>
              <w:pStyle w:val="Compact"/>
            </w:pPr>
            <w:r>
              <w:t>4 %</w:t>
            </w:r>
          </w:p>
        </w:tc>
      </w:tr>
      <w:tr w:rsidR="007A38EE" w14:paraId="61C3A4B4" w14:textId="77777777">
        <w:tc>
          <w:tcPr>
            <w:tcW w:w="0" w:type="auto"/>
          </w:tcPr>
          <w:p w14:paraId="61C3A4B0" w14:textId="77777777" w:rsidR="007A38EE" w:rsidRDefault="00000000">
            <w:pPr>
              <w:pStyle w:val="Compact"/>
            </w:pPr>
            <w:r>
              <w:t>Financement de projets</w:t>
            </w:r>
          </w:p>
        </w:tc>
        <w:tc>
          <w:tcPr>
            <w:tcW w:w="0" w:type="auto"/>
          </w:tcPr>
          <w:p w14:paraId="61C3A4B1" w14:textId="77777777" w:rsidR="007A38EE" w:rsidRDefault="00000000">
            <w:pPr>
              <w:pStyle w:val="Compact"/>
            </w:pPr>
            <w:r>
              <w:t>26 %</w:t>
            </w:r>
          </w:p>
        </w:tc>
        <w:tc>
          <w:tcPr>
            <w:tcW w:w="0" w:type="auto"/>
          </w:tcPr>
          <w:p w14:paraId="61C3A4B2" w14:textId="77777777" w:rsidR="007A38EE" w:rsidRDefault="00000000">
            <w:pPr>
              <w:pStyle w:val="Compact"/>
            </w:pPr>
            <w:r>
              <w:t>35 %</w:t>
            </w:r>
          </w:p>
        </w:tc>
        <w:tc>
          <w:tcPr>
            <w:tcW w:w="0" w:type="auto"/>
          </w:tcPr>
          <w:p w14:paraId="61C3A4B3" w14:textId="77777777" w:rsidR="007A38EE" w:rsidRDefault="00000000">
            <w:pPr>
              <w:pStyle w:val="Compact"/>
            </w:pPr>
            <w:r>
              <w:t>39 %</w:t>
            </w:r>
          </w:p>
        </w:tc>
      </w:tr>
      <w:tr w:rsidR="007A38EE" w14:paraId="61C3A4B9" w14:textId="77777777">
        <w:tc>
          <w:tcPr>
            <w:tcW w:w="0" w:type="auto"/>
          </w:tcPr>
          <w:p w14:paraId="61C3A4B5" w14:textId="77777777" w:rsidR="007A38EE" w:rsidRDefault="00000000">
            <w:pPr>
              <w:pStyle w:val="Compact"/>
            </w:pPr>
            <w:r>
              <w:t>Immobilier commercial</w:t>
            </w:r>
          </w:p>
        </w:tc>
        <w:tc>
          <w:tcPr>
            <w:tcW w:w="0" w:type="auto"/>
          </w:tcPr>
          <w:p w14:paraId="61C3A4B6" w14:textId="77777777" w:rsidR="007A38EE" w:rsidRDefault="00000000">
            <w:pPr>
              <w:pStyle w:val="Compact"/>
            </w:pPr>
            <w:r>
              <w:t>61 %</w:t>
            </w:r>
          </w:p>
        </w:tc>
        <w:tc>
          <w:tcPr>
            <w:tcW w:w="0" w:type="auto"/>
          </w:tcPr>
          <w:p w14:paraId="61C3A4B7" w14:textId="77777777" w:rsidR="007A38EE" w:rsidRDefault="00000000">
            <w:pPr>
              <w:pStyle w:val="Compact"/>
            </w:pPr>
            <w:r>
              <w:t>26 %</w:t>
            </w:r>
          </w:p>
        </w:tc>
        <w:tc>
          <w:tcPr>
            <w:tcW w:w="0" w:type="auto"/>
          </w:tcPr>
          <w:p w14:paraId="61C3A4B8" w14:textId="77777777" w:rsidR="007A38EE" w:rsidRDefault="00000000">
            <w:pPr>
              <w:pStyle w:val="Compact"/>
            </w:pPr>
            <w:r>
              <w:t>13 %</w:t>
            </w:r>
          </w:p>
        </w:tc>
      </w:tr>
      <w:tr w:rsidR="007A38EE" w14:paraId="61C3A4BE" w14:textId="77777777">
        <w:tc>
          <w:tcPr>
            <w:tcW w:w="0" w:type="auto"/>
          </w:tcPr>
          <w:p w14:paraId="61C3A4BA" w14:textId="77777777" w:rsidR="007A38EE" w:rsidRDefault="00000000">
            <w:pPr>
              <w:pStyle w:val="Compact"/>
            </w:pPr>
            <w:r>
              <w:t>Crédits hypothécaires résidentiels</w:t>
            </w:r>
          </w:p>
        </w:tc>
        <w:tc>
          <w:tcPr>
            <w:tcW w:w="0" w:type="auto"/>
          </w:tcPr>
          <w:p w14:paraId="61C3A4BB" w14:textId="77777777" w:rsidR="007A38EE" w:rsidRDefault="00000000">
            <w:pPr>
              <w:pStyle w:val="Compact"/>
            </w:pPr>
            <w:r>
              <w:t>83 %</w:t>
            </w:r>
          </w:p>
        </w:tc>
        <w:tc>
          <w:tcPr>
            <w:tcW w:w="0" w:type="auto"/>
          </w:tcPr>
          <w:p w14:paraId="61C3A4BC" w14:textId="77777777" w:rsidR="007A38EE" w:rsidRDefault="00000000">
            <w:pPr>
              <w:pStyle w:val="Compact"/>
            </w:pPr>
            <w:r>
              <w:t>13 %</w:t>
            </w:r>
          </w:p>
        </w:tc>
        <w:tc>
          <w:tcPr>
            <w:tcW w:w="0" w:type="auto"/>
          </w:tcPr>
          <w:p w14:paraId="61C3A4BD" w14:textId="77777777" w:rsidR="007A38EE" w:rsidRDefault="00000000">
            <w:pPr>
              <w:pStyle w:val="Compact"/>
            </w:pPr>
            <w:r>
              <w:t>4 %</w:t>
            </w:r>
          </w:p>
        </w:tc>
      </w:tr>
      <w:tr w:rsidR="007A38EE" w14:paraId="61C3A4C3" w14:textId="77777777">
        <w:tc>
          <w:tcPr>
            <w:tcW w:w="0" w:type="auto"/>
          </w:tcPr>
          <w:p w14:paraId="61C3A4BF" w14:textId="77777777" w:rsidR="007A38EE" w:rsidRDefault="00000000">
            <w:pPr>
              <w:pStyle w:val="Compact"/>
            </w:pPr>
            <w:r>
              <w:t>Prêts pour véhicules à moteur</w:t>
            </w:r>
          </w:p>
        </w:tc>
        <w:tc>
          <w:tcPr>
            <w:tcW w:w="0" w:type="auto"/>
          </w:tcPr>
          <w:p w14:paraId="61C3A4C0" w14:textId="77777777" w:rsidR="007A38EE" w:rsidRDefault="00000000">
            <w:pPr>
              <w:pStyle w:val="Compact"/>
            </w:pPr>
            <w:r>
              <w:t>48 %</w:t>
            </w:r>
          </w:p>
        </w:tc>
        <w:tc>
          <w:tcPr>
            <w:tcW w:w="0" w:type="auto"/>
          </w:tcPr>
          <w:p w14:paraId="61C3A4C1" w14:textId="77777777" w:rsidR="007A38EE" w:rsidRDefault="00000000">
            <w:pPr>
              <w:pStyle w:val="Compact"/>
            </w:pPr>
            <w:r>
              <w:t>17 %</w:t>
            </w:r>
          </w:p>
        </w:tc>
        <w:tc>
          <w:tcPr>
            <w:tcW w:w="0" w:type="auto"/>
          </w:tcPr>
          <w:p w14:paraId="61C3A4C2" w14:textId="77777777" w:rsidR="007A38EE" w:rsidRDefault="00000000">
            <w:pPr>
              <w:pStyle w:val="Compact"/>
            </w:pPr>
            <w:r>
              <w:t>35 %</w:t>
            </w:r>
          </w:p>
        </w:tc>
      </w:tr>
      <w:tr w:rsidR="007A38EE" w14:paraId="61C3A4C8" w14:textId="77777777">
        <w:tc>
          <w:tcPr>
            <w:tcW w:w="0" w:type="auto"/>
          </w:tcPr>
          <w:p w14:paraId="61C3A4C4" w14:textId="77777777" w:rsidR="007A38EE" w:rsidRDefault="00000000">
            <w:pPr>
              <w:pStyle w:val="Compact"/>
            </w:pPr>
            <w:r>
              <w:t>Utilisation des produits</w:t>
            </w:r>
          </w:p>
        </w:tc>
        <w:tc>
          <w:tcPr>
            <w:tcW w:w="0" w:type="auto"/>
          </w:tcPr>
          <w:p w14:paraId="61C3A4C5" w14:textId="77777777" w:rsidR="007A38EE" w:rsidRDefault="00000000">
            <w:pPr>
              <w:pStyle w:val="Compact"/>
            </w:pPr>
            <w:r>
              <w:t>39 %</w:t>
            </w:r>
          </w:p>
        </w:tc>
        <w:tc>
          <w:tcPr>
            <w:tcW w:w="0" w:type="auto"/>
          </w:tcPr>
          <w:p w14:paraId="61C3A4C6" w14:textId="77777777" w:rsidR="007A38EE" w:rsidRDefault="00000000">
            <w:pPr>
              <w:pStyle w:val="Compact"/>
            </w:pPr>
            <w:r>
              <w:t>22 %</w:t>
            </w:r>
          </w:p>
        </w:tc>
        <w:tc>
          <w:tcPr>
            <w:tcW w:w="0" w:type="auto"/>
          </w:tcPr>
          <w:p w14:paraId="61C3A4C7" w14:textId="77777777" w:rsidR="007A38EE" w:rsidRDefault="00000000">
            <w:pPr>
              <w:pStyle w:val="Compact"/>
            </w:pPr>
            <w:r>
              <w:t>39 %</w:t>
            </w:r>
          </w:p>
        </w:tc>
      </w:tr>
      <w:tr w:rsidR="007A38EE" w14:paraId="61C3A4CD" w14:textId="77777777">
        <w:tc>
          <w:tcPr>
            <w:tcW w:w="0" w:type="auto"/>
          </w:tcPr>
          <w:p w14:paraId="61C3A4C9" w14:textId="77777777" w:rsidR="007A38EE" w:rsidRDefault="00000000">
            <w:pPr>
              <w:pStyle w:val="Compact"/>
            </w:pPr>
            <w:r>
              <w:t>Produits titrisés et structurés</w:t>
            </w:r>
          </w:p>
        </w:tc>
        <w:tc>
          <w:tcPr>
            <w:tcW w:w="0" w:type="auto"/>
          </w:tcPr>
          <w:p w14:paraId="61C3A4CA" w14:textId="77777777" w:rsidR="007A38EE" w:rsidRDefault="00000000">
            <w:pPr>
              <w:pStyle w:val="Compact"/>
            </w:pPr>
            <w:r>
              <w:t>35 %</w:t>
            </w:r>
          </w:p>
        </w:tc>
        <w:tc>
          <w:tcPr>
            <w:tcW w:w="0" w:type="auto"/>
          </w:tcPr>
          <w:p w14:paraId="61C3A4CB" w14:textId="77777777" w:rsidR="007A38EE" w:rsidRDefault="00000000">
            <w:pPr>
              <w:pStyle w:val="Compact"/>
            </w:pPr>
            <w:r>
              <w:t>9 %</w:t>
            </w:r>
          </w:p>
        </w:tc>
        <w:tc>
          <w:tcPr>
            <w:tcW w:w="0" w:type="auto"/>
          </w:tcPr>
          <w:p w14:paraId="61C3A4CC" w14:textId="77777777" w:rsidR="007A38EE" w:rsidRDefault="00000000">
            <w:pPr>
              <w:pStyle w:val="Compact"/>
            </w:pPr>
            <w:r>
              <w:t>57 %</w:t>
            </w:r>
          </w:p>
        </w:tc>
      </w:tr>
      <w:tr w:rsidR="007A38EE" w14:paraId="61C3A4D2" w14:textId="77777777">
        <w:tc>
          <w:tcPr>
            <w:tcW w:w="0" w:type="auto"/>
          </w:tcPr>
          <w:p w14:paraId="61C3A4CE" w14:textId="77777777" w:rsidR="007A38EE" w:rsidRDefault="00000000">
            <w:pPr>
              <w:pStyle w:val="Compact"/>
            </w:pPr>
            <w:r>
              <w:t>Dette souveraine</w:t>
            </w:r>
          </w:p>
        </w:tc>
        <w:tc>
          <w:tcPr>
            <w:tcW w:w="0" w:type="auto"/>
          </w:tcPr>
          <w:p w14:paraId="61C3A4CF" w14:textId="77777777" w:rsidR="007A38EE" w:rsidRDefault="00000000">
            <w:pPr>
              <w:pStyle w:val="Compact"/>
            </w:pPr>
            <w:r>
              <w:t>74 %</w:t>
            </w:r>
          </w:p>
        </w:tc>
        <w:tc>
          <w:tcPr>
            <w:tcW w:w="0" w:type="auto"/>
          </w:tcPr>
          <w:p w14:paraId="61C3A4D0" w14:textId="77777777" w:rsidR="007A38EE" w:rsidRDefault="00000000">
            <w:pPr>
              <w:pStyle w:val="Compact"/>
            </w:pPr>
            <w:r>
              <w:t>17 %</w:t>
            </w:r>
          </w:p>
        </w:tc>
        <w:tc>
          <w:tcPr>
            <w:tcW w:w="0" w:type="auto"/>
          </w:tcPr>
          <w:p w14:paraId="61C3A4D1" w14:textId="77777777" w:rsidR="007A38EE" w:rsidRDefault="00000000">
            <w:pPr>
              <w:pStyle w:val="Compact"/>
            </w:pPr>
            <w:r>
              <w:t>9 %</w:t>
            </w:r>
          </w:p>
        </w:tc>
      </w:tr>
      <w:tr w:rsidR="007A38EE" w14:paraId="61C3A4D7" w14:textId="77777777">
        <w:tc>
          <w:tcPr>
            <w:tcW w:w="0" w:type="auto"/>
          </w:tcPr>
          <w:p w14:paraId="61C3A4D3" w14:textId="77777777" w:rsidR="007A38EE" w:rsidRDefault="00000000">
            <w:pPr>
              <w:pStyle w:val="Compact"/>
            </w:pPr>
            <w:r>
              <w:t>Dette sub-souveraine</w:t>
            </w:r>
          </w:p>
        </w:tc>
        <w:tc>
          <w:tcPr>
            <w:tcW w:w="0" w:type="auto"/>
          </w:tcPr>
          <w:p w14:paraId="61C3A4D4" w14:textId="77777777" w:rsidR="007A38EE" w:rsidRDefault="00000000">
            <w:pPr>
              <w:pStyle w:val="Compact"/>
            </w:pPr>
            <w:r>
              <w:t>17 %</w:t>
            </w:r>
          </w:p>
        </w:tc>
        <w:tc>
          <w:tcPr>
            <w:tcW w:w="0" w:type="auto"/>
          </w:tcPr>
          <w:p w14:paraId="61C3A4D5" w14:textId="77777777" w:rsidR="007A38EE" w:rsidRDefault="00000000">
            <w:pPr>
              <w:pStyle w:val="Compact"/>
            </w:pPr>
            <w:r>
              <w:t>17 %</w:t>
            </w:r>
          </w:p>
        </w:tc>
        <w:tc>
          <w:tcPr>
            <w:tcW w:w="0" w:type="auto"/>
          </w:tcPr>
          <w:p w14:paraId="61C3A4D6" w14:textId="77777777" w:rsidR="007A38EE" w:rsidRDefault="00000000">
            <w:pPr>
              <w:pStyle w:val="Compact"/>
            </w:pPr>
            <w:r>
              <w:t>65 %</w:t>
            </w:r>
          </w:p>
        </w:tc>
      </w:tr>
    </w:tbl>
    <w:p w14:paraId="61C3A4D8" w14:textId="77777777" w:rsidR="007A38EE" w:rsidRDefault="00000000">
      <w:pPr>
        <w:pStyle w:val="Corpsdetexte"/>
      </w:pPr>
      <w:r>
        <w:rPr>
          <w:b/>
          <w:bCs/>
        </w:rPr>
        <w:t>Partie B — Émissions facilitées (2 classes)</w:t>
      </w:r>
    </w:p>
    <w:tbl>
      <w:tblPr>
        <w:tblStyle w:val="Table"/>
        <w:tblW w:w="0" w:type="auto"/>
        <w:tblLook w:val="0020" w:firstRow="1" w:lastRow="0" w:firstColumn="0" w:lastColumn="0" w:noHBand="0" w:noVBand="0"/>
      </w:tblPr>
      <w:tblGrid>
        <w:gridCol w:w="2364"/>
        <w:gridCol w:w="2422"/>
        <w:gridCol w:w="1075"/>
        <w:gridCol w:w="720"/>
      </w:tblGrid>
      <w:tr w:rsidR="007A38EE" w14:paraId="61C3A4DD" w14:textId="77777777" w:rsidTr="007A38EE">
        <w:trPr>
          <w:cnfStyle w:val="100000000000" w:firstRow="1" w:lastRow="0" w:firstColumn="0" w:lastColumn="0" w:oddVBand="0" w:evenVBand="0" w:oddHBand="0" w:evenHBand="0" w:firstRowFirstColumn="0" w:firstRowLastColumn="0" w:lastRowFirstColumn="0" w:lastRowLastColumn="0"/>
          <w:tblHeader/>
        </w:trPr>
        <w:tc>
          <w:tcPr>
            <w:tcW w:w="0" w:type="auto"/>
          </w:tcPr>
          <w:p w14:paraId="61C3A4D9" w14:textId="77777777" w:rsidR="007A38EE" w:rsidRDefault="00000000">
            <w:pPr>
              <w:pStyle w:val="Compact"/>
            </w:pPr>
            <w:r>
              <w:t>Classe d’actifs</w:t>
            </w:r>
          </w:p>
        </w:tc>
        <w:tc>
          <w:tcPr>
            <w:tcW w:w="0" w:type="auto"/>
          </w:tcPr>
          <w:p w14:paraId="61C3A4DA" w14:textId="77777777" w:rsidR="007A38EE" w:rsidRDefault="00000000">
            <w:pPr>
              <w:pStyle w:val="Compact"/>
            </w:pPr>
            <w:r>
              <w:t>Couverture complète</w:t>
            </w:r>
          </w:p>
        </w:tc>
        <w:tc>
          <w:tcPr>
            <w:tcW w:w="0" w:type="auto"/>
          </w:tcPr>
          <w:p w14:paraId="61C3A4DB" w14:textId="77777777" w:rsidR="007A38EE" w:rsidRDefault="00000000">
            <w:pPr>
              <w:pStyle w:val="Compact"/>
            </w:pPr>
            <w:r>
              <w:t>Partielle</w:t>
            </w:r>
          </w:p>
        </w:tc>
        <w:tc>
          <w:tcPr>
            <w:tcW w:w="0" w:type="auto"/>
          </w:tcPr>
          <w:p w14:paraId="61C3A4DC" w14:textId="77777777" w:rsidR="007A38EE" w:rsidRDefault="00000000">
            <w:pPr>
              <w:pStyle w:val="Compact"/>
            </w:pPr>
            <w:r>
              <w:t>N/A</w:t>
            </w:r>
          </w:p>
        </w:tc>
      </w:tr>
      <w:tr w:rsidR="007A38EE" w14:paraId="61C3A4E2" w14:textId="77777777">
        <w:tc>
          <w:tcPr>
            <w:tcW w:w="0" w:type="auto"/>
          </w:tcPr>
          <w:p w14:paraId="61C3A4DE" w14:textId="77777777" w:rsidR="007A38EE" w:rsidRDefault="00000000">
            <w:pPr>
              <w:pStyle w:val="Compact"/>
            </w:pPr>
            <w:r>
              <w:t>Marchés de capitaux</w:t>
            </w:r>
          </w:p>
        </w:tc>
        <w:tc>
          <w:tcPr>
            <w:tcW w:w="0" w:type="auto"/>
          </w:tcPr>
          <w:p w14:paraId="61C3A4DF" w14:textId="77777777" w:rsidR="007A38EE" w:rsidRDefault="00000000">
            <w:pPr>
              <w:pStyle w:val="Compact"/>
            </w:pPr>
            <w:r>
              <w:t>35 %</w:t>
            </w:r>
          </w:p>
        </w:tc>
        <w:tc>
          <w:tcPr>
            <w:tcW w:w="0" w:type="auto"/>
          </w:tcPr>
          <w:p w14:paraId="61C3A4E0" w14:textId="77777777" w:rsidR="007A38EE" w:rsidRDefault="00000000">
            <w:pPr>
              <w:pStyle w:val="Compact"/>
            </w:pPr>
            <w:r>
              <w:t>4 %</w:t>
            </w:r>
          </w:p>
        </w:tc>
        <w:tc>
          <w:tcPr>
            <w:tcW w:w="0" w:type="auto"/>
          </w:tcPr>
          <w:p w14:paraId="61C3A4E1" w14:textId="77777777" w:rsidR="007A38EE" w:rsidRDefault="00000000">
            <w:pPr>
              <w:pStyle w:val="Compact"/>
            </w:pPr>
            <w:r>
              <w:t>61 %</w:t>
            </w:r>
          </w:p>
        </w:tc>
      </w:tr>
      <w:tr w:rsidR="007A38EE" w14:paraId="61C3A4E7" w14:textId="77777777">
        <w:tc>
          <w:tcPr>
            <w:tcW w:w="0" w:type="auto"/>
          </w:tcPr>
          <w:p w14:paraId="61C3A4E3" w14:textId="77777777" w:rsidR="007A38EE" w:rsidRDefault="00000000">
            <w:pPr>
              <w:pStyle w:val="Compact"/>
            </w:pPr>
            <w:r>
              <w:t>Services de conseil</w:t>
            </w:r>
          </w:p>
        </w:tc>
        <w:tc>
          <w:tcPr>
            <w:tcW w:w="0" w:type="auto"/>
          </w:tcPr>
          <w:p w14:paraId="61C3A4E4" w14:textId="77777777" w:rsidR="007A38EE" w:rsidRDefault="00000000">
            <w:pPr>
              <w:pStyle w:val="Compact"/>
            </w:pPr>
            <w:r>
              <w:t>35 %</w:t>
            </w:r>
          </w:p>
        </w:tc>
        <w:tc>
          <w:tcPr>
            <w:tcW w:w="0" w:type="auto"/>
          </w:tcPr>
          <w:p w14:paraId="61C3A4E5" w14:textId="77777777" w:rsidR="007A38EE" w:rsidRDefault="00000000">
            <w:pPr>
              <w:pStyle w:val="Compact"/>
            </w:pPr>
            <w:r>
              <w:t>—</w:t>
            </w:r>
          </w:p>
        </w:tc>
        <w:tc>
          <w:tcPr>
            <w:tcW w:w="0" w:type="auto"/>
          </w:tcPr>
          <w:p w14:paraId="61C3A4E6" w14:textId="77777777" w:rsidR="007A38EE" w:rsidRDefault="00000000">
            <w:pPr>
              <w:pStyle w:val="Compact"/>
            </w:pPr>
            <w:r>
              <w:t>65 %</w:t>
            </w:r>
          </w:p>
        </w:tc>
      </w:tr>
    </w:tbl>
    <w:p w14:paraId="61C3A4E8" w14:textId="77777777" w:rsidR="007A38EE" w:rsidRDefault="00000000">
      <w:pPr>
        <w:pStyle w:val="Corpsdetexte"/>
      </w:pPr>
      <w:r>
        <w:rPr>
          <w:b/>
          <w:bCs/>
        </w:rPr>
        <w:t>Partie C — Émissions d’assurance (1 classe)</w:t>
      </w:r>
    </w:p>
    <w:tbl>
      <w:tblPr>
        <w:tblStyle w:val="Table"/>
        <w:tblW w:w="0" w:type="auto"/>
        <w:tblLook w:val="0020" w:firstRow="1" w:lastRow="0" w:firstColumn="0" w:lastColumn="0" w:noHBand="0" w:noVBand="0"/>
      </w:tblPr>
      <w:tblGrid>
        <w:gridCol w:w="2869"/>
        <w:gridCol w:w="2422"/>
        <w:gridCol w:w="1075"/>
        <w:gridCol w:w="720"/>
      </w:tblGrid>
      <w:tr w:rsidR="007A38EE" w14:paraId="61C3A4ED" w14:textId="77777777" w:rsidTr="007A38EE">
        <w:trPr>
          <w:cnfStyle w:val="100000000000" w:firstRow="1" w:lastRow="0" w:firstColumn="0" w:lastColumn="0" w:oddVBand="0" w:evenVBand="0" w:oddHBand="0" w:evenHBand="0" w:firstRowFirstColumn="0" w:firstRowLastColumn="0" w:lastRowFirstColumn="0" w:lastRowLastColumn="0"/>
          <w:tblHeader/>
        </w:trPr>
        <w:tc>
          <w:tcPr>
            <w:tcW w:w="0" w:type="auto"/>
          </w:tcPr>
          <w:p w14:paraId="61C3A4E9" w14:textId="77777777" w:rsidR="007A38EE" w:rsidRDefault="00000000">
            <w:pPr>
              <w:pStyle w:val="Compact"/>
            </w:pPr>
            <w:r>
              <w:lastRenderedPageBreak/>
              <w:t>Classe d’actifs</w:t>
            </w:r>
          </w:p>
        </w:tc>
        <w:tc>
          <w:tcPr>
            <w:tcW w:w="0" w:type="auto"/>
          </w:tcPr>
          <w:p w14:paraId="61C3A4EA" w14:textId="77777777" w:rsidR="007A38EE" w:rsidRDefault="00000000">
            <w:pPr>
              <w:pStyle w:val="Compact"/>
            </w:pPr>
            <w:r>
              <w:t>Couverture complète</w:t>
            </w:r>
          </w:p>
        </w:tc>
        <w:tc>
          <w:tcPr>
            <w:tcW w:w="0" w:type="auto"/>
          </w:tcPr>
          <w:p w14:paraId="61C3A4EB" w14:textId="77777777" w:rsidR="007A38EE" w:rsidRDefault="00000000">
            <w:pPr>
              <w:pStyle w:val="Compact"/>
            </w:pPr>
            <w:r>
              <w:t>Partielle</w:t>
            </w:r>
          </w:p>
        </w:tc>
        <w:tc>
          <w:tcPr>
            <w:tcW w:w="0" w:type="auto"/>
          </w:tcPr>
          <w:p w14:paraId="61C3A4EC" w14:textId="77777777" w:rsidR="007A38EE" w:rsidRDefault="00000000">
            <w:pPr>
              <w:pStyle w:val="Compact"/>
            </w:pPr>
            <w:r>
              <w:t>N/A</w:t>
            </w:r>
          </w:p>
        </w:tc>
      </w:tr>
      <w:tr w:rsidR="007A38EE" w14:paraId="61C3A4F2" w14:textId="77777777">
        <w:tc>
          <w:tcPr>
            <w:tcW w:w="0" w:type="auto"/>
          </w:tcPr>
          <w:p w14:paraId="61C3A4EE" w14:textId="77777777" w:rsidR="007A38EE" w:rsidRDefault="00000000">
            <w:pPr>
              <w:pStyle w:val="Compact"/>
            </w:pPr>
            <w:r>
              <w:t>Souscription d’assurance</w:t>
            </w:r>
          </w:p>
        </w:tc>
        <w:tc>
          <w:tcPr>
            <w:tcW w:w="0" w:type="auto"/>
          </w:tcPr>
          <w:p w14:paraId="61C3A4EF" w14:textId="77777777" w:rsidR="007A38EE" w:rsidRDefault="00000000">
            <w:pPr>
              <w:pStyle w:val="Compact"/>
            </w:pPr>
            <w:r>
              <w:t>48 %</w:t>
            </w:r>
          </w:p>
        </w:tc>
        <w:tc>
          <w:tcPr>
            <w:tcW w:w="0" w:type="auto"/>
          </w:tcPr>
          <w:p w14:paraId="61C3A4F0" w14:textId="77777777" w:rsidR="007A38EE" w:rsidRDefault="00000000">
            <w:pPr>
              <w:pStyle w:val="Compact"/>
            </w:pPr>
            <w:r>
              <w:t>17 %</w:t>
            </w:r>
          </w:p>
        </w:tc>
        <w:tc>
          <w:tcPr>
            <w:tcW w:w="0" w:type="auto"/>
          </w:tcPr>
          <w:p w14:paraId="61C3A4F1" w14:textId="77777777" w:rsidR="007A38EE" w:rsidRDefault="00000000">
            <w:pPr>
              <w:pStyle w:val="Compact"/>
            </w:pPr>
            <w:r>
              <w:t>35 %</w:t>
            </w:r>
          </w:p>
        </w:tc>
      </w:tr>
    </w:tbl>
    <w:p w14:paraId="61C3A4F3" w14:textId="77777777" w:rsidR="007A38EE" w:rsidRDefault="00000000">
      <w:pPr>
        <w:pStyle w:val="Corpsdetexte"/>
      </w:pPr>
      <w:r>
        <w:rPr>
          <w:b/>
          <w:bCs/>
        </w:rPr>
        <w:t>Points d’attention</w:t>
      </w:r>
      <w:r>
        <w:t xml:space="preserve"> : Les produits titrisés/structurés (57 % absents) et la dette sub-souveraine (65 % absents) présentent les lacunes les plus importantes. Le financement de projets et les prêts véhicules restent également sous-couverts (39 % et 35 % absents respectivement).</w:t>
      </w:r>
    </w:p>
    <w:p w14:paraId="61C3A4F4" w14:textId="77777777" w:rsidR="007A38EE" w:rsidRDefault="00E03C4F">
      <w:r>
        <w:rPr>
          <w:noProof/>
        </w:rPr>
        <w:pict w14:anchorId="1C7E930F">
          <v:rect id="_x0000_i1029" alt="" style="width:453.6pt;height:.05pt;mso-width-percent:0;mso-height-percent:0;mso-width-percent:0;mso-height-percent:0" o:hralign="center" o:hrstd="t" o:hr="t"/>
        </w:pict>
      </w:r>
    </w:p>
    <w:p w14:paraId="61C3A4F5" w14:textId="77777777" w:rsidR="007A38EE" w:rsidRDefault="00000000">
      <w:pPr>
        <w:pStyle w:val="Titre3"/>
      </w:pPr>
      <w:bookmarkStart w:id="9" w:name="matrice-de-maturité"/>
      <w:bookmarkEnd w:id="4"/>
      <w:bookmarkEnd w:id="8"/>
      <w:r>
        <w:t>4. Matrice de maturité</w:t>
      </w:r>
    </w:p>
    <w:p w14:paraId="61C3A4F6" w14:textId="77777777" w:rsidR="007A38EE" w:rsidRDefault="00000000">
      <w:pPr>
        <w:pStyle w:val="FirstParagraph"/>
      </w:pPr>
      <w:r>
        <w:t>L’évaluation multicritère positionne les institutions selon leur niveau de maturité PCAF :</w:t>
      </w:r>
    </w:p>
    <w:p w14:paraId="61C3A4F7" w14:textId="77777777" w:rsidR="007A38EE" w:rsidRDefault="00000000">
      <w:pPr>
        <w:pStyle w:val="Corpsdetexte"/>
      </w:pPr>
      <w:r>
        <w:rPr>
          <w:b/>
          <w:bCs/>
        </w:rPr>
        <w:t>Leaders (&gt;80 %)</w:t>
      </w:r>
      <w:r>
        <w:t xml:space="preserve"> — 5 institutions</w:t>
      </w:r>
    </w:p>
    <w:p w14:paraId="61C3A4FE" w14:textId="39332CAE" w:rsidR="007A38EE" w:rsidRDefault="00A36560">
      <w:pPr>
        <w:pStyle w:val="Compact"/>
        <w:numPr>
          <w:ilvl w:val="0"/>
          <w:numId w:val="8"/>
        </w:numPr>
      </w:pPr>
      <w:r>
        <w:t xml:space="preserve"> </w:t>
      </w:r>
    </w:p>
    <w:p w14:paraId="61C3A4FF" w14:textId="77777777" w:rsidR="007A38EE" w:rsidRDefault="00E03C4F">
      <w:r>
        <w:rPr>
          <w:noProof/>
        </w:rPr>
        <w:pict w14:anchorId="33271FB0">
          <v:rect id="_x0000_i1028" alt="" style="width:453.6pt;height:.05pt;mso-width-percent:0;mso-height-percent:0;mso-width-percent:0;mso-height-percent:0" o:hralign="center" o:hrstd="t" o:hr="t"/>
        </w:pict>
      </w:r>
    </w:p>
    <w:p w14:paraId="61C3A500" w14:textId="77777777" w:rsidR="007A38EE" w:rsidRDefault="00000000">
      <w:pPr>
        <w:pStyle w:val="Titre3"/>
      </w:pPr>
      <w:bookmarkStart w:id="10" w:name="analyse-des-écarts"/>
      <w:bookmarkEnd w:id="9"/>
      <w:r>
        <w:t>5. Analyse des écarts</w:t>
      </w:r>
    </w:p>
    <w:p w14:paraId="61C3A501" w14:textId="77777777" w:rsidR="007A38EE" w:rsidRDefault="00000000">
      <w:pPr>
        <w:pStyle w:val="Titre4"/>
      </w:pPr>
      <w:bookmarkStart w:id="11" w:name="écarts-critiques-identifiés"/>
      <w:r>
        <w:t>5.1 Écarts critiques identifiés</w:t>
      </w:r>
    </w:p>
    <w:p w14:paraId="61C3A502" w14:textId="77777777" w:rsidR="007A38EE" w:rsidRDefault="00000000">
      <w:pPr>
        <w:pStyle w:val="Compact"/>
        <w:numPr>
          <w:ilvl w:val="0"/>
          <w:numId w:val="9"/>
        </w:numPr>
      </w:pPr>
      <w:r>
        <w:rPr>
          <w:b/>
          <w:bCs/>
        </w:rPr>
        <w:t>Absence de méthodologie PCAF</w:t>
      </w:r>
      <w:r>
        <w:t xml:space="preserve"> (2 institutions)</w:t>
      </w:r>
    </w:p>
    <w:p w14:paraId="61C3A503" w14:textId="77777777" w:rsidR="007A38EE" w:rsidRDefault="00000000">
      <w:pPr>
        <w:pStyle w:val="Compact"/>
        <w:numPr>
          <w:ilvl w:val="1"/>
          <w:numId w:val="10"/>
        </w:numPr>
      </w:pPr>
      <w:r>
        <w:t>Amundi : gestionnaire d’actifs sans mention PCAF ni émissions financées déclarées</w:t>
      </w:r>
    </w:p>
    <w:p w14:paraId="61C3A504" w14:textId="77777777" w:rsidR="007A38EE" w:rsidRDefault="00000000">
      <w:pPr>
        <w:pStyle w:val="Compact"/>
        <w:numPr>
          <w:ilvl w:val="1"/>
          <w:numId w:val="10"/>
        </w:numPr>
      </w:pPr>
      <w:r>
        <w:t>Deutsche Börse : opérateur de marché sans adoption du standard</w:t>
      </w:r>
    </w:p>
    <w:p w14:paraId="61C3A505" w14:textId="77777777" w:rsidR="007A38EE" w:rsidRDefault="00000000">
      <w:pPr>
        <w:pStyle w:val="Compact"/>
        <w:numPr>
          <w:ilvl w:val="0"/>
          <w:numId w:val="9"/>
        </w:numPr>
      </w:pPr>
      <w:r>
        <w:rPr>
          <w:b/>
          <w:bCs/>
        </w:rPr>
        <w:t>DQS non documenté</w:t>
      </w:r>
      <w:r>
        <w:t xml:space="preserve"> (12 institutions)</w:t>
      </w:r>
    </w:p>
    <w:p w14:paraId="61C3A506" w14:textId="77777777" w:rsidR="007A38EE" w:rsidRDefault="00000000">
      <w:pPr>
        <w:pStyle w:val="Compact"/>
        <w:numPr>
          <w:ilvl w:val="1"/>
          <w:numId w:val="11"/>
        </w:numPr>
      </w:pPr>
      <w:r>
        <w:t>Lacune majeure affectant la comparabilité inter-institutions</w:t>
      </w:r>
    </w:p>
    <w:p w14:paraId="61C3A507" w14:textId="77777777" w:rsidR="007A38EE" w:rsidRDefault="00000000">
      <w:pPr>
        <w:pStyle w:val="Compact"/>
        <w:numPr>
          <w:ilvl w:val="0"/>
          <w:numId w:val="9"/>
        </w:numPr>
      </w:pPr>
      <w:r>
        <w:rPr>
          <w:b/>
          <w:bCs/>
        </w:rPr>
        <w:t>Partie C inexistante</w:t>
      </w:r>
      <w:r>
        <w:t xml:space="preserve"> (tous les assureurs)</w:t>
      </w:r>
    </w:p>
    <w:p w14:paraId="61C3A508" w14:textId="77777777" w:rsidR="007A38EE" w:rsidRDefault="00000000">
      <w:pPr>
        <w:pStyle w:val="Compact"/>
        <w:numPr>
          <w:ilvl w:val="1"/>
          <w:numId w:val="12"/>
        </w:numPr>
      </w:pPr>
      <w:r>
        <w:t>Aucun reporting complet des émissions liées à la souscription d’assurance</w:t>
      </w:r>
    </w:p>
    <w:p w14:paraId="61C3A509" w14:textId="77777777" w:rsidR="007A38EE" w:rsidRDefault="00000000">
      <w:pPr>
        <w:pStyle w:val="Compact"/>
        <w:numPr>
          <w:ilvl w:val="0"/>
          <w:numId w:val="9"/>
        </w:numPr>
      </w:pPr>
      <w:r>
        <w:rPr>
          <w:b/>
          <w:bCs/>
        </w:rPr>
        <w:t>Émissions facilitées parcellaires</w:t>
      </w:r>
      <w:r>
        <w:t xml:space="preserve"> (toutes les banques concernées)</w:t>
      </w:r>
    </w:p>
    <w:p w14:paraId="61C3A50A" w14:textId="77777777" w:rsidR="007A38EE" w:rsidRDefault="00000000">
      <w:pPr>
        <w:pStyle w:val="Compact"/>
        <w:numPr>
          <w:ilvl w:val="1"/>
          <w:numId w:val="13"/>
        </w:numPr>
      </w:pPr>
      <w:r>
        <w:t>Les activités de marchés de capitaux et de conseil restent peu couvertes</w:t>
      </w:r>
    </w:p>
    <w:p w14:paraId="61C3A50B" w14:textId="77777777" w:rsidR="007A38EE" w:rsidRDefault="00000000">
      <w:pPr>
        <w:pStyle w:val="Titre4"/>
      </w:pPr>
      <w:bookmarkStart w:id="12" w:name="écarts-terminologiques-et-sémantiques"/>
      <w:bookmarkEnd w:id="11"/>
      <w:r>
        <w:t>5.2 Écarts terminologiques et sémantiques</w:t>
      </w:r>
    </w:p>
    <w:p w14:paraId="61C3A50C" w14:textId="77777777" w:rsidR="007A38EE" w:rsidRDefault="00000000">
      <w:pPr>
        <w:pStyle w:val="FirstParagraph"/>
      </w:pPr>
      <w:r>
        <w:t>L’analyse textuelle révèle que si 91 % des institutions mentionnent PCAF, l’intégration terminologique varie considérablement :</w:t>
      </w:r>
    </w:p>
    <w:p w14:paraId="61C3A50D" w14:textId="77777777" w:rsidR="007A38EE" w:rsidRDefault="00000000">
      <w:pPr>
        <w:pStyle w:val="Compact"/>
        <w:numPr>
          <w:ilvl w:val="0"/>
          <w:numId w:val="14"/>
        </w:numPr>
      </w:pPr>
      <w:r>
        <w:rPr>
          <w:b/>
          <w:bCs/>
        </w:rPr>
        <w:t>Intégration forte</w:t>
      </w:r>
      <w:r>
        <w:t xml:space="preserve"> (&gt;40 mentions) : Nordea, NN Group, Commerzbank, Santander</w:t>
      </w:r>
    </w:p>
    <w:p w14:paraId="61C3A50E" w14:textId="77777777" w:rsidR="007A38EE" w:rsidRDefault="00000000">
      <w:pPr>
        <w:pStyle w:val="Compact"/>
        <w:numPr>
          <w:ilvl w:val="0"/>
          <w:numId w:val="14"/>
        </w:numPr>
      </w:pPr>
      <w:r>
        <w:rPr>
          <w:b/>
          <w:bCs/>
        </w:rPr>
        <w:t>Intégration faible</w:t>
      </w:r>
      <w:r>
        <w:t xml:space="preserve"> (&lt;5 mentions) : Amundi, Deutsche Börse, Admiral, Eurazeo, GBL</w:t>
      </w:r>
    </w:p>
    <w:p w14:paraId="61C3A50F" w14:textId="77777777" w:rsidR="007A38EE" w:rsidRDefault="00000000">
      <w:pPr>
        <w:pStyle w:val="FirstParagraph"/>
      </w:pPr>
      <w:r>
        <w:t>Cette corrélation entre densité terminologique et maturité de conformité suggère que l’adoption formelle du lexique PCAF précède généralement une implémentation méthodologique approfondie.</w:t>
      </w:r>
    </w:p>
    <w:p w14:paraId="61C3A510" w14:textId="77777777" w:rsidR="007A38EE" w:rsidRDefault="00E03C4F">
      <w:r>
        <w:rPr>
          <w:noProof/>
        </w:rPr>
        <w:pict w14:anchorId="7DB8E025">
          <v:rect id="_x0000_i1027" alt="" style="width:453.6pt;height:.05pt;mso-width-percent:0;mso-height-percent:0;mso-width-percent:0;mso-height-percent:0" o:hralign="center" o:hrstd="t" o:hr="t"/>
        </w:pict>
      </w:r>
    </w:p>
    <w:p w14:paraId="61C3A511" w14:textId="77777777" w:rsidR="007A38EE" w:rsidRDefault="00000000">
      <w:pPr>
        <w:pStyle w:val="Titre3"/>
      </w:pPr>
      <w:bookmarkStart w:id="13" w:name="recommandations"/>
      <w:bookmarkEnd w:id="10"/>
      <w:bookmarkEnd w:id="12"/>
      <w:r>
        <w:lastRenderedPageBreak/>
        <w:t>6. Recommandations</w:t>
      </w:r>
    </w:p>
    <w:p w14:paraId="61C3A512" w14:textId="77777777" w:rsidR="007A38EE" w:rsidRDefault="00000000">
      <w:pPr>
        <w:pStyle w:val="Titre4"/>
      </w:pPr>
      <w:bookmarkStart w:id="14" w:name="priorité-1-actions-immédiates"/>
      <w:r>
        <w:t>6.1 Priorité 1 — Actions immédiates</w:t>
      </w:r>
    </w:p>
    <w:p w14:paraId="61C3A513" w14:textId="77777777" w:rsidR="007A38EE" w:rsidRDefault="00000000">
      <w:pPr>
        <w:pStyle w:val="FirstParagraph"/>
      </w:pPr>
      <w:r>
        <w:t xml:space="preserve">Pour </w:t>
      </w:r>
      <w:r>
        <w:rPr>
          <w:b/>
          <w:bCs/>
        </w:rPr>
        <w:t>Amundi</w:t>
      </w:r>
      <w:r>
        <w:t xml:space="preserve"> et </w:t>
      </w:r>
      <w:r>
        <w:rPr>
          <w:b/>
          <w:bCs/>
        </w:rPr>
        <w:t>Deutsche Börse</w:t>
      </w:r>
      <w:r>
        <w:t xml:space="preserve"> :</w:t>
      </w:r>
    </w:p>
    <w:p w14:paraId="61C3A514" w14:textId="77777777" w:rsidR="007A38EE" w:rsidRDefault="00000000">
      <w:pPr>
        <w:pStyle w:val="Compact"/>
        <w:numPr>
          <w:ilvl w:val="0"/>
          <w:numId w:val="15"/>
        </w:numPr>
      </w:pPr>
      <w:r>
        <w:t>Adhérer à l’initiative PCAF</w:t>
      </w:r>
    </w:p>
    <w:p w14:paraId="61C3A515" w14:textId="77777777" w:rsidR="007A38EE" w:rsidRDefault="00000000">
      <w:pPr>
        <w:pStyle w:val="Compact"/>
        <w:numPr>
          <w:ilvl w:val="0"/>
          <w:numId w:val="15"/>
        </w:numPr>
      </w:pPr>
      <w:r>
        <w:t>Implémenter la méthodologie Partie A pour les émissions financées</w:t>
      </w:r>
    </w:p>
    <w:p w14:paraId="61C3A516" w14:textId="77777777" w:rsidR="007A38EE" w:rsidRDefault="00000000">
      <w:pPr>
        <w:pStyle w:val="Compact"/>
        <w:numPr>
          <w:ilvl w:val="0"/>
          <w:numId w:val="15"/>
        </w:numPr>
      </w:pPr>
      <w:r>
        <w:t>Établir un calendrier de mise en conformité sur 12-18 mois</w:t>
      </w:r>
    </w:p>
    <w:p w14:paraId="61C3A517" w14:textId="77777777" w:rsidR="007A38EE" w:rsidRDefault="00000000">
      <w:pPr>
        <w:pStyle w:val="Titre4"/>
      </w:pPr>
      <w:bookmarkStart w:id="15" w:name="priorité-2-renforcement-du-reporting"/>
      <w:bookmarkEnd w:id="14"/>
      <w:r>
        <w:t>6.2 Priorité 2 — Renforcement du reporting</w:t>
      </w:r>
    </w:p>
    <w:p w14:paraId="61C3A518" w14:textId="77777777" w:rsidR="007A38EE" w:rsidRDefault="00000000">
      <w:pPr>
        <w:pStyle w:val="FirstParagraph"/>
      </w:pPr>
      <w:r>
        <w:t>Pour les institutions en statut « partial » :</w:t>
      </w:r>
    </w:p>
    <w:p w14:paraId="61C3A519" w14:textId="77777777" w:rsidR="007A38EE" w:rsidRDefault="00000000">
      <w:pPr>
        <w:pStyle w:val="Compact"/>
        <w:numPr>
          <w:ilvl w:val="0"/>
          <w:numId w:val="16"/>
        </w:numPr>
      </w:pPr>
      <w:r>
        <w:rPr>
          <w:b/>
          <w:bCs/>
        </w:rPr>
        <w:t>Consolider les émissions financées totales</w:t>
      </w:r>
      <w:r>
        <w:t xml:space="preserve"> : Commerzbank, Crédit Agricole, Legal &amp; General, NN Group, Société Générale, Zurich</w:t>
      </w:r>
    </w:p>
    <w:p w14:paraId="61C3A51A" w14:textId="77777777" w:rsidR="007A38EE" w:rsidRDefault="00000000">
      <w:pPr>
        <w:pStyle w:val="Compact"/>
        <w:numPr>
          <w:ilvl w:val="0"/>
          <w:numId w:val="16"/>
        </w:numPr>
      </w:pPr>
      <w:r>
        <w:rPr>
          <w:b/>
          <w:bCs/>
        </w:rPr>
        <w:t>Documenter explicitement le DQS</w:t>
      </w:r>
      <w:r>
        <w:t xml:space="preserve"> : 12 institutions concernées</w:t>
      </w:r>
    </w:p>
    <w:p w14:paraId="61C3A51B" w14:textId="77777777" w:rsidR="007A38EE" w:rsidRDefault="00000000">
      <w:pPr>
        <w:pStyle w:val="Compact"/>
        <w:numPr>
          <w:ilvl w:val="0"/>
          <w:numId w:val="16"/>
        </w:numPr>
      </w:pPr>
      <w:r>
        <w:rPr>
          <w:b/>
          <w:bCs/>
        </w:rPr>
        <w:t>Étendre la couverture</w:t>
      </w:r>
      <w:r>
        <w:t xml:space="preserve"> aux classes d’actifs manquantes (financement de projets, prêts véhicules)</w:t>
      </w:r>
    </w:p>
    <w:p w14:paraId="61C3A51C" w14:textId="77777777" w:rsidR="007A38EE" w:rsidRDefault="00000000">
      <w:pPr>
        <w:pStyle w:val="Titre4"/>
      </w:pPr>
      <w:bookmarkStart w:id="16" w:name="priorité-3-amélioration-continue"/>
      <w:bookmarkEnd w:id="15"/>
      <w:r>
        <w:t>6.3 Priorité 3 — Amélioration continue</w:t>
      </w:r>
    </w:p>
    <w:p w14:paraId="61C3A51D" w14:textId="77777777" w:rsidR="007A38EE" w:rsidRDefault="00000000">
      <w:pPr>
        <w:pStyle w:val="FirstParagraph"/>
      </w:pPr>
      <w:r>
        <w:t>Pour les leaders et avancés :</w:t>
      </w:r>
    </w:p>
    <w:p w14:paraId="61C3A51E" w14:textId="77777777" w:rsidR="007A38EE" w:rsidRDefault="00000000">
      <w:pPr>
        <w:pStyle w:val="Compact"/>
        <w:numPr>
          <w:ilvl w:val="0"/>
          <w:numId w:val="17"/>
        </w:numPr>
      </w:pPr>
      <w:r>
        <w:t>Améliorer la qualité des données (cible DQS 2-3)</w:t>
      </w:r>
    </w:p>
    <w:p w14:paraId="61C3A51F" w14:textId="77777777" w:rsidR="007A38EE" w:rsidRDefault="00000000">
      <w:pPr>
        <w:pStyle w:val="Compact"/>
        <w:numPr>
          <w:ilvl w:val="0"/>
          <w:numId w:val="17"/>
        </w:numPr>
      </w:pPr>
      <w:r>
        <w:t>Développer le reporting Partie C pour les assureurs</w:t>
      </w:r>
    </w:p>
    <w:p w14:paraId="61C3A520" w14:textId="77777777" w:rsidR="007A38EE" w:rsidRDefault="00000000">
      <w:pPr>
        <w:pStyle w:val="Compact"/>
        <w:numPr>
          <w:ilvl w:val="0"/>
          <w:numId w:val="17"/>
        </w:numPr>
      </w:pPr>
      <w:r>
        <w:t>Réduire les incertitudes sur les estimations Scope 3</w:t>
      </w:r>
    </w:p>
    <w:p w14:paraId="61C3A521" w14:textId="77777777" w:rsidR="007A38EE" w:rsidRDefault="00E03C4F">
      <w:r>
        <w:rPr>
          <w:noProof/>
        </w:rPr>
        <w:pict w14:anchorId="7539A7D3">
          <v:rect id="_x0000_i1026" alt="" style="width:453.6pt;height:.05pt;mso-width-percent:0;mso-height-percent:0;mso-width-percent:0;mso-height-percent:0" o:hralign="center" o:hrstd="t" o:hr="t"/>
        </w:pict>
      </w:r>
    </w:p>
    <w:p w14:paraId="61C3A522" w14:textId="77777777" w:rsidR="007A38EE" w:rsidRDefault="00000000">
      <w:pPr>
        <w:pStyle w:val="Titre3"/>
      </w:pPr>
      <w:bookmarkStart w:id="17" w:name="conclusion"/>
      <w:bookmarkEnd w:id="13"/>
      <w:bookmarkEnd w:id="16"/>
      <w:r>
        <w:t>7. Conclusion</w:t>
      </w:r>
    </w:p>
    <w:p w14:paraId="61C3A523" w14:textId="77777777" w:rsidR="007A38EE" w:rsidRDefault="00000000">
      <w:pPr>
        <w:pStyle w:val="FirstParagraph"/>
      </w:pPr>
      <w:r>
        <w:t xml:space="preserve">Cette étude révèle une </w:t>
      </w:r>
      <w:r>
        <w:rPr>
          <w:b/>
          <w:bCs/>
        </w:rPr>
        <w:t>adoption généralisée mais inégale</w:t>
      </w:r>
      <w:r>
        <w:t xml:space="preserve"> du standard PCAF parmi les institutions financières européennes. Si 91 % mentionnent l’initiative et 61 % sont signataires, seules 39 % présentent un reporting Partie A complet avec méthodologie documentée.</w:t>
      </w:r>
    </w:p>
    <w:p w14:paraId="61C3A524" w14:textId="77777777" w:rsidR="007A38EE" w:rsidRDefault="00000000">
      <w:pPr>
        <w:pStyle w:val="Corpsdetexte"/>
      </w:pPr>
      <w:r>
        <w:t>Les principaux axes de progression concernent :</w:t>
      </w:r>
    </w:p>
    <w:p w14:paraId="61C3A525" w14:textId="77777777" w:rsidR="007A38EE" w:rsidRDefault="00000000">
      <w:pPr>
        <w:pStyle w:val="Compact"/>
        <w:numPr>
          <w:ilvl w:val="0"/>
          <w:numId w:val="18"/>
        </w:numPr>
      </w:pPr>
      <w:r>
        <w:t xml:space="preserve">La </w:t>
      </w:r>
      <w:r>
        <w:rPr>
          <w:b/>
          <w:bCs/>
        </w:rPr>
        <w:t>documentation systématique du DQS</w:t>
      </w:r>
      <w:r>
        <w:t xml:space="preserve"> (absente pour 52 % de l’échantillon)</w:t>
      </w:r>
    </w:p>
    <w:p w14:paraId="61C3A526" w14:textId="77777777" w:rsidR="007A38EE" w:rsidRDefault="00000000">
      <w:pPr>
        <w:pStyle w:val="Compact"/>
        <w:numPr>
          <w:ilvl w:val="0"/>
          <w:numId w:val="18"/>
        </w:numPr>
      </w:pPr>
      <w:r>
        <w:t>L’</w:t>
      </w:r>
      <w:r>
        <w:rPr>
          <w:b/>
          <w:bCs/>
        </w:rPr>
        <w:t>extension aux Parties B et C</w:t>
      </w:r>
      <w:r>
        <w:t xml:space="preserve"> du standard, actuellement sous-couvertes</w:t>
      </w:r>
    </w:p>
    <w:p w14:paraId="61C3A527" w14:textId="77777777" w:rsidR="007A38EE" w:rsidRDefault="00000000">
      <w:pPr>
        <w:pStyle w:val="Compact"/>
        <w:numPr>
          <w:ilvl w:val="0"/>
          <w:numId w:val="18"/>
        </w:numPr>
      </w:pPr>
      <w:r>
        <w:t>L’</w:t>
      </w:r>
      <w:r>
        <w:rPr>
          <w:b/>
          <w:bCs/>
        </w:rPr>
        <w:t>homogénéisation des pratiques</w:t>
      </w:r>
      <w:r>
        <w:t xml:space="preserve"> pour permettre une véritable comparabilité sectorielle</w:t>
      </w:r>
    </w:p>
    <w:p w14:paraId="61C3A528" w14:textId="77777777" w:rsidR="007A38EE" w:rsidRDefault="00000000">
      <w:pPr>
        <w:pStyle w:val="FirstParagraph"/>
      </w:pPr>
      <w:r>
        <w:t>Le tableau de bord HTML accompagnant cette synthèse permet une exploration interactive des résultats détaillés par institution, classe d’actifs et critère d’évaluation.</w:t>
      </w:r>
    </w:p>
    <w:p w14:paraId="61C3A529" w14:textId="77777777" w:rsidR="007A38EE" w:rsidRDefault="00E03C4F">
      <w:r>
        <w:rPr>
          <w:noProof/>
        </w:rPr>
        <w:pict w14:anchorId="6B76AC5E">
          <v:rect id="_x0000_i1025" alt="" style="width:453.6pt;height:.05pt;mso-width-percent:0;mso-height-percent:0;mso-width-percent:0;mso-height-percent:0" o:hralign="center" o:hrstd="t" o:hr="t"/>
        </w:pict>
      </w:r>
    </w:p>
    <w:p w14:paraId="61C3A52A" w14:textId="77777777" w:rsidR="007A38EE" w:rsidRDefault="00000000">
      <w:pPr>
        <w:pStyle w:val="FirstParagraph"/>
      </w:pPr>
      <w:r>
        <w:rPr>
          <w:i/>
          <w:iCs/>
        </w:rPr>
        <w:t>Étude réalisée pour Axylia — Février 2025</w:t>
      </w:r>
    </w:p>
    <w:p w14:paraId="61C3A52B" w14:textId="77777777" w:rsidR="007A38EE" w:rsidRDefault="00000000">
      <w:pPr>
        <w:pStyle w:val="Corpsdetexte"/>
      </w:pPr>
      <w:r>
        <w:rPr>
          <w:i/>
          <w:iCs/>
        </w:rPr>
        <w:lastRenderedPageBreak/>
        <w:t>Données sources : Documents d’enregistrement universel 2024 des institutions analysées</w:t>
      </w:r>
      <w:bookmarkEnd w:id="0"/>
      <w:bookmarkEnd w:id="1"/>
      <w:bookmarkEnd w:id="17"/>
    </w:p>
    <w:sectPr w:rsidR="007A38EE">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30444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79420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4CEED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19330339">
    <w:abstractNumId w:val="0"/>
  </w:num>
  <w:num w:numId="2" w16cid:durableId="1032147883">
    <w:abstractNumId w:val="1"/>
  </w:num>
  <w:num w:numId="3" w16cid:durableId="795442682">
    <w:abstractNumId w:val="1"/>
  </w:num>
  <w:num w:numId="4" w16cid:durableId="2090080329">
    <w:abstractNumId w:val="1"/>
  </w:num>
  <w:num w:numId="5" w16cid:durableId="225847411">
    <w:abstractNumId w:val="1"/>
  </w:num>
  <w:num w:numId="6" w16cid:durableId="1143236290">
    <w:abstractNumId w:val="1"/>
  </w:num>
  <w:num w:numId="7" w16cid:durableId="262498715">
    <w:abstractNumId w:val="1"/>
  </w:num>
  <w:num w:numId="8" w16cid:durableId="2096629334">
    <w:abstractNumId w:val="1"/>
  </w:num>
  <w:num w:numId="9" w16cid:durableId="21242280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5643366">
    <w:abstractNumId w:val="1"/>
  </w:num>
  <w:num w:numId="11" w16cid:durableId="461963484">
    <w:abstractNumId w:val="1"/>
  </w:num>
  <w:num w:numId="12" w16cid:durableId="1798405396">
    <w:abstractNumId w:val="1"/>
  </w:num>
  <w:num w:numId="13" w16cid:durableId="2085249978">
    <w:abstractNumId w:val="1"/>
  </w:num>
  <w:num w:numId="14" w16cid:durableId="1231959100">
    <w:abstractNumId w:val="1"/>
  </w:num>
  <w:num w:numId="15" w16cid:durableId="1567374848">
    <w:abstractNumId w:val="1"/>
  </w:num>
  <w:num w:numId="16" w16cid:durableId="1827285869">
    <w:abstractNumId w:val="1"/>
  </w:num>
  <w:num w:numId="17" w16cid:durableId="912934220">
    <w:abstractNumId w:val="1"/>
  </w:num>
  <w:num w:numId="18" w16cid:durableId="21399565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A38EE"/>
    <w:rsid w:val="007A38EE"/>
    <w:rsid w:val="00A36560"/>
    <w:rsid w:val="00E03C4F"/>
    <w:rsid w:val="00F86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3A44D"/>
  <w15:docId w15:val="{E0CB7F43-1E3F-8A40-83F3-45FC04AA8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1236</Words>
  <Characters>6799</Characters>
  <Application>Microsoft Office Word</Application>
  <DocSecurity>0</DocSecurity>
  <Lines>56</Lines>
  <Paragraphs>16</Paragraphs>
  <ScaleCrop>false</ScaleCrop>
  <Company/>
  <LinksUpToDate>false</LinksUpToDate>
  <CharactersWithSpaces>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LARRA Eddy-Pierre (CF/CMCL)</cp:lastModifiedBy>
  <cp:revision>2</cp:revision>
  <dcterms:created xsi:type="dcterms:W3CDTF">2026-02-25T15:28:00Z</dcterms:created>
  <dcterms:modified xsi:type="dcterms:W3CDTF">2026-02-25T15:54:00Z</dcterms:modified>
</cp:coreProperties>
</file>