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PCAF Compliance Analysis - Bilingual Document</w:t>
      </w:r>
    </w:p>
    <w:p>
      <w:pPr>
        <w:pStyle w:val="IntenseQuote"/>
      </w:pPr>
      <w:r>
        <w:t>Source (English) | Target (Translation)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(EN)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PCAF Compliance Analysis: 3 Selected Reports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PCAF Standard Categories (Reference)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A - Financed Emissions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Emissions attributable to loans and investments across 10 asset classes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Listed equity and corporate bonds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Business loans and unlisted equity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finance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Commercial real estate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Mortgages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Motor vehicle loans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Use of proceeds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Securitized and structured products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Sovereign debt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Sub-sovereign debt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B - Facilitated Emissions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Emissions attributable to capital market issuance activities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Capital market issuances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C - Insurance-Associated Emissions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Emissions attributable to re/insurance and underwriting activities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Commercial lines insurance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insurance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Personal motor lines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Treaty reinsurance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SANTANDER (Bank) — Most Comprehensive PCAF Alignment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PCAF Data Extracted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Asset Class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Power Generation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0.11 tCO2e/MWh target (2030)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Oil and Gas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16.98 mtCO2e target (2030)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Aviation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61.71 grCO2e/RPK target (2030)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Steel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1.07 tCO2e/tS target (2030)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Auto Manufacturing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103 gCO2/vkm target (2030)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Auto Lending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75-89 gCO2e/vkm target (2030)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Mortgages (Spain)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1.93 mtCO2e (Scope 1+2)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Commercial Real Estate (Spain/UK)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0.19 mtCO2e (Scope 1+2)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Agriculture (Brazil)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9.83 mtCO2e (Scope 1+2)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Finance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Included in green finance (EUR 139.4bn raised)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Monitoring capital markets emissions but deemed "not material" currently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Green bonds, M&amp;A advisory, ECAs tracked separately (EUR 5.7bn DCM, EUR 6.9bn Project Finance)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PCAF Methodology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Explicitly uses "Partnership for Carbon Accounting Financials (PCAF)" standard with attribution factor approach.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ALLIANZ (Insurer) — Comprehensive Coverage Including Part 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A - Financed Emissions (Proprietary Investments)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Assets under Management (EUR bn)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Emissions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Target 2030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Listed Corporates (equity + bonds)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EUR 203.4bn - 12.3 mn tCO2e - Target: 12.5 mn tCO2e (-50%)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 Corporates (listed + non-listed)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EUR 369.5bn - 57.8 tCO2e/EUR mn - Target: 54.0 tCO2e/EUR mn (-50%)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Real Estate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EUR 66.3bn - 21.0 kg CO2e/m² - Target: approx. 20 kg CO2e/m² (CRREM aligned)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Sovereign/Sub-sovereign Debt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EUR 106.8bn - No methodology available yet - No target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 methodology (ABS/MBS, cash, covered bonds)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EUR 224.3bn - 30.3 mn tCO2e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C - Insurance-Associated Emissions (IAE)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Portfolio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2024 Emissions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Intensity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Commercial Insurance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1.02 mn tCO2e - 0.23 kt CO2e/EUR mn premium - Target: -45% intensity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Motor Retail Insurance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Measured - In development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Based on the methodology of the Partnership for Carbon Accounting Financials (PCAF) Insurance-Associated Emissions Standard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Allianz co-leads the PCAF Working Group on sub-sovereign debt methodology.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AMUNDI (Asset Manager) — Limited Direct PCAF Alignment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Portfolio Emissions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 1 + 2 (operations)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1,558 tCO2e (energy)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 3 (business travel)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4,834 tCO2e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Portfolio carbon footprint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Formula: Sum of (Weight × Emissions/Revenue)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ESG/Climate Products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Net Zero 2050 funds: 4 asset classes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ESG passive funds: 37% of range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Impact funds: EUR 16.1bn AuM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Green bonds: Tracked with taxonomy alignment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PCAF-Relevant Asset Classes Mentioned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Real Estate (via Amundi Immobilier, ESREI, BIG initiatives)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Green Bonds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 explicit PCAF financed emissions disclosure for managed portfolios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Gap: As an asset manager, Amundi reports on operational emissions rather than financed emissions of underlying portfolios. PCAF methodology for asset managers is not explicitly applied.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Comparative Summary vs. PCAF Criteria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PCAF Category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Santander (Bank)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Allianz (Insurer)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Amundi (Asset Manager)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A - Financed Emissions: Excellent coverage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A - Financed Emissions: Good coverage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A - Financed Emissions: Limited coverage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Listed equity and bonds: Covered via sectors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Listed equity and bonds: EUR 203.4bn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Listed equity and bonds: Indirect coverage only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Business loans: Corporate lending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Business loans: Non-listed corporates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Business loans: Not applicable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finance: EUR 139.4bn green finance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finance: Infrastructure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finance: Not applicable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Commercial real estate: Spain/UK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Commercial real estate: EUR 66.3bn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Commercial real estate: Via subsidiary only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Mortgages: Spain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Mortgages: Included in real estate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Mortgages: Not applicable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Motor vehicle loans: Europe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Motor vehicle loans: Not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Motor vehicle loans: Not applicable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Sovereign debt: Tracked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Sovereign debt: No methodology available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Sovereign debt: Not applicable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B - Facilitated Emissions: Monitoring only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B - Facilitated Emissions: Not covered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B - Facilitated Emissions: Not applicable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C - Insurance-Associated Emissions: Not applicable (Bank)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C - Insurance-Associated Emissions: Excellent coverage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C - Insurance-Associated Emissions: Not applicable (Asset Manager)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Commercial lines: 1.02 mn tCO2e reported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Motor lines: Measured and tracked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Reinsurance: Policy in place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Explicit PCAF Reference: Yes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Explicit PCAF Reference: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Key Findings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Santander demonstrates the most comprehensive PCAF Part A implementation with emissions targets across 9+ sectors and explicit PCAF attribution methodology.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Allianz is the only entity reporting Insurance-Associated Emissions (Part C) per PCAF standard, and has robust financed emissions reporting for proprietary investments. Notably participates in PCAF methodology development.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Amundi reports operational GHG emissions but does not explicitly apply PCAF methodology to portfolio-level financed emissions. As an asset manager (not lender/insurer), their PCAF reporting obligations differ—they focus on ESG integration, Net Zero alignment, and carbon footprint metrics rather than attribution-based financed emissions.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