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28"/>
          <w:szCs w:val="28"/>
        </w:rPr>
        <w:t xml:space="preserve">HARARE INSTITUTE OF TECHNOLOGY</w:t>
      </w:r>
    </w:p>
    <w:p>
      <w:pPr>
        <w:spacing w:after="480" w:line="360"/>
        <w:jc w:val="center"/>
      </w:pPr>
      <w:r>
        <w:rPr>
          <w:rFonts w:ascii="Times New Roman" w:cs="Times New Roman" w:eastAsia="Times New Roman" w:hAnsi="Times New Roman"/>
          <w:b/>
          <w:bCs/>
          <w:sz w:val="26"/>
          <w:szCs w:val="26"/>
        </w:rPr>
        <w:t xml:space="preserve">SCHOOL OF INFORMATION SCIENCES AND TECHNOLOGY</w:t>
      </w:r>
    </w:p>
    <w:p>
      <w:pPr>
        <w:spacing w:after="0"/>
      </w:pPr>
      <w:r>
        <w:t xml:space="preserve"/>
      </w:r>
    </w:p>
    <w:p>
      <w:pPr>
        <w:spacing w:after="0"/>
      </w:pPr>
      <w:r>
        <w:t xml:space="preserve"/>
      </w:r>
    </w:p>
    <w:p>
      <w:pPr>
        <w:spacing w:after="0"/>
      </w:pPr>
      <w:r>
        <w:t xml:space="preserve"/>
      </w:r>
    </w:p>
    <w:p>
      <w:pPr>
        <w:spacing w:after="240" w:line="360"/>
        <w:jc w:val="center"/>
      </w:pPr>
      <w:r>
        <w:rPr>
          <w:rFonts w:ascii="Times New Roman" w:cs="Times New Roman" w:eastAsia="Times New Roman" w:hAnsi="Times New Roman"/>
          <w:b/>
          <w:bCs/>
          <w:sz w:val="44"/>
          <w:szCs w:val="44"/>
        </w:rPr>
        <w:t xml:space="preserve">AN INTERPRETABLE CONFIDENCE-LAYER ARCHITECTURE FOR NATURAL PRODUCT DEREPLICATION: APPLICATION TO ZIMBABWEAN KNOBWOOD (ZANTHOXYLUM CHALYBEUM)</w:t>
      </w:r>
    </w:p>
    <w:p>
      <w:pPr>
        <w:spacing w:after="0"/>
      </w:pPr>
      <w:r>
        <w:t xml:space="preserve"/>
      </w:r>
    </w:p>
    <w:p>
      <w:pPr>
        <w:spacing w:after="0"/>
      </w:pPr>
      <w:r>
        <w:t xml:space="preserve"/>
      </w:r>
    </w:p>
    <w:p>
      <w:pPr>
        <w:spacing w:after="60" w:line="360"/>
        <w:jc w:val="center"/>
      </w:pPr>
      <w:r>
        <w:rPr>
          <w:rFonts w:ascii="Times New Roman" w:cs="Times New Roman" w:eastAsia="Times New Roman" w:hAnsi="Times New Roman"/>
          <w:b w:val="false"/>
          <w:bCs w:val="false"/>
          <w:sz w:val="24"/>
          <w:szCs w:val="24"/>
        </w:rPr>
        <w:t xml:space="preserve">A PROJECT REPORT SUBMITTED IN PARTIAL FULFILMENT OF THE</w:t>
      </w:r>
    </w:p>
    <w:p>
      <w:pPr>
        <w:spacing w:after="360" w:line="360"/>
        <w:jc w:val="center"/>
      </w:pPr>
      <w:r>
        <w:rPr>
          <w:rFonts w:ascii="Times New Roman" w:cs="Times New Roman" w:eastAsia="Times New Roman" w:hAnsi="Times New Roman"/>
          <w:b w:val="false"/>
          <w:bCs w:val="false"/>
          <w:sz w:val="24"/>
          <w:szCs w:val="24"/>
        </w:rPr>
        <w:t xml:space="preserve">REQUIREMENTS FOR THE AWARD OF THE DEGREE OF</w:t>
      </w:r>
    </w:p>
    <w:p>
      <w:pPr>
        <w:spacing w:after="480" w:line="360"/>
        <w:jc w:val="center"/>
      </w:pPr>
      <w:r>
        <w:rPr>
          <w:rFonts w:ascii="Times New Roman" w:cs="Times New Roman" w:eastAsia="Times New Roman" w:hAnsi="Times New Roman"/>
          <w:b/>
          <w:bCs/>
          <w:sz w:val="28"/>
          <w:szCs w:val="28"/>
        </w:rPr>
        <w:t xml:space="preserve">MASTER OF TECHNOLOGY IN CLOUD COMPUTING</w:t>
      </w:r>
    </w:p>
    <w:p>
      <w:pPr>
        <w:spacing w:after="0"/>
      </w:pPr>
      <w:r>
        <w:t xml:space="preserve"/>
      </w:r>
    </w:p>
    <w:p>
      <w:pPr>
        <w:spacing w:after="180" w:line="360"/>
        <w:jc w:val="center"/>
      </w:pPr>
      <w:r>
        <w:rPr>
          <w:rFonts w:ascii="Times New Roman" w:cs="Times New Roman" w:eastAsia="Times New Roman" w:hAnsi="Times New Roman"/>
          <w:b w:val="false"/>
          <w:bCs w:val="false"/>
          <w:sz w:val="24"/>
          <w:szCs w:val="24"/>
        </w:rPr>
        <w:t xml:space="preserve">BY</w:t>
      </w:r>
    </w:p>
    <w:p>
      <w:pPr>
        <w:spacing w:after="60" w:line="360"/>
        <w:jc w:val="center"/>
      </w:pPr>
      <w:r>
        <w:rPr>
          <w:rFonts w:ascii="Times New Roman" w:cs="Times New Roman" w:eastAsia="Times New Roman" w:hAnsi="Times New Roman"/>
          <w:b/>
          <w:bCs/>
          <w:sz w:val="26"/>
          <w:szCs w:val="26"/>
        </w:rPr>
        <w:t xml:space="preserve">ED PANASHE MANYONGANISE</w:t>
      </w:r>
    </w:p>
    <w:p>
      <w:pPr>
        <w:spacing w:after="480" w:line="360"/>
        <w:jc w:val="center"/>
      </w:pPr>
      <w:r>
        <w:rPr>
          <w:rFonts w:ascii="Times New Roman" w:cs="Times New Roman" w:eastAsia="Times New Roman" w:hAnsi="Times New Roman"/>
          <w:b w:val="false"/>
          <w:bCs w:val="false"/>
          <w:sz w:val="24"/>
          <w:szCs w:val="24"/>
        </w:rPr>
        <w:t xml:space="preserve">(H240659Q)</w:t>
      </w:r>
    </w:p>
    <w:p>
      <w:pPr>
        <w:spacing w:after="0"/>
      </w:pPr>
      <w:r>
        <w:t xml:space="preserve"/>
      </w:r>
    </w:p>
    <w:p>
      <w:pPr>
        <w:spacing w:after="180" w:line="360"/>
        <w:jc w:val="center"/>
      </w:pPr>
      <w:r>
        <w:rPr>
          <w:rFonts w:ascii="Times New Roman" w:cs="Times New Roman" w:eastAsia="Times New Roman" w:hAnsi="Times New Roman"/>
          <w:b w:val="false"/>
          <w:bCs w:val="false"/>
          <w:sz w:val="24"/>
          <w:szCs w:val="24"/>
        </w:rPr>
        <w:t xml:space="preserve">UNDER THE GUIDANCE OF:</w:t>
      </w:r>
    </w:p>
    <w:p>
      <w:pPr>
        <w:spacing w:after="60" w:line="360"/>
        <w:jc w:val="center"/>
      </w:pPr>
      <w:r>
        <w:rPr>
          <w:rFonts w:ascii="Times New Roman" w:cs="Times New Roman" w:eastAsia="Times New Roman" w:hAnsi="Times New Roman"/>
          <w:b/>
          <w:bCs/>
          <w:sz w:val="26"/>
          <w:szCs w:val="26"/>
        </w:rPr>
        <w:t xml:space="preserve">Mr A. Ndlovu (Supervisor)</w:t>
      </w:r>
    </w:p>
    <w:p>
      <w:pPr>
        <w:spacing w:after="480" w:line="360"/>
        <w:jc w:val="center"/>
      </w:pPr>
      <w:r>
        <w:rPr>
          <w:rFonts w:ascii="Times New Roman" w:cs="Times New Roman" w:eastAsia="Times New Roman" w:hAnsi="Times New Roman"/>
          <w:b w:val="false"/>
          <w:bCs w:val="false"/>
          <w:sz w:val="24"/>
          <w:szCs w:val="24"/>
        </w:rPr>
        <w:t xml:space="preserve">Mr T. Magadza (Co-Supervisor)</w:t>
      </w:r>
    </w:p>
    <w:p>
      <w:pPr>
        <w:spacing w:after="0"/>
      </w:pPr>
      <w:r>
        <w:t xml:space="preserve"/>
      </w:r>
    </w:p>
    <w:p>
      <w:pPr>
        <w:spacing w:after="0"/>
      </w:pPr>
      <w:r>
        <w:t xml:space="preserve"/>
      </w:r>
    </w:p>
    <w:p>
      <w:pPr>
        <w:spacing w:after="240" w:line="360"/>
        <w:jc w:val="center"/>
      </w:pPr>
      <w:r>
        <w:rPr>
          <w:rFonts w:ascii="Times New Roman" w:cs="Times New Roman" w:eastAsia="Times New Roman" w:hAnsi="Times New Roman"/>
          <w:b/>
          <w:bCs/>
          <w:sz w:val="24"/>
          <w:szCs w:val="24"/>
        </w:rPr>
        <w:t xml:space="preserve">MAY 2026</w:t>
      </w:r>
    </w:p>
    <w:p>
      <w:pPr>
        <w:pageBreakBefore/>
        <w:spacing w:after="120" w:line="360"/>
        <w:jc w:val="center"/>
      </w:pPr>
      <w:r>
        <w:rPr>
          <w:rFonts w:ascii="Times New Roman" w:cs="Times New Roman" w:eastAsia="Times New Roman" w:hAnsi="Times New Roman"/>
          <w:sz w:val="24"/>
          <w:szCs w:val="24"/>
        </w:rPr>
        <w:t xml:space="preserve">School of Information Sciences and Technology</w:t>
      </w:r>
    </w:p>
    <w:p>
      <w:pPr>
        <w:spacing w:after="60" w:line="360"/>
        <w:jc w:val="center"/>
      </w:pPr>
      <w:r>
        <w:rPr>
          <w:rFonts w:ascii="Times New Roman" w:cs="Times New Roman" w:eastAsia="Times New Roman" w:hAnsi="Times New Roman"/>
          <w:b w:val="false"/>
          <w:bCs w:val="false"/>
          <w:sz w:val="24"/>
          <w:szCs w:val="24"/>
        </w:rPr>
        <w:t xml:space="preserve">Post Graduate Unit</w:t>
      </w:r>
    </w:p>
    <w:p>
      <w:pPr>
        <w:spacing w:after="480" w:line="360"/>
        <w:jc w:val="center"/>
      </w:pPr>
      <w:r>
        <w:rPr>
          <w:rFonts w:ascii="Times New Roman" w:cs="Times New Roman" w:eastAsia="Times New Roman" w:hAnsi="Times New Roman"/>
          <w:b w:val="false"/>
          <w:bCs w:val="false"/>
          <w:sz w:val="24"/>
          <w:szCs w:val="24"/>
        </w:rPr>
        <w:t xml:space="preserve">Master of Technology in Cloud Computing</w:t>
      </w:r>
    </w:p>
    <w:p>
      <w:pPr>
        <w:spacing w:after="0"/>
      </w:pPr>
      <w:r>
        <w:t xml:space="preserve"/>
      </w:r>
    </w:p>
    <w:p>
      <w:pPr>
        <w:spacing w:after="360" w:line="360"/>
        <w:jc w:val="center"/>
      </w:pPr>
      <w:r>
        <w:rPr>
          <w:rFonts w:ascii="Times New Roman" w:cs="Times New Roman" w:eastAsia="Times New Roman" w:hAnsi="Times New Roman"/>
          <w:b/>
          <w:bCs/>
          <w:sz w:val="28"/>
          <w:szCs w:val="28"/>
        </w:rPr>
        <w:t xml:space="preserve">DECLARATION BY THE CANDIDATE</w:t>
      </w:r>
    </w:p>
    <w:p>
      <w:pPr>
        <w:spacing w:after="0"/>
      </w:pPr>
      <w:r>
        <w:t xml:space="preserve"/>
      </w:r>
    </w:p>
    <w:p>
      <w:pPr>
        <w:spacing w:after="180" w:line="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ED PANASHE MANYONGANISE (H240659Q)</w:t>
      </w:r>
      <w:r>
        <w:rPr>
          <w:rFonts w:ascii="Times New Roman" w:cs="Times New Roman" w:eastAsia="Times New Roman" w:hAnsi="Times New Roman"/>
          <w:sz w:val="24"/>
          <w:szCs w:val="24"/>
        </w:rPr>
        <w:t xml:space="preserve">, hereby declare that the project report entitled </w:t>
      </w:r>
      <w:r>
        <w:rPr>
          <w:rFonts w:ascii="Times New Roman" w:cs="Times New Roman" w:eastAsia="Times New Roman" w:hAnsi="Times New Roman"/>
          <w:i/>
          <w:iCs/>
          <w:sz w:val="24"/>
          <w:szCs w:val="24"/>
        </w:rPr>
        <w:t xml:space="preserve">"An Interpretable Confidence-Layer Architecture for Natural Product Dereplication: Application to Zimbabwean Knobwood (Zanthoxylum chalybeum)"</w:t>
      </w:r>
      <w:r>
        <w:rPr>
          <w:rFonts w:ascii="Times New Roman" w:cs="Times New Roman" w:eastAsia="Times New Roman" w:hAnsi="Times New Roman"/>
          <w:sz w:val="24"/>
          <w:szCs w:val="24"/>
        </w:rPr>
        <w:t xml:space="preserve"> carried out by me under the guidance of </w:t>
      </w:r>
      <w:r>
        <w:rPr>
          <w:rFonts w:ascii="Times New Roman" w:cs="Times New Roman" w:eastAsia="Times New Roman" w:hAnsi="Times New Roman"/>
          <w:b/>
          <w:bCs/>
          <w:sz w:val="24"/>
          <w:szCs w:val="24"/>
        </w:rPr>
        <w:t xml:space="preserve">Mr A. Ndlovu</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Mr T. Magadza</w:t>
      </w:r>
      <w:r>
        <w:rPr>
          <w:rFonts w:ascii="Times New Roman" w:cs="Times New Roman" w:eastAsia="Times New Roman" w:hAnsi="Times New Roman"/>
          <w:sz w:val="24"/>
          <w:szCs w:val="24"/>
        </w:rPr>
        <w:t xml:space="preserve"> is submitted in partial fulfilment of the requirements for the award of the degree of </w:t>
      </w:r>
      <w:r>
        <w:rPr>
          <w:rFonts w:ascii="Times New Roman" w:cs="Times New Roman" w:eastAsia="Times New Roman" w:hAnsi="Times New Roman"/>
          <w:i/>
          <w:iCs/>
          <w:sz w:val="24"/>
          <w:szCs w:val="24"/>
        </w:rPr>
        <w:t xml:space="preserve">Master of Technology in Cloud Computing</w:t>
      </w:r>
      <w:r>
        <w:rPr>
          <w:rFonts w:ascii="Times New Roman" w:cs="Times New Roman" w:eastAsia="Times New Roman" w:hAnsi="Times New Roman"/>
          <w:sz w:val="24"/>
          <w:szCs w:val="24"/>
        </w:rPr>
        <w:t xml:space="preserve">. This is a record of bona-fide work carried out by me and the results embodied in this project have not been reproduced or copied from any source.</w:t>
      </w:r>
    </w:p>
    <w:p>
      <w:pPr>
        <w:spacing w:after="180" w:line="360"/>
        <w:jc w:val="both"/>
      </w:pPr>
      <w:r>
        <w:rPr>
          <w:rFonts w:ascii="Times New Roman" w:cs="Times New Roman" w:eastAsia="Times New Roman" w:hAnsi="Times New Roman"/>
          <w:sz w:val="24"/>
          <w:szCs w:val="24"/>
        </w:rPr>
        <w:t xml:space="preserve">The results embodied in this project report have not been submitted to any other University or Institute for the award of any master's degree, degree, or diploma.</w:t>
      </w:r>
    </w:p>
    <w:p>
      <w:pPr>
        <w:spacing w:after="0"/>
      </w:pPr>
      <w:r>
        <w:t xml:space="preserve"/>
      </w:r>
    </w:p>
    <w:p>
      <w:pPr>
        <w:spacing w:after="0"/>
      </w:pPr>
      <w:r>
        <w:t xml:space="preserve"/>
      </w:r>
    </w:p>
    <w:p>
      <w:pPr>
        <w:spacing w:after="180" w:line="360"/>
        <w:jc w:val="both"/>
      </w:pPr>
      <w:r>
        <w:rPr>
          <w:rFonts w:ascii="Times New Roman" w:cs="Times New Roman" w:eastAsia="Times New Roman" w:hAnsi="Times New Roman"/>
          <w:sz w:val="24"/>
          <w:szCs w:val="24"/>
        </w:rPr>
        <w:t xml:space="preserve">Signature: ………………………………………</w:t>
      </w:r>
    </w:p>
    <w:p>
      <w:pPr>
        <w:spacing w:after="0"/>
      </w:pPr>
      <w:r>
        <w:t xml:space="preserve"/>
      </w:r>
    </w:p>
    <w:p>
      <w:pPr>
        <w:spacing w:after="180" w:line="360"/>
        <w:jc w:val="both"/>
      </w:pPr>
      <w:r>
        <w:rPr>
          <w:rFonts w:ascii="Times New Roman" w:cs="Times New Roman" w:eastAsia="Times New Roman" w:hAnsi="Times New Roman"/>
          <w:sz w:val="24"/>
          <w:szCs w:val="24"/>
        </w:rPr>
        <w:t xml:space="preserve">Initials &amp; Surname (Student No.):  E.P. Manyonganise (H240659Q)</w:t>
      </w:r>
    </w:p>
    <w:p>
      <w:pPr>
        <w:spacing w:after="0"/>
      </w:pPr>
      <w:r>
        <w:t xml:space="preserve"/>
      </w:r>
    </w:p>
    <w:p>
      <w:pPr>
        <w:spacing w:after="180" w:line="360"/>
        <w:jc w:val="both"/>
      </w:pPr>
      <w:r>
        <w:rPr>
          <w:rFonts w:ascii="Times New Roman" w:cs="Times New Roman" w:eastAsia="Times New Roman" w:hAnsi="Times New Roman"/>
          <w:sz w:val="24"/>
          <w:szCs w:val="24"/>
        </w:rPr>
        <w:t xml:space="preserve">Date: ……………………………………………</w:t>
      </w:r>
    </w:p>
    <w:p>
      <w:pPr>
        <w:pageBreakBefore/>
        <w:spacing w:after="120" w:line="360"/>
        <w:jc w:val="center"/>
      </w:pPr>
      <w:r>
        <w:rPr>
          <w:rFonts w:ascii="Times New Roman" w:cs="Times New Roman" w:eastAsia="Times New Roman" w:hAnsi="Times New Roman"/>
          <w:sz w:val="24"/>
          <w:szCs w:val="24"/>
        </w:rPr>
        <w:t xml:space="preserve">School of Information Sciences and Technology</w:t>
      </w:r>
    </w:p>
    <w:p>
      <w:pPr>
        <w:spacing w:after="60" w:line="360"/>
        <w:jc w:val="center"/>
      </w:pPr>
      <w:r>
        <w:rPr>
          <w:rFonts w:ascii="Times New Roman" w:cs="Times New Roman" w:eastAsia="Times New Roman" w:hAnsi="Times New Roman"/>
          <w:b w:val="false"/>
          <w:bCs w:val="false"/>
          <w:sz w:val="24"/>
          <w:szCs w:val="24"/>
        </w:rPr>
        <w:t xml:space="preserve">Post Graduate Unit</w:t>
      </w:r>
    </w:p>
    <w:p>
      <w:pPr>
        <w:spacing w:after="480" w:line="360"/>
        <w:jc w:val="center"/>
      </w:pPr>
      <w:r>
        <w:rPr>
          <w:rFonts w:ascii="Times New Roman" w:cs="Times New Roman" w:eastAsia="Times New Roman" w:hAnsi="Times New Roman"/>
          <w:b w:val="false"/>
          <w:bCs w:val="false"/>
          <w:sz w:val="24"/>
          <w:szCs w:val="24"/>
        </w:rPr>
        <w:t xml:space="preserve">Master of Technology in Cloud Computing</w:t>
      </w:r>
    </w:p>
    <w:p>
      <w:pPr>
        <w:spacing w:after="0"/>
      </w:pPr>
      <w:r>
        <w:t xml:space="preserve"/>
      </w:r>
    </w:p>
    <w:p>
      <w:pPr>
        <w:spacing w:after="360" w:line="360"/>
        <w:jc w:val="center"/>
      </w:pPr>
      <w:r>
        <w:rPr>
          <w:rFonts w:ascii="Times New Roman" w:cs="Times New Roman" w:eastAsia="Times New Roman" w:hAnsi="Times New Roman"/>
          <w:b/>
          <w:bCs/>
          <w:sz w:val="28"/>
          <w:szCs w:val="28"/>
        </w:rPr>
        <w:t xml:space="preserve">CERTIFICATE BY THE SUPERVISOR</w:t>
      </w:r>
    </w:p>
    <w:p>
      <w:pPr>
        <w:spacing w:after="0"/>
      </w:pPr>
      <w:r>
        <w:t xml:space="preserve"/>
      </w:r>
    </w:p>
    <w:p>
      <w:pPr>
        <w:spacing w:after="180" w:line="36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i/>
          <w:iCs/>
          <w:sz w:val="24"/>
          <w:szCs w:val="24"/>
        </w:rPr>
        <w:t xml:space="preserve">"An Interpretable Confidence-Layer Architecture for Natural Product Dereplication: Application to Zimbabwean Knobwood (Zanthoxylum chalybeum)"</w:t>
      </w:r>
      <w:r>
        <w:rPr>
          <w:rFonts w:ascii="Times New Roman" w:cs="Times New Roman" w:eastAsia="Times New Roman" w:hAnsi="Times New Roman"/>
          <w:sz w:val="24"/>
          <w:szCs w:val="24"/>
        </w:rPr>
        <w:t xml:space="preserve"> being submitted by </w:t>
      </w:r>
      <w:r>
        <w:rPr>
          <w:rFonts w:ascii="Times New Roman" w:cs="Times New Roman" w:eastAsia="Times New Roman" w:hAnsi="Times New Roman"/>
          <w:b/>
          <w:bCs/>
          <w:sz w:val="24"/>
          <w:szCs w:val="24"/>
        </w:rPr>
        <w:t xml:space="preserve">Ed Panashe Manyonganise (H240659Q)</w:t>
      </w:r>
      <w:r>
        <w:rPr>
          <w:rFonts w:ascii="Times New Roman" w:cs="Times New Roman" w:eastAsia="Times New Roman" w:hAnsi="Times New Roman"/>
          <w:sz w:val="24"/>
          <w:szCs w:val="24"/>
        </w:rPr>
        <w:t xml:space="preserve"> in partial fulfilment of the requirements for the award of the degree of </w:t>
      </w:r>
      <w:r>
        <w:rPr>
          <w:rFonts w:ascii="Times New Roman" w:cs="Times New Roman" w:eastAsia="Times New Roman" w:hAnsi="Times New Roman"/>
          <w:i/>
          <w:iCs/>
          <w:sz w:val="24"/>
          <w:szCs w:val="24"/>
        </w:rPr>
        <w:t xml:space="preserve">Master of Technology in Cloud Computing</w:t>
      </w:r>
      <w:r>
        <w:rPr>
          <w:rFonts w:ascii="Times New Roman" w:cs="Times New Roman" w:eastAsia="Times New Roman" w:hAnsi="Times New Roman"/>
          <w:sz w:val="24"/>
          <w:szCs w:val="24"/>
        </w:rPr>
        <w:t xml:space="preserve">, is a record of bona-fide work carried by him. The results embodied in this project report have not been submitted to any other University or Institute for the award of any other master's degree, degree, or diploma.</w:t>
      </w:r>
    </w:p>
    <w:p>
      <w:pPr>
        <w:spacing w:after="0"/>
      </w:pPr>
      <w:r>
        <w:t xml:space="preserve"/>
      </w:r>
    </w:p>
    <w:p>
      <w:pPr>
        <w:spacing w:after="0"/>
      </w:pPr>
      <w:r>
        <w:t xml:space="preserve"/>
      </w:r>
    </w:p>
    <w:p>
      <w:pPr>
        <w:spacing w:after="180" w:line="360"/>
        <w:jc w:val="both"/>
      </w:pPr>
      <w:r>
        <w:rPr>
          <w:rFonts w:ascii="Times New Roman" w:cs="Times New Roman" w:eastAsia="Times New Roman" w:hAnsi="Times New Roman"/>
          <w:sz w:val="24"/>
          <w:szCs w:val="24"/>
        </w:rPr>
        <w:t xml:space="preserve">Signature: ………………………………………</w:t>
      </w:r>
    </w:p>
    <w:p>
      <w:pPr>
        <w:spacing w:after="0"/>
      </w:pPr>
      <w:r>
        <w:t xml:space="preserve"/>
      </w:r>
    </w:p>
    <w:p>
      <w:pPr>
        <w:spacing w:after="180" w:line="360"/>
        <w:jc w:val="both"/>
      </w:pPr>
      <w:r>
        <w:rPr>
          <w:rFonts w:ascii="Times New Roman" w:cs="Times New Roman" w:eastAsia="Times New Roman" w:hAnsi="Times New Roman"/>
          <w:sz w:val="24"/>
          <w:szCs w:val="24"/>
        </w:rPr>
        <w:t xml:space="preserve">Initials &amp; Surname (Title):  Mr A. Ndlovu (Supervisor)</w:t>
      </w:r>
    </w:p>
    <w:p>
      <w:pPr>
        <w:spacing w:after="0"/>
      </w:pPr>
      <w:r>
        <w:t xml:space="preserve"/>
      </w:r>
    </w:p>
    <w:p>
      <w:pPr>
        <w:spacing w:after="180" w:line="360"/>
        <w:jc w:val="both"/>
      </w:pPr>
      <w:r>
        <w:rPr>
          <w:rFonts w:ascii="Times New Roman" w:cs="Times New Roman" w:eastAsia="Times New Roman" w:hAnsi="Times New Roman"/>
          <w:sz w:val="24"/>
          <w:szCs w:val="24"/>
        </w:rPr>
        <w:t xml:space="preserve">Date: ……………………………………………</w:t>
      </w:r>
    </w:p>
    <w:p>
      <w:pPr>
        <w:pageBreakBefore/>
        <w:spacing w:after="120" w:line="360"/>
        <w:jc w:val="center"/>
      </w:pPr>
      <w:r>
        <w:rPr>
          <w:rFonts w:ascii="Times New Roman" w:cs="Times New Roman" w:eastAsia="Times New Roman" w:hAnsi="Times New Roman"/>
          <w:sz w:val="24"/>
          <w:szCs w:val="24"/>
        </w:rPr>
        <w:t xml:space="preserve">School of Information Sciences and Technology</w:t>
      </w:r>
    </w:p>
    <w:p>
      <w:pPr>
        <w:spacing w:after="60" w:line="360"/>
        <w:jc w:val="center"/>
      </w:pPr>
      <w:r>
        <w:rPr>
          <w:rFonts w:ascii="Times New Roman" w:cs="Times New Roman" w:eastAsia="Times New Roman" w:hAnsi="Times New Roman"/>
          <w:b w:val="false"/>
          <w:bCs w:val="false"/>
          <w:sz w:val="24"/>
          <w:szCs w:val="24"/>
        </w:rPr>
        <w:t xml:space="preserve">Post Graduate Unit</w:t>
      </w:r>
    </w:p>
    <w:p>
      <w:pPr>
        <w:spacing w:after="480" w:line="360"/>
        <w:jc w:val="center"/>
      </w:pPr>
      <w:r>
        <w:rPr>
          <w:rFonts w:ascii="Times New Roman" w:cs="Times New Roman" w:eastAsia="Times New Roman" w:hAnsi="Times New Roman"/>
          <w:b w:val="false"/>
          <w:bCs w:val="false"/>
          <w:sz w:val="24"/>
          <w:szCs w:val="24"/>
        </w:rPr>
        <w:t xml:space="preserve">Master of Technology in Cloud Computing</w:t>
      </w:r>
    </w:p>
    <w:p>
      <w:pPr>
        <w:spacing w:after="0"/>
      </w:pPr>
      <w:r>
        <w:t xml:space="preserve"/>
      </w:r>
    </w:p>
    <w:p>
      <w:pPr>
        <w:spacing w:after="360" w:line="360"/>
        <w:jc w:val="center"/>
      </w:pPr>
      <w:r>
        <w:rPr>
          <w:rFonts w:ascii="Times New Roman" w:cs="Times New Roman" w:eastAsia="Times New Roman" w:hAnsi="Times New Roman"/>
          <w:b/>
          <w:bCs/>
          <w:sz w:val="28"/>
          <w:szCs w:val="28"/>
        </w:rPr>
        <w:t xml:space="preserve">CERTIFICATE BY THE HEAD OF THE DEPARTMENT</w:t>
      </w:r>
    </w:p>
    <w:p>
      <w:pPr>
        <w:spacing w:after="0"/>
      </w:pPr>
      <w:r>
        <w:t xml:space="preserve"/>
      </w:r>
    </w:p>
    <w:p>
      <w:pPr>
        <w:spacing w:after="180" w:line="36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i/>
          <w:iCs/>
          <w:sz w:val="24"/>
          <w:szCs w:val="24"/>
        </w:rPr>
        <w:t xml:space="preserve">"An Interpretable Confidence-Layer Architecture for Natural Product Dereplication: Application to Zimbabwean Knobwood (Zanthoxylum chalybeum)"</w:t>
      </w:r>
      <w:r>
        <w:rPr>
          <w:rFonts w:ascii="Times New Roman" w:cs="Times New Roman" w:eastAsia="Times New Roman" w:hAnsi="Times New Roman"/>
          <w:sz w:val="24"/>
          <w:szCs w:val="24"/>
        </w:rPr>
        <w:t xml:space="preserve"> being submitted by </w:t>
      </w:r>
      <w:r>
        <w:rPr>
          <w:rFonts w:ascii="Times New Roman" w:cs="Times New Roman" w:eastAsia="Times New Roman" w:hAnsi="Times New Roman"/>
          <w:b/>
          <w:bCs/>
          <w:sz w:val="24"/>
          <w:szCs w:val="24"/>
        </w:rPr>
        <w:t xml:space="preserve">Ed Panashe Manyonganise (H240659Q)</w:t>
      </w:r>
      <w:r>
        <w:rPr>
          <w:rFonts w:ascii="Times New Roman" w:cs="Times New Roman" w:eastAsia="Times New Roman" w:hAnsi="Times New Roman"/>
          <w:sz w:val="24"/>
          <w:szCs w:val="24"/>
        </w:rPr>
        <w:t xml:space="preserve"> in partial fulfilment of the requirements for the award of the degree of </w:t>
      </w:r>
      <w:r>
        <w:rPr>
          <w:rFonts w:ascii="Times New Roman" w:cs="Times New Roman" w:eastAsia="Times New Roman" w:hAnsi="Times New Roman"/>
          <w:i/>
          <w:iCs/>
          <w:sz w:val="24"/>
          <w:szCs w:val="24"/>
        </w:rPr>
        <w:t xml:space="preserve">Master of Technology in Cloud Computing</w:t>
      </w:r>
      <w:r>
        <w:rPr>
          <w:rFonts w:ascii="Times New Roman" w:cs="Times New Roman" w:eastAsia="Times New Roman" w:hAnsi="Times New Roman"/>
          <w:sz w:val="24"/>
          <w:szCs w:val="24"/>
        </w:rPr>
        <w:t xml:space="preserve">, is a record of bona-fide work carried by him. The results embodied in this project report have not been submitted to any other University or Institute for the award of any other master's degree, degree, or diploma.</w:t>
      </w:r>
    </w:p>
    <w:p>
      <w:pPr>
        <w:spacing w:after="0"/>
      </w:pPr>
      <w:r>
        <w:t xml:space="preserve"/>
      </w:r>
    </w:p>
    <w:p>
      <w:pPr>
        <w:spacing w:after="0"/>
      </w:pPr>
      <w:r>
        <w:t xml:space="preserve"/>
      </w:r>
    </w:p>
    <w:p>
      <w:pPr>
        <w:spacing w:after="180" w:line="360"/>
        <w:jc w:val="both"/>
      </w:pPr>
      <w:r>
        <w:rPr>
          <w:rFonts w:ascii="Times New Roman" w:cs="Times New Roman" w:eastAsia="Times New Roman" w:hAnsi="Times New Roman"/>
          <w:sz w:val="24"/>
          <w:szCs w:val="24"/>
        </w:rPr>
        <w:t xml:space="preserve">Signature: ………………………………………</w:t>
      </w:r>
    </w:p>
    <w:p>
      <w:pPr>
        <w:spacing w:after="0"/>
      </w:pPr>
      <w:r>
        <w:t xml:space="preserve"/>
      </w:r>
    </w:p>
    <w:p>
      <w:pPr>
        <w:spacing w:after="180" w:line="360"/>
        <w:jc w:val="both"/>
      </w:pPr>
      <w:r>
        <w:rPr>
          <w:rFonts w:ascii="Times New Roman" w:cs="Times New Roman" w:eastAsia="Times New Roman" w:hAnsi="Times New Roman"/>
          <w:sz w:val="24"/>
          <w:szCs w:val="24"/>
        </w:rPr>
        <w:t xml:space="preserve">Initials &amp; Surname (Title):  [HOD Name to be inserted]</w:t>
      </w:r>
    </w:p>
    <w:p>
      <w:pPr>
        <w:spacing w:after="0"/>
      </w:pPr>
      <w:r>
        <w:t xml:space="preserve"/>
      </w:r>
    </w:p>
    <w:p>
      <w:pPr>
        <w:spacing w:after="180" w:line="360"/>
        <w:jc w:val="both"/>
      </w:pPr>
      <w:r>
        <w:rPr>
          <w:rFonts w:ascii="Times New Roman" w:cs="Times New Roman" w:eastAsia="Times New Roman" w:hAnsi="Times New Roman"/>
          <w:sz w:val="24"/>
          <w:szCs w:val="24"/>
        </w:rPr>
        <w:t xml:space="preserve">Date: ……………………………………………</w:t>
      </w:r>
    </w:p>
    <w:p>
      <w:pPr>
        <w:pStyle w:val="Heading1"/>
        <w:pageBreakBefore/>
        <w:spacing w:after="360" w:before="240" w:line="360"/>
        <w:jc w:val="center"/>
      </w:pPr>
      <w:r>
        <w:rPr>
          <w:rFonts w:ascii="Times New Roman" w:cs="Times New Roman" w:eastAsia="Times New Roman" w:hAnsi="Times New Roman"/>
          <w:b/>
          <w:bCs/>
          <w:sz w:val="36"/>
          <w:szCs w:val="36"/>
        </w:rPr>
        <w:t xml:space="preserve">ACKNOWLEDGEMENTS</w:t>
      </w:r>
    </w:p>
    <w:p>
      <w:pPr>
        <w:spacing w:after="180" w:line="360"/>
        <w:ind w:firstLine="360"/>
        <w:jc w:val="both"/>
      </w:pPr>
      <w:r>
        <w:rPr>
          <w:rFonts w:ascii="Times New Roman" w:cs="Times New Roman" w:eastAsia="Times New Roman" w:hAnsi="Times New Roman"/>
          <w:sz w:val="24"/>
          <w:szCs w:val="24"/>
        </w:rPr>
        <w:t xml:space="preserve">I would like to express my sincere gratitude to my supervisor, </w:t>
      </w:r>
      <w:r>
        <w:rPr>
          <w:rFonts w:ascii="Times New Roman" w:cs="Times New Roman" w:eastAsia="Times New Roman" w:hAnsi="Times New Roman"/>
          <w:b/>
          <w:bCs/>
          <w:sz w:val="24"/>
          <w:szCs w:val="24"/>
        </w:rPr>
        <w:t xml:space="preserve">Mr A. Ndlovu</w:t>
      </w:r>
      <w:r>
        <w:rPr>
          <w:rFonts w:ascii="Times New Roman" w:cs="Times New Roman" w:eastAsia="Times New Roman" w:hAnsi="Times New Roman"/>
          <w:sz w:val="24"/>
          <w:szCs w:val="24"/>
        </w:rPr>
        <w:t xml:space="preserve">, for his unwavering guidance, intellectual generosity, and patient mentorship throughout this project. His insights into both the methodological framing of explainable AI for natural products and the practical realities of conducting cheminformatics research in a resource-constrained setting shaped this work in ways that go far beyond what is documented in these pages.</w:t>
      </w:r>
    </w:p>
    <w:p>
      <w:pPr>
        <w:spacing w:after="180" w:line="360"/>
        <w:ind w:firstLine="360"/>
        <w:jc w:val="both"/>
      </w:pPr>
      <w:r>
        <w:rPr>
          <w:rFonts w:ascii="Times New Roman" w:cs="Times New Roman" w:eastAsia="Times New Roman" w:hAnsi="Times New Roman"/>
          <w:sz w:val="24"/>
          <w:szCs w:val="24"/>
        </w:rPr>
        <w:t xml:space="preserve">I am equally grateful to my co-supervisor, </w:t>
      </w:r>
      <w:r>
        <w:rPr>
          <w:rFonts w:ascii="Times New Roman" w:cs="Times New Roman" w:eastAsia="Times New Roman" w:hAnsi="Times New Roman"/>
          <w:b/>
          <w:bCs/>
          <w:sz w:val="24"/>
          <w:szCs w:val="24"/>
        </w:rPr>
        <w:t xml:space="preserve">Mr T. Magadza</w:t>
      </w:r>
      <w:r>
        <w:rPr>
          <w:rFonts w:ascii="Times New Roman" w:cs="Times New Roman" w:eastAsia="Times New Roman" w:hAnsi="Times New Roman"/>
          <w:sz w:val="24"/>
          <w:szCs w:val="24"/>
        </w:rPr>
        <w:t xml:space="preserve">, for technical guidance and constructive criticism that consistently raised the standard of the work. I thank </w:t>
      </w:r>
      <w:r>
        <w:rPr>
          <w:rFonts w:ascii="Times New Roman" w:cs="Times New Roman" w:eastAsia="Times New Roman" w:hAnsi="Times New Roman"/>
          <w:b/>
          <w:bCs/>
          <w:sz w:val="24"/>
          <w:szCs w:val="24"/>
        </w:rPr>
        <w:t xml:space="preserve">Mr M. Mutandavari</w:t>
      </w:r>
      <w:r>
        <w:rPr>
          <w:rFonts w:ascii="Times New Roman" w:cs="Times New Roman" w:eastAsia="Times New Roman" w:hAnsi="Times New Roman"/>
          <w:sz w:val="24"/>
          <w:szCs w:val="24"/>
        </w:rPr>
        <w:t xml:space="preserve"> of the Department of Computer Science for additional supervisory support and methodological feedback.</w:t>
      </w:r>
    </w:p>
    <w:p>
      <w:pPr>
        <w:spacing w:after="180" w:line="360"/>
        <w:ind w:firstLine="360"/>
        <w:jc w:val="both"/>
      </w:pPr>
      <w:r>
        <w:rPr>
          <w:rFonts w:ascii="Times New Roman" w:cs="Times New Roman" w:eastAsia="Times New Roman" w:hAnsi="Times New Roman"/>
          <w:sz w:val="24"/>
          <w:szCs w:val="24"/>
        </w:rPr>
        <w:t xml:space="preserve">I gratefully acknowledge the </w:t>
      </w:r>
      <w:r>
        <w:rPr>
          <w:rFonts w:ascii="Times New Roman" w:cs="Times New Roman" w:eastAsia="Times New Roman" w:hAnsi="Times New Roman"/>
          <w:b/>
          <w:bCs/>
          <w:sz w:val="24"/>
          <w:szCs w:val="24"/>
        </w:rPr>
        <w:t xml:space="preserve">African Institute of Biomedical Science and Technology (AiBST)</w:t>
      </w:r>
      <w:r>
        <w:rPr>
          <w:rFonts w:ascii="Times New Roman" w:cs="Times New Roman" w:eastAsia="Times New Roman" w:hAnsi="Times New Roman"/>
          <w:sz w:val="24"/>
          <w:szCs w:val="24"/>
        </w:rPr>
        <w:t xml:space="preserve"> for collaboration on the locally isolated </w:t>
      </w:r>
      <w:r>
        <w:rPr>
          <w:rFonts w:ascii="Times New Roman" w:cs="Times New Roman" w:eastAsia="Times New Roman" w:hAnsi="Times New Roman"/>
          <w:i/>
          <w:iCs/>
          <w:sz w:val="24"/>
          <w:szCs w:val="24"/>
        </w:rPr>
        <w:t xml:space="preserve">Zanthoxylum chalybeum</w:t>
      </w:r>
      <w:r>
        <w:rPr>
          <w:rFonts w:ascii="Times New Roman" w:cs="Times New Roman" w:eastAsia="Times New Roman" w:hAnsi="Times New Roman"/>
          <w:sz w:val="24"/>
          <w:szCs w:val="24"/>
        </w:rPr>
        <w:t xml:space="preserve"> compound data presented in the case study, and for providing the broader institutional context within which this computational work intersects with experimental natural product chemistry in Zimbabwe.</w:t>
      </w:r>
    </w:p>
    <w:p>
      <w:pPr>
        <w:spacing w:after="180" w:line="360"/>
        <w:ind w:firstLine="360"/>
        <w:jc w:val="both"/>
      </w:pPr>
      <w:r>
        <w:rPr>
          <w:rFonts w:ascii="Times New Roman" w:cs="Times New Roman" w:eastAsia="Times New Roman" w:hAnsi="Times New Roman"/>
          <w:sz w:val="24"/>
          <w:szCs w:val="24"/>
        </w:rPr>
        <w:t xml:space="preserve">I acknowledge the maintainers of the open-source software libraries on which this work depends, including RDKit, XGBoost, scikit-learn, SHAP, and Streamlit, and the curators of the COCONUT, ChEMBL, NP Atlas, and PubChem chemical databases, whose open-data commitments make integrative phytochemistry research of this kind possible.</w:t>
      </w:r>
    </w:p>
    <w:p>
      <w:pPr>
        <w:spacing w:after="180" w:line="360"/>
        <w:ind w:firstLine="360"/>
        <w:jc w:val="both"/>
      </w:pPr>
      <w:r>
        <w:rPr>
          <w:rFonts w:ascii="Times New Roman" w:cs="Times New Roman" w:eastAsia="Times New Roman" w:hAnsi="Times New Roman"/>
          <w:sz w:val="24"/>
          <w:szCs w:val="24"/>
        </w:rPr>
        <w:t xml:space="preserve">I thank the </w:t>
      </w:r>
      <w:r>
        <w:rPr>
          <w:rFonts w:ascii="Times New Roman" w:cs="Times New Roman" w:eastAsia="Times New Roman" w:hAnsi="Times New Roman"/>
          <w:b/>
          <w:bCs/>
          <w:sz w:val="24"/>
          <w:szCs w:val="24"/>
        </w:rPr>
        <w:t xml:space="preserve">Department of Information Technology</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School of Information Sciences and Technology</w:t>
      </w:r>
      <w:r>
        <w:rPr>
          <w:rFonts w:ascii="Times New Roman" w:cs="Times New Roman" w:eastAsia="Times New Roman" w:hAnsi="Times New Roman"/>
          <w:sz w:val="24"/>
          <w:szCs w:val="24"/>
        </w:rPr>
        <w:t xml:space="preserve"> at the Harare Institute of Technology for institutional support throughout this project. Finally, I thank my family and colleagues for their patience and encouragement during the long hours that this work demanded.</w:t>
      </w:r>
    </w:p>
    <w:p>
      <w:pPr>
        <w:pStyle w:val="Heading1"/>
        <w:pageBreakBefore/>
        <w:spacing w:after="360" w:before="240" w:line="360"/>
        <w:jc w:val="center"/>
      </w:pPr>
      <w:r>
        <w:rPr>
          <w:rFonts w:ascii="Times New Roman" w:cs="Times New Roman" w:eastAsia="Times New Roman" w:hAnsi="Times New Roman"/>
          <w:b/>
          <w:bCs/>
          <w:sz w:val="36"/>
          <w:szCs w:val="36"/>
        </w:rPr>
        <w:t xml:space="preserve">ABSTRACT</w:t>
      </w:r>
    </w:p>
    <w:p>
      <w:pPr>
        <w:spacing w:after="180" w:line="360"/>
        <w:ind w:firstLine="360"/>
        <w:jc w:val="both"/>
      </w:pPr>
      <w:r>
        <w:rPr>
          <w:rFonts w:ascii="Times New Roman" w:cs="Times New Roman" w:eastAsia="Times New Roman" w:hAnsi="Times New Roman"/>
          <w:sz w:val="24"/>
          <w:szCs w:val="24"/>
        </w:rPr>
        <w:t xml:space="preserve">Re-isolation of known compounds remains the dominant inefficiency in natural product (NP) discovery, with the majority of phytochemicals isolated from typical plant extracts proving to be previously characterised. African medicinal plants such as </w:t>
      </w:r>
      <w:r>
        <w:rPr>
          <w:rFonts w:ascii="Times New Roman" w:cs="Times New Roman" w:eastAsia="Times New Roman" w:hAnsi="Times New Roman"/>
          <w:i/>
          <w:iCs/>
          <w:sz w:val="24"/>
          <w:szCs w:val="24"/>
        </w:rPr>
        <w:t xml:space="preserve">Zanthoxylum chalybeum</w:t>
      </w:r>
      <w:r>
        <w:rPr>
          <w:rFonts w:ascii="Times New Roman" w:cs="Times New Roman" w:eastAsia="Times New Roman" w:hAnsi="Times New Roman"/>
          <w:sz w:val="24"/>
          <w:szCs w:val="24"/>
        </w:rPr>
        <w:t xml:space="preserve"> (Knobwood) are computationally underexplored: existing dereplication tools are calibrated against synthetic-heavy chemical databases that under-represent African botanical chemistry, and most published machine-learning approaches report classification metrics without rigorous comparison to similarity-based baselines.</w:t>
      </w:r>
    </w:p>
    <w:p>
      <w:pPr>
        <w:spacing w:after="180" w:line="360"/>
        <w:ind w:firstLine="360"/>
        <w:jc w:val="both"/>
      </w:pPr>
      <w:r>
        <w:rPr>
          <w:rFonts w:ascii="Times New Roman" w:cs="Times New Roman" w:eastAsia="Times New Roman" w:hAnsi="Times New Roman"/>
          <w:sz w:val="24"/>
          <w:szCs w:val="24"/>
        </w:rPr>
        <w:t xml:space="preserve">This project constructs an integrated reference set of 3,511,178 unique standardised compounds spanning COCONUT, ChEMBL release 36, NP Atlas v2024_09, and PubChem, from which 2,294 compounds reported from the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genus were extracted and characterised through ECFP4 Morgan fingerprints, RDKit physicochemical descriptors, and Bemis–Murcko scaffold analysis. Across six chemically distinct hold-out classes, four classifier-based approaches (supervised XGBoost, Isolation Forest, One-Class SVM, Local Outlier Factor) were systematically benchmarked against threshold-optimised Tanimoto similarity under scaffold-aware cross-validation.</w:t>
      </w:r>
    </w:p>
    <w:p>
      <w:pPr>
        <w:spacing w:after="180" w:line="360"/>
        <w:ind w:firstLine="360"/>
        <w:jc w:val="both"/>
      </w:pPr>
      <w:r>
        <w:rPr>
          <w:rFonts w:ascii="Times New Roman" w:cs="Times New Roman" w:eastAsia="Times New Roman" w:hAnsi="Times New Roman"/>
          <w:sz w:val="24"/>
          <w:szCs w:val="24"/>
        </w:rPr>
        <w:t xml:space="preserve">Threshold-optimised Tanimoto similarity outperformed all four classifier-based approaches on mean Matthews correlation coefficient (0.42 ± 0.15 versus 0.00–0.23). Motivated by this finding, the project proposes a confidence-layer reframing in which XGBoost is trained not to classify novelty directly, but to predict whether a high-Tanimoto match represents a true structural relationship or a chance similarity, with SHAP attribution producing per-prediction explanations grounded in interpretable physicochemical descriptor differences. The proposed architecture reduced false positives by 89% on Tanimoto's documented high-similarity failure mode without sacrificing recall (0.998), achieving precision 0.989 against a Tanimoto baseline of 0.900.</w:t>
      </w:r>
    </w:p>
    <w:p>
      <w:pPr>
        <w:spacing w:after="180" w:line="360"/>
        <w:ind w:firstLine="360"/>
        <w:jc w:val="both"/>
      </w:pPr>
      <w:r>
        <w:rPr>
          <w:rFonts w:ascii="Times New Roman" w:cs="Times New Roman" w:eastAsia="Times New Roman" w:hAnsi="Times New Roman"/>
          <w:sz w:val="24"/>
          <w:szCs w:val="24"/>
        </w:rPr>
        <w:t xml:space="preserve">The complete pipeline integrates structural similarity search, learned match-confidence calibration, an applicability-domain check, and PubChem cross-reference into a four-layer inference architecture, deployed as an open-source Streamlit web application and released under the MIT licence. Application to five compounds isolated from local </w:t>
      </w:r>
      <w:r>
        <w:rPr>
          <w:rFonts w:ascii="Times New Roman" w:cs="Times New Roman" w:eastAsia="Times New Roman" w:hAnsi="Times New Roman"/>
          <w:i/>
          <w:iCs/>
          <w:sz w:val="24"/>
          <w:szCs w:val="24"/>
        </w:rPr>
        <w:t xml:space="preserve">Z. chalybeum</w:t>
      </w:r>
      <w:r>
        <w:rPr>
          <w:rFonts w:ascii="Times New Roman" w:cs="Times New Roman" w:eastAsia="Times New Roman" w:hAnsi="Times New Roman"/>
          <w:sz w:val="24"/>
          <w:szCs w:val="24"/>
        </w:rPr>
        <w:t xml:space="preserve"> plant material produced verdicts spanning the full categorical range of pipeline outputs, demonstrating the architecture's behaviour on real local chemistry.</w:t>
      </w:r>
    </w:p>
    <w:p>
      <w:pPr>
        <w:spacing w:after="18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natural product dereplication; explainable AI; XGBoost; Tanimoto similarity; SHAP; African phytochemistry; </w:t>
      </w:r>
      <w:r>
        <w:rPr>
          <w:rFonts w:ascii="Times New Roman" w:cs="Times New Roman" w:eastAsia="Times New Roman" w:hAnsi="Times New Roman"/>
          <w:i/>
          <w:iCs/>
          <w:sz w:val="24"/>
          <w:szCs w:val="24"/>
        </w:rPr>
        <w:t xml:space="preserve">Zanthoxylum chalybeum</w:t>
      </w:r>
      <w:r>
        <w:rPr>
          <w:rFonts w:ascii="Times New Roman" w:cs="Times New Roman" w:eastAsia="Times New Roman" w:hAnsi="Times New Roman"/>
          <w:sz w:val="24"/>
          <w:szCs w:val="24"/>
        </w:rPr>
        <w:t xml:space="preserve">; cheminformatics; cloud-deployed machine learning.</w:t>
      </w:r>
    </w:p>
    <w:p>
      <w:pPr>
        <w:pStyle w:val="Heading1"/>
        <w:pageBreakBefore/>
        <w:spacing w:after="360" w:before="240" w:line="360"/>
        <w:jc w:val="center"/>
      </w:pPr>
      <w:r>
        <w:rPr>
          <w:rFonts w:ascii="Times New Roman" w:cs="Times New Roman" w:eastAsia="Times New Roman" w:hAnsi="Times New Roman"/>
          <w:b/>
          <w:bCs/>
          <w:sz w:val="36"/>
          <w:szCs w:val="36"/>
        </w:rPr>
        <w:t xml:space="preserve">TABLE OF CONTENTS</w:t>
      </w:r>
    </w:p>
    <w:p>
      <w:pPr>
        <w:spacing w:after="180" w:line="360"/>
        <w:jc w:val="both"/>
      </w:pPr>
      <w:r>
        <w:rPr>
          <w:rFonts w:ascii="Times New Roman" w:cs="Times New Roman" w:eastAsia="Times New Roman" w:hAnsi="Times New Roman"/>
          <w:i/>
          <w:iCs/>
          <w:color w:val="888888"/>
          <w:sz w:val="24"/>
          <w:szCs w:val="24"/>
        </w:rPr>
        <w:t xml:space="preserve">[Note: </w:t>
      </w:r>
      <w:r>
        <w:rPr>
          <w:rFonts w:ascii="Times New Roman" w:cs="Times New Roman" w:eastAsia="Times New Roman" w:hAnsi="Times New Roman"/>
          <w:i/>
          <w:iCs/>
          <w:color w:val="888888"/>
          <w:sz w:val="24"/>
          <w:szCs w:val="24"/>
        </w:rPr>
        <w:t xml:space="preserve">right-click the placeholder line below and select "Update Field" in Microsoft Word, or press F9 with the cursor on it, to auto-populate the table of contents from the chapter and section headings.]</w:t>
      </w:r>
    </w:p>
    <w:p>
      <w:pPr>
        <w:spacing w:after="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360" w:before="480" w:line="360"/>
        <w:jc w:val="left"/>
      </w:pPr>
      <w:r>
        <w:rPr>
          <w:rFonts w:ascii="Times New Roman" w:cs="Times New Roman" w:eastAsia="Times New Roman" w:hAnsi="Times New Roman"/>
          <w:b/>
          <w:bCs/>
          <w:sz w:val="36"/>
          <w:szCs w:val="36"/>
        </w:rPr>
        <w:t xml:space="preserve">CHAPTER 1: INTRODUCTION AND BACKGROUND TO THE STUDY</w:t>
      </w:r>
    </w:p>
    <w:p>
      <w:pPr>
        <w:pStyle w:val="Heading2"/>
        <w:spacing w:after="180" w:before="360" w:line="360"/>
      </w:pPr>
      <w:r>
        <w:rPr>
          <w:rFonts w:ascii="Times New Roman" w:cs="Times New Roman" w:eastAsia="Times New Roman" w:hAnsi="Times New Roman"/>
          <w:b/>
          <w:bCs/>
          <w:sz w:val="28"/>
          <w:szCs w:val="28"/>
        </w:rPr>
        <w:t xml:space="preserve">1.1  Introduction</w:t>
      </w:r>
    </w:p>
    <w:p>
      <w:pPr>
        <w:spacing w:after="180" w:line="360"/>
        <w:ind w:firstLine="360"/>
        <w:jc w:val="both"/>
      </w:pPr>
      <w:r>
        <w:rPr>
          <w:rFonts w:ascii="Times New Roman" w:cs="Times New Roman" w:eastAsia="Times New Roman" w:hAnsi="Times New Roman"/>
          <w:sz w:val="24"/>
          <w:szCs w:val="24"/>
        </w:rPr>
        <w:t xml:space="preserve">Natural products (NPs) have historically been one of the most productive sources of bioactive chemistry, with plant-derived secondary metabolites contributing to roughly half of all small-molecule pharmaceutical drugs approved in the past four decades. The discovery of new natural products typically begins with the extraction of crude plant material, fractionation by chromatography, and isolation of individual compounds, followed by structural elucidation through nuclear magnetic resonance (NMR) spectroscopy and mass spectrometry. In modern practice, the limiting step in this pipeline is rarely the discovery of bioactivity itself: it is the laborious process of structure elucidation followed by </w:t>
      </w:r>
      <w:r>
        <w:rPr>
          <w:rFonts w:ascii="Times New Roman" w:cs="Times New Roman" w:eastAsia="Times New Roman" w:hAnsi="Times New Roman"/>
          <w:i/>
          <w:iCs/>
          <w:sz w:val="24"/>
          <w:szCs w:val="24"/>
        </w:rPr>
        <w:t xml:space="preserve">dereplication</w:t>
      </w:r>
      <w:r>
        <w:rPr>
          <w:rFonts w:ascii="Times New Roman" w:cs="Times New Roman" w:eastAsia="Times New Roman" w:hAnsi="Times New Roman"/>
          <w:sz w:val="24"/>
          <w:szCs w:val="24"/>
        </w:rPr>
        <w:t xml:space="preserve"> — the determination of whether an isolated compound has been previously reported in the chemical literature. Estimates from large-scale natural product isolation campaigns suggest that between sixty and eighty percent of compounds isolated from typical plant extracts are eventually shown to be already known. This represents a substantial fraction of researcher time, laboratory expense, and reagent cost spent rediscovering already-documented chemistry rather than identifying genuinely novel structures with potential pharmaceutical or commercial value.</w:t>
      </w:r>
    </w:p>
    <w:p>
      <w:pPr>
        <w:spacing w:after="180" w:line="360"/>
        <w:ind w:firstLine="360"/>
        <w:jc w:val="both"/>
      </w:pPr>
      <w:r>
        <w:rPr>
          <w:rFonts w:ascii="Times New Roman" w:cs="Times New Roman" w:eastAsia="Times New Roman" w:hAnsi="Times New Roman"/>
          <w:sz w:val="24"/>
          <w:szCs w:val="24"/>
        </w:rPr>
        <w:t xml:space="preserve">The dereplication problem has driven the development of computational tools that span structural similarity search, mass-spectral library matching, and increasingly, machine learning classification. The standard cheminformatic approach to structural dereplication pairs Extended-Connectivity Fingerprints of radius 2 (ECFP4) — circular substructure descriptors that encode local atom environments as fixed-length bit vectors — with the Tanimoto coefficient as a similarity metric. Despite its simplicity, this combination has proven remarkably difficult to displace across decades of cheminformatics methodology. More recent work has explored supervised machine learning approaches, particularly tree-based ensemble methods such as random forests and gradient-boosted decision trees (XGBoost), which have become default supervised baselines across cheminformatics applications including bioactivity prediction, ADMET endpoint modelling, and structural classification. The implicit assumption in much of this work is that learned representations should outperform classical similarity-based approaches on dereplication-style tasks. This assumption is rarely tested rigorously, particularly under the scaffold-aware evaluation protocols required for honest assessment of generalisation to novel chemistry.</w:t>
      </w:r>
    </w:p>
    <w:p>
      <w:pPr>
        <w:spacing w:after="180" w:line="360"/>
        <w:ind w:firstLine="360"/>
        <w:jc w:val="both"/>
      </w:pPr>
      <w:r>
        <w:rPr>
          <w:rFonts w:ascii="Times New Roman" w:cs="Times New Roman" w:eastAsia="Times New Roman" w:hAnsi="Times New Roman"/>
          <w:sz w:val="24"/>
          <w:szCs w:val="24"/>
        </w:rPr>
        <w:t xml:space="preserve">This project addresses the dereplication problem in the specific context of African medicinal plant phytochemistry, with </w:t>
      </w:r>
      <w:r>
        <w:rPr>
          <w:rFonts w:ascii="Times New Roman" w:cs="Times New Roman" w:eastAsia="Times New Roman" w:hAnsi="Times New Roman"/>
          <w:i/>
          <w:iCs/>
          <w:sz w:val="24"/>
          <w:szCs w:val="24"/>
        </w:rPr>
        <w:t xml:space="preserve">Zanthoxylum chalybeum</w:t>
      </w:r>
      <w:r>
        <w:rPr>
          <w:rFonts w:ascii="Times New Roman" w:cs="Times New Roman" w:eastAsia="Times New Roman" w:hAnsi="Times New Roman"/>
          <w:sz w:val="24"/>
          <w:szCs w:val="24"/>
        </w:rPr>
        <w:t xml:space="preserve"> (Engl.), commonly known in Zimbabwe as Knobwood, as the focal species. Knobwood is a Rutaceae tree species widely distributed across southern Africa and used in traditional Zimbabwean medicine for the treatment of malaria, respiratory infections, oral conditions, and assorted inflammatory complaints. The genus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is chemically rich, producing a characteristic spectrum of quinoline and isoquinoline alkaloids, simple and prenylated coumarins, lignans, and aliphatic amides. Despite documented bioactivity and centuries of traditional medicinal use, </w:t>
      </w:r>
      <w:r>
        <w:rPr>
          <w:rFonts w:ascii="Times New Roman" w:cs="Times New Roman" w:eastAsia="Times New Roman" w:hAnsi="Times New Roman"/>
          <w:i/>
          <w:iCs/>
          <w:sz w:val="24"/>
          <w:szCs w:val="24"/>
        </w:rPr>
        <w:t xml:space="preserve">Z. chalybeum</w:t>
      </w:r>
      <w:r>
        <w:rPr>
          <w:rFonts w:ascii="Times New Roman" w:cs="Times New Roman" w:eastAsia="Times New Roman" w:hAnsi="Times New Roman"/>
          <w:sz w:val="24"/>
          <w:szCs w:val="24"/>
        </w:rPr>
        <w:t xml:space="preserve"> has received limited attention from modern computational phytochemistry. Existing reports of its chemistry are scattered across older taxonomic and ethnopharmacological literature, and no integrated, deployable dereplication resource specific to this species has, to the author's knowledge, been published. The present project sets out to construct such a resource and to embed it within a methodologically rigorous, interpretable computational architecture suitable for use by working chemists in resource-constrained African research settings.</w:t>
      </w:r>
    </w:p>
    <w:p>
      <w:pPr>
        <w:pStyle w:val="Heading2"/>
        <w:spacing w:after="180" w:before="360" w:line="360"/>
      </w:pPr>
      <w:r>
        <w:rPr>
          <w:rFonts w:ascii="Times New Roman" w:cs="Times New Roman" w:eastAsia="Times New Roman" w:hAnsi="Times New Roman"/>
          <w:b/>
          <w:bCs/>
          <w:sz w:val="28"/>
          <w:szCs w:val="28"/>
        </w:rPr>
        <w:t xml:space="preserve">1.2  Background</w:t>
      </w:r>
    </w:p>
    <w:p>
      <w:pPr>
        <w:spacing w:after="180" w:line="360"/>
        <w:ind w:firstLine="360"/>
        <w:jc w:val="both"/>
      </w:pPr>
      <w:r>
        <w:rPr>
          <w:rFonts w:ascii="Times New Roman" w:cs="Times New Roman" w:eastAsia="Times New Roman" w:hAnsi="Times New Roman"/>
          <w:sz w:val="24"/>
          <w:szCs w:val="24"/>
        </w:rPr>
        <w:t xml:space="preserve">African medicinal plants have provided a substantial fraction of the bioactive natural products documented in the global pharmacopoeia, yet they remain disproportionately under-represented in computational chemistry resources. The major public databases of natural products — including COCONUT, ChEMBL, the Natural Products Atlas, and PubChem — are systematically biased toward compounds reported in well-funded Western and East Asian research environments. Computational tools developed in those environments are calibrated, validated, and deployed against chemistries that under-represent African botanical diversity. As a consequence, a chemist isolating a metabolite from a Zimbabwean medicinal plant is often forced to rely on tools whose performance characteristics on that specific chemistry are unknown, and whose reference databases provide incomplete coverage of the chemical space within which the candidate structure must be evaluated.</w:t>
      </w:r>
    </w:p>
    <w:p>
      <w:pPr>
        <w:spacing w:after="180" w:line="360"/>
        <w:ind w:firstLine="360"/>
        <w:jc w:val="both"/>
      </w:pPr>
      <w:r>
        <w:rPr>
          <w:rFonts w:ascii="Times New Roman" w:cs="Times New Roman" w:eastAsia="Times New Roman" w:hAnsi="Times New Roman"/>
          <w:sz w:val="24"/>
          <w:szCs w:val="24"/>
        </w:rPr>
        <w:t xml:space="preserve">This gap has direct consequences for African phytochemistry research. Without accurate dereplication tools tailored to local chemistry, isolation campaigns risk three classes of error: re-isolating known compounds in the belief that they are novel, dismissing genuinely novel compounds as known on the basis of misleading similarity matches, and misallocating laboratory resources between candidates of differing novelty status. Each error class wastes researcher time and laboratory consumables in settings where both are typically scarce. A complementary problem arises from the broader cheminformatics literature: many published machine-learning approaches to dereplication and novelty detection report performance metrics on synthetic compound libraries or general bioactivity datasets, with only limited evaluation under scaffold-aware cross-validation against rigorous similarity baselines. Where such evaluations exist, the strength of the similarity baseline is often substantial and not consistently displaced by learned representations.</w:t>
      </w:r>
    </w:p>
    <w:p>
      <w:pPr>
        <w:spacing w:after="180" w:line="360"/>
        <w:ind w:firstLine="360"/>
        <w:jc w:val="both"/>
      </w:pPr>
      <w:r>
        <w:rPr>
          <w:rFonts w:ascii="Times New Roman" w:cs="Times New Roman" w:eastAsia="Times New Roman" w:hAnsi="Times New Roman"/>
          <w:sz w:val="24"/>
          <w:szCs w:val="24"/>
        </w:rPr>
        <w:t xml:space="preserve">The prior survey of artificial intelligence applications in African natural product research conducted by the present author and Ndlovu (2026, in press) documented the gap described above and identified the absence of open, deployable, interpretable dereplication tools tailored to African phytochemistry as a priority for the field. The present project responds to that priority. It is positioned at the intersection of three research streams: cheminformatics methodology, explainable artificial intelligence, and African medicinal plant chemistry. The project draws methodologically on the supervised learning and feature-attribution literature; substantively on the Rutaceae natural product chemistry literature, particularly the body of work on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phytochemistry; and practically on the cloud-computing infrastructure that allows deployment of cheminformatics tools as accessible web applications usable from any internet-connected device.</w:t>
      </w:r>
    </w:p>
    <w:p>
      <w:pPr>
        <w:spacing w:after="180" w:line="360"/>
        <w:ind w:firstLine="360"/>
        <w:jc w:val="both"/>
      </w:pPr>
      <w:r>
        <w:rPr>
          <w:rFonts w:ascii="Times New Roman" w:cs="Times New Roman" w:eastAsia="Times New Roman" w:hAnsi="Times New Roman"/>
          <w:sz w:val="24"/>
          <w:szCs w:val="24"/>
        </w:rPr>
        <w:t xml:space="preserve">The cloud-computing dimension of this project is essential rather than incidental. The four-layer inference pipeline developed here is computationally tractable on modest hardware once trained, but the training and benchmarking phases involve operations on multi-million-compound reference sets that are not feasible on typical local workstations. The deployed Streamlit web application allows the trained model to be hosted on cloud infrastructure and accessed by collaborators across institutional boundaries, removing the need for each user to install Python environments, manage chemical databases, or possess local computational resources. This deployment model aligns directly with the cloud-native software architecture principles taught in the Master of Technology in Cloud Computing programme, and demonstrates how cloud infrastructure can lower the practical barriers to computational research in resource-constrained settings.</w:t>
      </w:r>
    </w:p>
    <w:p>
      <w:pPr>
        <w:pStyle w:val="Heading2"/>
        <w:spacing w:after="180" w:before="360" w:line="360"/>
      </w:pPr>
      <w:r>
        <w:rPr>
          <w:rFonts w:ascii="Times New Roman" w:cs="Times New Roman" w:eastAsia="Times New Roman" w:hAnsi="Times New Roman"/>
          <w:b/>
          <w:bCs/>
          <w:sz w:val="28"/>
          <w:szCs w:val="28"/>
        </w:rPr>
        <w:t xml:space="preserve">1.3  Problem Statement</w:t>
      </w:r>
    </w:p>
    <w:p>
      <w:pPr>
        <w:spacing w:after="180" w:line="360"/>
        <w:ind w:firstLine="360"/>
        <w:jc w:val="both"/>
      </w:pPr>
      <w:r>
        <w:rPr>
          <w:rFonts w:ascii="Times New Roman" w:cs="Times New Roman" w:eastAsia="Times New Roman" w:hAnsi="Times New Roman"/>
          <w:sz w:val="24"/>
          <w:szCs w:val="24"/>
        </w:rPr>
        <w:t xml:space="preserve">The central problem addressed by this project is that natural product researchers working on </w:t>
      </w:r>
      <w:r>
        <w:rPr>
          <w:rFonts w:ascii="Times New Roman" w:cs="Times New Roman" w:eastAsia="Times New Roman" w:hAnsi="Times New Roman"/>
          <w:i/>
          <w:iCs/>
          <w:sz w:val="24"/>
          <w:szCs w:val="24"/>
        </w:rPr>
        <w:t xml:space="preserve">Zanthoxylum chalybeum</w:t>
      </w:r>
      <w:r>
        <w:rPr>
          <w:rFonts w:ascii="Times New Roman" w:cs="Times New Roman" w:eastAsia="Times New Roman" w:hAnsi="Times New Roman"/>
          <w:sz w:val="24"/>
          <w:szCs w:val="24"/>
        </w:rPr>
        <w:t xml:space="preserve"> — and on African medicinal plants more generally — currently lack a dereplication tool that simultaneously satisfies five practical requirements. First, the tool must be calibrated against a reference set that adequately represents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phytochemistry rather than against synthetic-heavy general-purpose chemical libraries. Second, it must distinguish reliably between compounds that are novel to </w:t>
      </w:r>
      <w:r>
        <w:rPr>
          <w:rFonts w:ascii="Times New Roman" w:cs="Times New Roman" w:eastAsia="Times New Roman" w:hAnsi="Times New Roman"/>
          <w:i/>
          <w:iCs/>
          <w:sz w:val="24"/>
          <w:szCs w:val="24"/>
        </w:rPr>
        <w:t xml:space="preserve">Z. chalybeum</w:t>
      </w:r>
      <w:r>
        <w:rPr>
          <w:rFonts w:ascii="Times New Roman" w:cs="Times New Roman" w:eastAsia="Times New Roman" w:hAnsi="Times New Roman"/>
          <w:sz w:val="24"/>
          <w:szCs w:val="24"/>
        </w:rPr>
        <w:t xml:space="preserve"> specifically, novel to the broader chemical literature, and previously documented elsewhere — three categorically distinct outcomes that have different implications for further isolation effort. Third, it must communicate its predictions with sufficient interpretability that working chemists can evaluate the chemical reasoning behind any verdict and override the tool when expert judgement disagrees. Fourth, it must be deployable as a cloud-hosted web application accessible to collaborators across institutions without requiring local installation or specialised computational expertise. Fifth, it must be released as open-source infrastructure that other African researchers can adapt for related plant species without requiring proprietary software licences.</w:t>
      </w:r>
    </w:p>
    <w:p>
      <w:pPr>
        <w:spacing w:after="180" w:line="360"/>
        <w:ind w:firstLine="360"/>
        <w:jc w:val="both"/>
      </w:pPr>
      <w:r>
        <w:rPr>
          <w:rFonts w:ascii="Times New Roman" w:cs="Times New Roman" w:eastAsia="Times New Roman" w:hAnsi="Times New Roman"/>
          <w:sz w:val="24"/>
          <w:szCs w:val="24"/>
        </w:rPr>
        <w:t xml:space="preserve">A subsidiary methodological problem motivates the architectural choices in the proposed solution. The standard cheminformatic framing of dereplication as a Known-versus-Novel binary classification task, with supervised machine learning trained to discriminate between the two classes, has not been systematically validated against threshold-optimised structural similarity baselines under scaffold-aware evaluation on natural product reference sets. If, as the present project's empirical results suggest, this standard framing produces classifiers whose performance is not competitive with similarity-based baselines, then the dominant methodological approach in the published natural product dereplication literature requires reconsideration, and an alternative architectural framing must be developed. The project addresses this subsidiary problem through a systematic benchmark experiment and through the design of a confidence-layer architecture that reframes the prediction task itself.</w:t>
      </w:r>
    </w:p>
    <w:p>
      <w:pPr>
        <w:pStyle w:val="Heading2"/>
        <w:spacing w:after="180" w:before="360" w:line="360"/>
      </w:pPr>
      <w:r>
        <w:rPr>
          <w:rFonts w:ascii="Times New Roman" w:cs="Times New Roman" w:eastAsia="Times New Roman" w:hAnsi="Times New Roman"/>
          <w:b/>
          <w:bCs/>
          <w:sz w:val="28"/>
          <w:szCs w:val="28"/>
        </w:rPr>
        <w:t xml:space="preserve">1.4  Justification</w:t>
      </w:r>
    </w:p>
    <w:p>
      <w:pPr>
        <w:spacing w:after="180" w:line="360"/>
        <w:ind w:firstLine="360"/>
        <w:jc w:val="both"/>
      </w:pPr>
      <w:r>
        <w:rPr>
          <w:rFonts w:ascii="Times New Roman" w:cs="Times New Roman" w:eastAsia="Times New Roman" w:hAnsi="Times New Roman"/>
          <w:sz w:val="24"/>
          <w:szCs w:val="24"/>
        </w:rPr>
        <w:t xml:space="preserve">The justification for this project rests on three converging considerations: scientific necessity, methodological contribution, and infrastructural value to African research.</w:t>
      </w:r>
    </w:p>
    <w:p>
      <w:pPr>
        <w:spacing w:after="180" w:line="360"/>
        <w:ind w:firstLine="360"/>
        <w:jc w:val="both"/>
      </w:pPr>
      <w:r>
        <w:rPr>
          <w:rFonts w:ascii="Times New Roman" w:cs="Times New Roman" w:eastAsia="Times New Roman" w:hAnsi="Times New Roman"/>
          <w:sz w:val="24"/>
          <w:szCs w:val="24"/>
        </w:rPr>
        <w:t xml:space="preserve">From a scientific standpoint, </w:t>
      </w:r>
      <w:r>
        <w:rPr>
          <w:rFonts w:ascii="Times New Roman" w:cs="Times New Roman" w:eastAsia="Times New Roman" w:hAnsi="Times New Roman"/>
          <w:i/>
          <w:iCs/>
          <w:sz w:val="24"/>
          <w:szCs w:val="24"/>
        </w:rPr>
        <w:t xml:space="preserve">Zanthoxylum chalybeum</w:t>
      </w:r>
      <w:r>
        <w:rPr>
          <w:rFonts w:ascii="Times New Roman" w:cs="Times New Roman" w:eastAsia="Times New Roman" w:hAnsi="Times New Roman"/>
          <w:sz w:val="24"/>
          <w:szCs w:val="24"/>
        </w:rPr>
        <w:t xml:space="preserve"> has documented ethnopharmacological importance in southern Africa and a chemically rich secondary metabolome whose computational characterisation has lagged behind comparable Rutaceae species in better-resourced research environments. Constructing a curated reference set and a deployable dereplication tool for this species fills a documented gap in the African phytochemistry literature and provides an immediate practical resource for ongoing isolation work conducted by the African Institute of Biomedical Science and Technology and other regional partners.</w:t>
      </w:r>
    </w:p>
    <w:p>
      <w:pPr>
        <w:spacing w:after="180" w:line="360"/>
        <w:ind w:firstLine="360"/>
        <w:jc w:val="both"/>
      </w:pPr>
      <w:r>
        <w:rPr>
          <w:rFonts w:ascii="Times New Roman" w:cs="Times New Roman" w:eastAsia="Times New Roman" w:hAnsi="Times New Roman"/>
          <w:sz w:val="24"/>
          <w:szCs w:val="24"/>
        </w:rPr>
        <w:t xml:space="preserve">From a methodological standpoint, the project's systematic benchmark of four classifier-based dereplication approaches against threshold-optimised Tanimoto similarity addresses a methodological assumption that is widespread but rarely tested rigorously in the published cheminformatics literature. The negative result of that benchmark — that off-the-shelf classification does not displace structural similarity for natural product dereplication on the present reference set — is itself a contribution to the field, and motivates the proposed confidence-layer architecture as a methodologically principled response. The reframing of XGBoost from a novelty classifier to a calibration model for similarity matches has not, to the author's knowledge, been previously applied to natural product dereplication, and represents a small but defensible methodological contribution.</w:t>
      </w:r>
    </w:p>
    <w:p>
      <w:pPr>
        <w:spacing w:after="180" w:line="360"/>
        <w:ind w:firstLine="360"/>
        <w:jc w:val="both"/>
      </w:pPr>
      <w:r>
        <w:rPr>
          <w:rFonts w:ascii="Times New Roman" w:cs="Times New Roman" w:eastAsia="Times New Roman" w:hAnsi="Times New Roman"/>
          <w:sz w:val="24"/>
          <w:szCs w:val="24"/>
        </w:rPr>
        <w:t xml:space="preserve">From an infrastructural standpoint, the project's commitment to open-source release under the MIT licence, with permanent archival on Zenodo and active hosting via cloud-deployed Streamlit, ensures that the tool produced by the project remains accessible to other African researchers indefinitely. This addresses a practical sustainability problem that recurs across academic computational tools: the work product of a single thesis project is often lost when the student graduates and the project repository falls into disrepair. The infrastructural choices made here — public version control, citable archive, deployment configuration captured in code — are intended to give the tool a useful lifespan beyond the duration of the present degree.</w:t>
      </w:r>
    </w:p>
    <w:p>
      <w:pPr>
        <w:pStyle w:val="Heading2"/>
        <w:spacing w:after="180" w:before="360" w:line="360"/>
      </w:pPr>
      <w:r>
        <w:rPr>
          <w:rFonts w:ascii="Times New Roman" w:cs="Times New Roman" w:eastAsia="Times New Roman" w:hAnsi="Times New Roman"/>
          <w:b/>
          <w:bCs/>
          <w:sz w:val="28"/>
          <w:szCs w:val="28"/>
        </w:rPr>
        <w:t xml:space="preserve">1.5  Objectives</w:t>
      </w:r>
    </w:p>
    <w:p>
      <w:pPr>
        <w:pStyle w:val="Heading3"/>
        <w:spacing w:after="120" w:before="240" w:line="360"/>
      </w:pPr>
      <w:r>
        <w:rPr>
          <w:rFonts w:ascii="Times New Roman" w:cs="Times New Roman" w:eastAsia="Times New Roman" w:hAnsi="Times New Roman"/>
          <w:b/>
          <w:bCs/>
          <w:i/>
          <w:iCs/>
          <w:sz w:val="26"/>
          <w:szCs w:val="26"/>
        </w:rPr>
        <w:t xml:space="preserve">1.5.1  Main Objective</w:t>
      </w:r>
    </w:p>
    <w:p>
      <w:pPr>
        <w:spacing w:after="180" w:line="360"/>
        <w:ind w:firstLine="360"/>
        <w:jc w:val="both"/>
      </w:pPr>
      <w:r>
        <w:rPr>
          <w:rFonts w:ascii="Times New Roman" w:cs="Times New Roman" w:eastAsia="Times New Roman" w:hAnsi="Times New Roman"/>
          <w:sz w:val="24"/>
          <w:szCs w:val="24"/>
        </w:rPr>
        <w:t xml:space="preserve">To classify candidate </w:t>
      </w:r>
      <w:r>
        <w:rPr>
          <w:rFonts w:ascii="Times New Roman" w:cs="Times New Roman" w:eastAsia="Times New Roman" w:hAnsi="Times New Roman"/>
          <w:i/>
          <w:iCs/>
          <w:sz w:val="24"/>
          <w:szCs w:val="24"/>
        </w:rPr>
        <w:t xml:space="preserve">Zanthoxylum chalybeum</w:t>
      </w:r>
      <w:r>
        <w:rPr>
          <w:rFonts w:ascii="Times New Roman" w:cs="Times New Roman" w:eastAsia="Times New Roman" w:hAnsi="Times New Roman"/>
          <w:sz w:val="24"/>
          <w:szCs w:val="24"/>
        </w:rPr>
        <w:t xml:space="preserve"> compounds as KNOWN, KNOWN_VIA_PUBCHEM, POSSIBLY_NOVEL, or NOVEL_CONFIRMED, with chemically interpretable explanations for each classification.</w:t>
      </w:r>
    </w:p>
    <w:p>
      <w:pPr>
        <w:pStyle w:val="Heading3"/>
        <w:spacing w:after="120" w:before="240" w:line="360"/>
      </w:pPr>
      <w:r>
        <w:rPr>
          <w:rFonts w:ascii="Times New Roman" w:cs="Times New Roman" w:eastAsia="Times New Roman" w:hAnsi="Times New Roman"/>
          <w:b/>
          <w:bCs/>
          <w:i/>
          <w:iCs/>
          <w:sz w:val="26"/>
          <w:szCs w:val="26"/>
        </w:rPr>
        <w:t xml:space="preserve">1.5.2  Specific Objectives</w:t>
      </w:r>
    </w:p>
    <w:p>
      <w:pPr>
        <w:pStyle w:val="ListParagraph"/>
        <w:numPr>
          <w:ilvl w:val="0"/>
          <w:numId w:val="2"/>
        </w:numPr>
        <w:spacing w:after="60" w:line="360"/>
      </w:pPr>
      <w:r>
        <w:rPr>
          <w:rFonts w:ascii="Times New Roman" w:cs="Times New Roman" w:eastAsia="Times New Roman" w:hAnsi="Times New Roman"/>
          <w:sz w:val="24"/>
          <w:szCs w:val="24"/>
        </w:rPr>
        <w:t xml:space="preserve">To classify Tanimoto similarity matches as true structural relationships or chance similarities, achieving Matthews Correlation Coefficient ≥ 0.95 and F1 ≥ 0.95 on a scaffold-aware held-out test partition.</w:t>
      </w:r>
    </w:p>
    <w:p>
      <w:pPr>
        <w:pStyle w:val="ListParagraph"/>
        <w:numPr>
          <w:ilvl w:val="0"/>
          <w:numId w:val="2"/>
        </w:numPr>
        <w:spacing w:after="60" w:line="360"/>
      </w:pPr>
      <w:r>
        <w:rPr>
          <w:rFonts w:ascii="Times New Roman" w:cs="Times New Roman" w:eastAsia="Times New Roman" w:hAnsi="Times New Roman"/>
          <w:sz w:val="24"/>
          <w:szCs w:val="24"/>
        </w:rPr>
        <w:t xml:space="preserve">To explain each classification through TreeSHAP attribution, ranking the top contributing features (Tanimoto similarity, physicochemical descriptor differences, and substructural-pattern bits) for chemist interpretation.</w:t>
      </w:r>
    </w:p>
    <w:p>
      <w:pPr>
        <w:pStyle w:val="ListParagraph"/>
        <w:numPr>
          <w:ilvl w:val="0"/>
          <w:numId w:val="2"/>
        </w:numPr>
        <w:spacing w:after="60" w:line="360"/>
      </w:pPr>
      <w:r>
        <w:rPr>
          <w:rFonts w:ascii="Times New Roman" w:cs="Times New Roman" w:eastAsia="Times New Roman" w:hAnsi="Times New Roman"/>
          <w:sz w:val="24"/>
          <w:szCs w:val="24"/>
        </w:rPr>
        <w:t xml:space="preserve">To retrieve real-time PubChem cross-reference and ChEMBL bioactivity hypotheses for novel-flagged compounds, distinguishing within-genus novelty from global novelty.</w:t>
      </w:r>
    </w:p>
    <w:p>
      <w:pPr>
        <w:pStyle w:val="Heading2"/>
        <w:spacing w:after="180" w:before="360" w:line="360"/>
      </w:pPr>
      <w:r>
        <w:rPr>
          <w:rFonts w:ascii="Times New Roman" w:cs="Times New Roman" w:eastAsia="Times New Roman" w:hAnsi="Times New Roman"/>
          <w:b/>
          <w:bCs/>
          <w:sz w:val="28"/>
          <w:szCs w:val="28"/>
        </w:rPr>
        <w:t xml:space="preserve">1.6  Research Questions</w:t>
      </w:r>
    </w:p>
    <w:p>
      <w:pPr>
        <w:pStyle w:val="ListParagraph"/>
        <w:numPr>
          <w:ilvl w:val="0"/>
          <w:numId w:val="2"/>
        </w:numPr>
        <w:spacing w:after="60" w:line="360"/>
      </w:pPr>
      <w:r>
        <w:rPr>
          <w:rFonts w:ascii="Times New Roman" w:cs="Times New Roman" w:eastAsia="Times New Roman" w:hAnsi="Times New Roman"/>
          <w:sz w:val="24"/>
          <w:szCs w:val="24"/>
        </w:rPr>
        <w:t xml:space="preserve">How accurately can a supervised model classify Tanimoto similarity matches as true structural relationships versus chance similarities, evaluated under scaffold-aware out-of-distribution conditions on a Zanthoxylum reference set?</w:t>
      </w:r>
    </w:p>
    <w:p>
      <w:pPr>
        <w:pStyle w:val="ListParagraph"/>
        <w:numPr>
          <w:ilvl w:val="0"/>
          <w:numId w:val="2"/>
        </w:numPr>
        <w:spacing w:after="60" w:line="360"/>
      </w:pPr>
      <w:r>
        <w:rPr>
          <w:rFonts w:ascii="Times New Roman" w:cs="Times New Roman" w:eastAsia="Times New Roman" w:hAnsi="Times New Roman"/>
          <w:sz w:val="24"/>
          <w:szCs w:val="24"/>
        </w:rPr>
        <w:t xml:space="preserve">Do the resulting classifications admit chemically meaningful per-prediction explanations through TreeSHAP attribution, and which feature categories (similarity, physicochemical descriptors, substructural bits) dominate?</w:t>
      </w:r>
    </w:p>
    <w:p>
      <w:pPr>
        <w:pStyle w:val="ListParagraph"/>
        <w:numPr>
          <w:ilvl w:val="0"/>
          <w:numId w:val="2"/>
        </w:numPr>
        <w:spacing w:after="60" w:line="360"/>
      </w:pPr>
      <w:r>
        <w:rPr>
          <w:rFonts w:ascii="Times New Roman" w:cs="Times New Roman" w:eastAsia="Times New Roman" w:hAnsi="Times New Roman"/>
          <w:sz w:val="24"/>
          <w:szCs w:val="24"/>
        </w:rPr>
        <w:t xml:space="preserve">Can real-time external-service retrieval (PubChem, ChEMBL) extend the pipeline to distinguish within-genus novelty from global novelty on locally isolated Z. chalybeum case-study compounds?</w:t>
      </w:r>
    </w:p>
    <w:p>
      <w:pPr>
        <w:pStyle w:val="Heading2"/>
        <w:spacing w:after="180" w:before="360" w:line="360"/>
      </w:pPr>
      <w:r>
        <w:rPr>
          <w:rFonts w:ascii="Times New Roman" w:cs="Times New Roman" w:eastAsia="Times New Roman" w:hAnsi="Times New Roman"/>
          <w:b/>
          <w:bCs/>
          <w:sz w:val="28"/>
          <w:szCs w:val="28"/>
        </w:rPr>
        <w:t xml:space="preserve">1.7  Scope and Significance of the Project</w:t>
      </w:r>
    </w:p>
    <w:p>
      <w:pPr>
        <w:pStyle w:val="Heading3"/>
        <w:spacing w:after="120" w:before="240" w:line="360"/>
      </w:pPr>
      <w:r>
        <w:rPr>
          <w:rFonts w:ascii="Times New Roman" w:cs="Times New Roman" w:eastAsia="Times New Roman" w:hAnsi="Times New Roman"/>
          <w:b/>
          <w:bCs/>
          <w:i/>
          <w:iCs/>
          <w:sz w:val="26"/>
          <w:szCs w:val="26"/>
        </w:rPr>
        <w:t xml:space="preserve">1.7.1  Scope</w:t>
      </w:r>
    </w:p>
    <w:p>
      <w:pPr>
        <w:spacing w:after="180" w:line="360"/>
        <w:ind w:firstLine="360"/>
        <w:jc w:val="both"/>
      </w:pPr>
      <w:r>
        <w:rPr>
          <w:rFonts w:ascii="Times New Roman" w:cs="Times New Roman" w:eastAsia="Times New Roman" w:hAnsi="Times New Roman"/>
          <w:sz w:val="24"/>
          <w:szCs w:val="24"/>
        </w:rPr>
        <w:t xml:space="preserve">The scope of this project is bounded as follows. The reference set construction covers the genus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specifically, with 2,294 compounds carrying organism annotations matching this genus extracted from the broader integrated reference set of 3,511,178 standardised compounds. The benchmark experiment is conducted on six structural classes drawn from this reference: quinoline alkaloids, isoquinoline alkaloids, simple coumarins, flavonols, furofuranoid lignans, and gallotannins. The confidence-layer model is trained on pair-wise structural relationships within the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reference and is therefore scope-bounded to the chemistry represented in that reference. The deployed pipeline is intended for use on candidate structures supplied as canonical SMILES strings; it does not, in its present form, accept mass-spectral data as input.</w:t>
      </w:r>
    </w:p>
    <w:p>
      <w:pPr>
        <w:spacing w:after="180" w:line="360"/>
        <w:ind w:firstLine="360"/>
        <w:jc w:val="both"/>
      </w:pPr>
      <w:r>
        <w:rPr>
          <w:rFonts w:ascii="Times New Roman" w:cs="Times New Roman" w:eastAsia="Times New Roman" w:hAnsi="Times New Roman"/>
          <w:sz w:val="24"/>
          <w:szCs w:val="24"/>
        </w:rPr>
        <w:t xml:space="preserve">The case study presented in Chapter 4 covers five compounds isolated from local </w:t>
      </w:r>
      <w:r>
        <w:rPr>
          <w:rFonts w:ascii="Times New Roman" w:cs="Times New Roman" w:eastAsia="Times New Roman" w:hAnsi="Times New Roman"/>
          <w:i/>
          <w:iCs/>
          <w:sz w:val="24"/>
          <w:szCs w:val="24"/>
        </w:rPr>
        <w:t xml:space="preserve">Z. chalybeum</w:t>
      </w:r>
      <w:r>
        <w:rPr>
          <w:rFonts w:ascii="Times New Roman" w:cs="Times New Roman" w:eastAsia="Times New Roman" w:hAnsi="Times New Roman"/>
          <w:sz w:val="24"/>
          <w:szCs w:val="24"/>
        </w:rPr>
        <w:t xml:space="preserve"> plant material, with structures proposed by the isolating team based on existing characterisation work. Comprehensive structural validation by NMR and high-resolution mass spectrometry remains in progress at the time of submission and falls outside the scope of the present computational study. The case study is therefore presented as a qualitative demonstration of pipeline behaviour rather than as a quantitative benchmark of dereplication accuracy against ground-truth identity labels.</w:t>
      </w:r>
    </w:p>
    <w:p>
      <w:pPr>
        <w:spacing w:after="180" w:line="360"/>
        <w:ind w:firstLine="360"/>
        <w:jc w:val="both"/>
      </w:pPr>
      <w:r>
        <w:rPr>
          <w:rFonts w:ascii="Times New Roman" w:cs="Times New Roman" w:eastAsia="Times New Roman" w:hAnsi="Times New Roman"/>
          <w:sz w:val="24"/>
          <w:szCs w:val="24"/>
        </w:rPr>
        <w:t xml:space="preserve">The cloud deployment scope covers the architectural design and implementation of a Streamlit web application that wraps the trained inference pipeline. Production-grade scaling to large concurrent user loads, formal load testing, and commercial-grade availability guarantees fall outside the scope of the project, which targets a research-grade deployment suitable for use by collaborating researchers and small numbers of concurrent users.</w:t>
      </w:r>
    </w:p>
    <w:p>
      <w:pPr>
        <w:pStyle w:val="Heading3"/>
        <w:spacing w:after="120" w:before="240" w:line="360"/>
      </w:pPr>
      <w:r>
        <w:rPr>
          <w:rFonts w:ascii="Times New Roman" w:cs="Times New Roman" w:eastAsia="Times New Roman" w:hAnsi="Times New Roman"/>
          <w:b/>
          <w:bCs/>
          <w:i/>
          <w:iCs/>
          <w:sz w:val="26"/>
          <w:szCs w:val="26"/>
        </w:rPr>
        <w:t xml:space="preserve">1.7.2  Significance</w:t>
      </w:r>
    </w:p>
    <w:p>
      <w:pPr>
        <w:spacing w:after="180" w:line="360"/>
        <w:ind w:firstLine="360"/>
        <w:jc w:val="both"/>
      </w:pPr>
      <w:r>
        <w:rPr>
          <w:rFonts w:ascii="Times New Roman" w:cs="Times New Roman" w:eastAsia="Times New Roman" w:hAnsi="Times New Roman"/>
          <w:sz w:val="24"/>
          <w:szCs w:val="24"/>
        </w:rPr>
        <w:t xml:space="preserve">The project is significant for three principal stakeholder groups. For natural product chemists working on Zimbabwean and broader southern African medicinal plants, the project provides a deployable, interpretable dereplication resource that did not previously exist. Researchers can submit candidate structures and receive verdicts that distinguish among four chemically meaningful outcome categories, with per-prediction explanations grounded in physicochemical descriptors that are familiar from standard cheminformatic intuition. For the cheminformatics methodology community, the project's systematic benchmark and confidence-layer reframing contribute to an under-developed empirical literature on the relative merits of similarity-based and classifier-based approaches to dereplication. For the African research infrastructure community, the project demonstrates a model for sustainable open-source release of academic computational tools that includes permanent archival, public version control, and cloud-deployed access — a model that other student and faculty projects could adopt to extend the useful lifespan of their own work.</w:t>
      </w:r>
    </w:p>
    <w:p>
      <w:pPr>
        <w:pStyle w:val="Heading2"/>
        <w:spacing w:after="180" w:before="360" w:line="360"/>
      </w:pPr>
      <w:r>
        <w:rPr>
          <w:rFonts w:ascii="Times New Roman" w:cs="Times New Roman" w:eastAsia="Times New Roman" w:hAnsi="Times New Roman"/>
          <w:b/>
          <w:bCs/>
          <w:sz w:val="28"/>
          <w:szCs w:val="28"/>
        </w:rPr>
        <w:t xml:space="preserve">1.8  Definition of Key Terms</w:t>
      </w:r>
    </w:p>
    <w:p>
      <w:pPr>
        <w:pStyle w:val="ListParagraph"/>
        <w:numPr>
          <w:ilvl w:val="0"/>
          <w:numId w:val="3"/>
        </w:numPr>
        <w:spacing w:after="60" w:line="360"/>
      </w:pPr>
      <w:r>
        <w:rPr>
          <w:rFonts w:ascii="Times New Roman" w:cs="Times New Roman" w:eastAsia="Times New Roman" w:hAnsi="Times New Roman"/>
          <w:b/>
          <w:bCs/>
          <w:sz w:val="24"/>
          <w:szCs w:val="24"/>
        </w:rPr>
        <w:t xml:space="preserve">Dereplication: </w:t>
      </w:r>
      <w:r>
        <w:rPr>
          <w:rFonts w:ascii="Times New Roman" w:cs="Times New Roman" w:eastAsia="Times New Roman" w:hAnsi="Times New Roman"/>
          <w:sz w:val="24"/>
          <w:szCs w:val="24"/>
        </w:rPr>
        <w:t xml:space="preserve">The process of determining, during natural product isolation work, whether a candidate compound has been previously reported in the chemical literature. Effective dereplication prevents the wasteful re-isolation of already-documented compounds.</w:t>
      </w:r>
    </w:p>
    <w:p>
      <w:pPr>
        <w:pStyle w:val="ListParagraph"/>
        <w:numPr>
          <w:ilvl w:val="0"/>
          <w:numId w:val="3"/>
        </w:numPr>
        <w:spacing w:after="60" w:line="360"/>
      </w:pPr>
      <w:r>
        <w:rPr>
          <w:rFonts w:ascii="Times New Roman" w:cs="Times New Roman" w:eastAsia="Times New Roman" w:hAnsi="Times New Roman"/>
          <w:b/>
          <w:bCs/>
          <w:sz w:val="24"/>
          <w:szCs w:val="24"/>
        </w:rPr>
        <w:t xml:space="preserve">ECFP4 (Extended-Connectivity Fingerprint of radius 2): </w:t>
      </w:r>
      <w:r>
        <w:rPr>
          <w:rFonts w:ascii="Times New Roman" w:cs="Times New Roman" w:eastAsia="Times New Roman" w:hAnsi="Times New Roman"/>
          <w:sz w:val="24"/>
          <w:szCs w:val="24"/>
        </w:rPr>
        <w:t xml:space="preserve">A circular substructure descriptor that encodes the local atomic environment around each heavy atom in a molecule, hashed into a fixed-length bit vector (typically 2,048 bits). The standard substructural fingerprint in cheminformatics.</w:t>
      </w:r>
    </w:p>
    <w:p>
      <w:pPr>
        <w:pStyle w:val="ListParagraph"/>
        <w:numPr>
          <w:ilvl w:val="0"/>
          <w:numId w:val="3"/>
        </w:numPr>
        <w:spacing w:after="60" w:line="360"/>
      </w:pPr>
      <w:r>
        <w:rPr>
          <w:rFonts w:ascii="Times New Roman" w:cs="Times New Roman" w:eastAsia="Times New Roman" w:hAnsi="Times New Roman"/>
          <w:b/>
          <w:bCs/>
          <w:sz w:val="24"/>
          <w:szCs w:val="24"/>
        </w:rPr>
        <w:t xml:space="preserve">Tanimoto coefficient: </w:t>
      </w:r>
      <w:r>
        <w:rPr>
          <w:rFonts w:ascii="Times New Roman" w:cs="Times New Roman" w:eastAsia="Times New Roman" w:hAnsi="Times New Roman"/>
          <w:sz w:val="24"/>
          <w:szCs w:val="24"/>
        </w:rPr>
        <w:t xml:space="preserve">A similarity metric for binary fingerprint vectors, defined as the number of bits set in common between two fingerprints divided by the number of bits set in either. Bounded between 0 (no overlap) and 1 (identical fingerprints).</w:t>
      </w:r>
    </w:p>
    <w:p>
      <w:pPr>
        <w:pStyle w:val="ListParagraph"/>
        <w:numPr>
          <w:ilvl w:val="0"/>
          <w:numId w:val="3"/>
        </w:numPr>
        <w:spacing w:after="60" w:line="360"/>
      </w:pPr>
      <w:r>
        <w:rPr>
          <w:rFonts w:ascii="Times New Roman" w:cs="Times New Roman" w:eastAsia="Times New Roman" w:hAnsi="Times New Roman"/>
          <w:b/>
          <w:bCs/>
          <w:sz w:val="24"/>
          <w:szCs w:val="24"/>
        </w:rPr>
        <w:t xml:space="preserve">XGBoost (Extreme Gradient Boosting): </w:t>
      </w:r>
      <w:r>
        <w:rPr>
          <w:rFonts w:ascii="Times New Roman" w:cs="Times New Roman" w:eastAsia="Times New Roman" w:hAnsi="Times New Roman"/>
          <w:sz w:val="24"/>
          <w:szCs w:val="24"/>
        </w:rPr>
        <w:t xml:space="preserve">A scalable implementation of gradient-boosted decision tree ensembles, widely used as a default supervised-learning baseline in cheminformatics for tabular and fingerprint feature inputs.</w:t>
      </w:r>
    </w:p>
    <w:p>
      <w:pPr>
        <w:pStyle w:val="ListParagraph"/>
        <w:numPr>
          <w:ilvl w:val="0"/>
          <w:numId w:val="3"/>
        </w:numPr>
        <w:spacing w:after="60" w:line="360"/>
      </w:pPr>
      <w:r>
        <w:rPr>
          <w:rFonts w:ascii="Times New Roman" w:cs="Times New Roman" w:eastAsia="Times New Roman" w:hAnsi="Times New Roman"/>
          <w:b/>
          <w:bCs/>
          <w:sz w:val="24"/>
          <w:szCs w:val="24"/>
        </w:rPr>
        <w:t xml:space="preserve">SHAP (Shapley Additive exPlanations): </w:t>
      </w:r>
      <w:r>
        <w:rPr>
          <w:rFonts w:ascii="Times New Roman" w:cs="Times New Roman" w:eastAsia="Times New Roman" w:hAnsi="Times New Roman"/>
          <w:sz w:val="24"/>
          <w:szCs w:val="24"/>
        </w:rPr>
        <w:t xml:space="preserve">A unified framework for attributing the output of a machine-learning model to its input features, based on cooperative game theory. The TreeSHAP variant computes exact Shapley values efficiently for tree-based models such as XGBoost.</w:t>
      </w:r>
    </w:p>
    <w:p>
      <w:pPr>
        <w:pStyle w:val="ListParagraph"/>
        <w:numPr>
          <w:ilvl w:val="0"/>
          <w:numId w:val="3"/>
        </w:numPr>
        <w:spacing w:after="60" w:line="360"/>
      </w:pPr>
      <w:r>
        <w:rPr>
          <w:rFonts w:ascii="Times New Roman" w:cs="Times New Roman" w:eastAsia="Times New Roman" w:hAnsi="Times New Roman"/>
          <w:b/>
          <w:bCs/>
          <w:sz w:val="24"/>
          <w:szCs w:val="24"/>
        </w:rPr>
        <w:t xml:space="preserve">Bemis–Murcko scaffold: </w:t>
      </w:r>
      <w:r>
        <w:rPr>
          <w:rFonts w:ascii="Times New Roman" w:cs="Times New Roman" w:eastAsia="Times New Roman" w:hAnsi="Times New Roman"/>
          <w:sz w:val="24"/>
          <w:szCs w:val="24"/>
        </w:rPr>
        <w:t xml:space="preserve">The core ring system of a molecule obtained by removing all peripheral substituents and side chains while preserving rings, ring systems, and the linkers between them. Used in cheminformatics for scaffold-based clustering and scaffold-aware cross-validation.</w:t>
      </w:r>
    </w:p>
    <w:p>
      <w:pPr>
        <w:pStyle w:val="ListParagraph"/>
        <w:numPr>
          <w:ilvl w:val="0"/>
          <w:numId w:val="3"/>
        </w:numPr>
        <w:spacing w:after="60" w:line="360"/>
      </w:pPr>
      <w:r>
        <w:rPr>
          <w:rFonts w:ascii="Times New Roman" w:cs="Times New Roman" w:eastAsia="Times New Roman" w:hAnsi="Times New Roman"/>
          <w:b/>
          <w:bCs/>
          <w:sz w:val="24"/>
          <w:szCs w:val="24"/>
        </w:rPr>
        <w:t xml:space="preserve">Applicability domain: </w:t>
      </w:r>
      <w:r>
        <w:rPr>
          <w:rFonts w:ascii="Times New Roman" w:cs="Times New Roman" w:eastAsia="Times New Roman" w:hAnsi="Times New Roman"/>
          <w:sz w:val="24"/>
          <w:szCs w:val="24"/>
        </w:rPr>
        <w:t xml:space="preserve">The region of chemical space within which a model's predictions are considered reliable. Queries falling outside the applicability domain receive flagged or qualified verdicts indicating that model output should be interpreted with appropriate caution.</w:t>
      </w:r>
    </w:p>
    <w:p>
      <w:pPr>
        <w:pStyle w:val="ListParagraph"/>
        <w:numPr>
          <w:ilvl w:val="0"/>
          <w:numId w:val="3"/>
        </w:numPr>
        <w:spacing w:after="60" w:line="360"/>
      </w:pPr>
      <w:r>
        <w:rPr>
          <w:rFonts w:ascii="Times New Roman" w:cs="Times New Roman" w:eastAsia="Times New Roman" w:hAnsi="Times New Roman"/>
          <w:b/>
          <w:bCs/>
          <w:sz w:val="24"/>
          <w:szCs w:val="24"/>
        </w:rPr>
        <w:t xml:space="preserve">Confidence-layer architecture: </w:t>
      </w:r>
      <w:r>
        <w:rPr>
          <w:rFonts w:ascii="Times New Roman" w:cs="Times New Roman" w:eastAsia="Times New Roman" w:hAnsi="Times New Roman"/>
          <w:sz w:val="24"/>
          <w:szCs w:val="24"/>
        </w:rPr>
        <w:t xml:space="preserve">The architectural reframing proposed in this project, in which a machine-learning model is trained not to classify novelty directly but to predict the trustworthiness of structural similarity matches produced by an upstream similarity-search layer.</w:t>
      </w:r>
    </w:p>
    <w:p>
      <w:pPr>
        <w:pStyle w:val="ListParagraph"/>
        <w:numPr>
          <w:ilvl w:val="0"/>
          <w:numId w:val="3"/>
        </w:numPr>
        <w:spacing w:after="60" w:line="360"/>
      </w:pPr>
      <w:r>
        <w:rPr>
          <w:rFonts w:ascii="Times New Roman" w:cs="Times New Roman" w:eastAsia="Times New Roman" w:hAnsi="Times New Roman"/>
          <w:b/>
          <w:bCs/>
          <w:sz w:val="24"/>
          <w:szCs w:val="24"/>
        </w:rPr>
        <w:t xml:space="preserve">MCC (Matthews Correlation Coefficient): </w:t>
      </w:r>
      <w:r>
        <w:rPr>
          <w:rFonts w:ascii="Times New Roman" w:cs="Times New Roman" w:eastAsia="Times New Roman" w:hAnsi="Times New Roman"/>
          <w:sz w:val="24"/>
          <w:szCs w:val="24"/>
        </w:rPr>
        <w:t xml:space="preserve">A balanced classification metric appropriate for imbalanced binary prediction tasks, ranging from -1 (perfect inverse prediction) through 0 (random) to +1 (perfect prediction). Preferred over accuracy for evaluating dereplication-style problems with skewed class distributions.</w:t>
      </w:r>
    </w:p>
    <w:p>
      <w:pPr>
        <w:pStyle w:val="ListParagraph"/>
        <w:numPr>
          <w:ilvl w:val="0"/>
          <w:numId w:val="3"/>
        </w:numPr>
        <w:spacing w:after="60" w:line="360"/>
      </w:pPr>
      <w:r>
        <w:rPr>
          <w:rFonts w:ascii="Times New Roman" w:cs="Times New Roman" w:eastAsia="Times New Roman" w:hAnsi="Times New Roman"/>
          <w:b/>
          <w:bCs/>
          <w:sz w:val="24"/>
          <w:szCs w:val="24"/>
        </w:rPr>
        <w:t xml:space="preserve">Streamlit: </w:t>
      </w:r>
      <w:r>
        <w:rPr>
          <w:rFonts w:ascii="Times New Roman" w:cs="Times New Roman" w:eastAsia="Times New Roman" w:hAnsi="Times New Roman"/>
          <w:sz w:val="24"/>
          <w:szCs w:val="24"/>
        </w:rPr>
        <w:t xml:space="preserve">An open-source Python framework for rapidly developing interactive web applications around data science and machine learning workflows, used in this project as the deployment substrate for the inference pipeline.</w:t>
      </w:r>
    </w:p>
    <w:p>
      <w:pPr>
        <w:pStyle w:val="Heading2"/>
        <w:spacing w:after="180" w:before="360" w:line="360"/>
      </w:pPr>
      <w:r>
        <w:rPr>
          <w:rFonts w:ascii="Times New Roman" w:cs="Times New Roman" w:eastAsia="Times New Roman" w:hAnsi="Times New Roman"/>
          <w:b/>
          <w:bCs/>
          <w:sz w:val="28"/>
          <w:szCs w:val="28"/>
        </w:rPr>
        <w:t xml:space="preserve">1.9  Conclusion</w:t>
      </w:r>
    </w:p>
    <w:p>
      <w:pPr>
        <w:spacing w:after="180" w:line="360"/>
        <w:ind w:firstLine="360"/>
        <w:jc w:val="both"/>
      </w:pPr>
      <w:r>
        <w:rPr>
          <w:rFonts w:ascii="Times New Roman" w:cs="Times New Roman" w:eastAsia="Times New Roman" w:hAnsi="Times New Roman"/>
          <w:sz w:val="24"/>
          <w:szCs w:val="24"/>
        </w:rPr>
        <w:t xml:space="preserve">This chapter has introduced the dereplication problem in natural product chemistry, situated it in the specific context of </w:t>
      </w:r>
      <w:r>
        <w:rPr>
          <w:rFonts w:ascii="Times New Roman" w:cs="Times New Roman" w:eastAsia="Times New Roman" w:hAnsi="Times New Roman"/>
          <w:i/>
          <w:iCs/>
          <w:sz w:val="24"/>
          <w:szCs w:val="24"/>
        </w:rPr>
        <w:t xml:space="preserve">Zanthoxylum chalybeum</w:t>
      </w:r>
      <w:r>
        <w:rPr>
          <w:rFonts w:ascii="Times New Roman" w:cs="Times New Roman" w:eastAsia="Times New Roman" w:hAnsi="Times New Roman"/>
          <w:sz w:val="24"/>
          <w:szCs w:val="24"/>
        </w:rPr>
        <w:t xml:space="preserve"> phytochemistry and African medicinal plant research, and articulated the project's central problem statement and justification. Three SMART specific objectives have been defined under a single main objective: to classify Tanimoto similarity matches as true or chance, to explain those classifications through TreeSHAP attribution, and to retrieve real-time external-service evidence for distinguishing within-genus from global novelty. Three corresponding research questions have been formulated to guide the experimental work reported in subsequent chapters. The scope of the project has been bounded explicitly to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phytochemistry, structure-based dereplication on canonical SMILES inputs, and research-grade cloud deployment, and the significance of the work has been articulated for three principal stakeholder groups: natural product chemists, the cheminformatics methodology community, and the African research infrastructure community. Chapter 2 reviews the relevant literature on cheminformatic dereplication, machine learning in chemistry, explainable artificial intelligence, and the existing reported chemistry of the genus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w:t>
      </w:r>
    </w:p>
    <w:p>
      <w:pPr>
        <w:pStyle w:val="Heading1"/>
        <w:pageBreakBefore/>
        <w:spacing w:after="360" w:before="480" w:line="360"/>
        <w:jc w:val="left"/>
      </w:pPr>
      <w:r>
        <w:rPr>
          <w:rFonts w:ascii="Times New Roman" w:cs="Times New Roman" w:eastAsia="Times New Roman" w:hAnsi="Times New Roman"/>
          <w:b/>
          <w:bCs/>
          <w:sz w:val="36"/>
          <w:szCs w:val="36"/>
        </w:rPr>
        <w:t xml:space="preserve">CHAPTER 2: LITERATURE REVIEW</w:t>
      </w:r>
    </w:p>
    <w:p>
      <w:pPr>
        <w:pStyle w:val="Heading2"/>
        <w:spacing w:after="180" w:before="360" w:line="360"/>
      </w:pPr>
      <w:r>
        <w:rPr>
          <w:rFonts w:ascii="Times New Roman" w:cs="Times New Roman" w:eastAsia="Times New Roman" w:hAnsi="Times New Roman"/>
          <w:b/>
          <w:bCs/>
          <w:sz w:val="28"/>
          <w:szCs w:val="28"/>
        </w:rPr>
        <w:t xml:space="preserve">2.1  Introduction</w:t>
      </w:r>
    </w:p>
    <w:p>
      <w:pPr>
        <w:spacing w:after="180" w:line="360"/>
        <w:ind w:firstLine="360"/>
        <w:jc w:val="both"/>
      </w:pPr>
      <w:r>
        <w:rPr>
          <w:rFonts w:ascii="Times New Roman" w:cs="Times New Roman" w:eastAsia="Times New Roman" w:hAnsi="Times New Roman"/>
          <w:sz w:val="24"/>
          <w:szCs w:val="24"/>
        </w:rPr>
        <w:t xml:space="preserve">This chapter reviews the published literature relevant to the present project across four interlocking thematic areas. First, it surveys the cheminformatic foundations of structural similarity search and the long-standing role of the Tanimoto coefficient on circular fingerprints as the default baseline for compound similarity tasks. Second, it reviews the use of supervised machine learning, particularly tree-based ensemble methods and XGBoost specifically, in cheminformatics applications including bioactivity prediction, ADMET modelling, and natural product classification. Third, it examines the explainable artificial intelligence literature, with particular attention to SHAP attribution as applied to tree-based models in chemical contexts, and contrasts this approach with the methodologically distinct framework of conformal prediction. Fourth, it surveys the published phytochemistry of the genus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with attention to the structural classes that dominate reported chemistry from the genus and to the specific subset of literature that addresses </w:t>
      </w:r>
      <w:r>
        <w:rPr>
          <w:rFonts w:ascii="Times New Roman" w:cs="Times New Roman" w:eastAsia="Times New Roman" w:hAnsi="Times New Roman"/>
          <w:i/>
          <w:iCs/>
          <w:sz w:val="24"/>
          <w:szCs w:val="24"/>
        </w:rPr>
        <w:t xml:space="preserve">Z. chalybeum</w:t>
      </w:r>
      <w:r>
        <w:rPr>
          <w:rFonts w:ascii="Times New Roman" w:cs="Times New Roman" w:eastAsia="Times New Roman" w:hAnsi="Times New Roman"/>
          <w:sz w:val="24"/>
          <w:szCs w:val="24"/>
        </w:rPr>
        <w:t xml:space="preserve">. The chapter concludes with explicit inclusion and exclusion criteria for the literature reviewed and a summary of the gaps that motivate the project's specific methodological contributions.</w:t>
      </w:r>
    </w:p>
    <w:p>
      <w:pPr>
        <w:spacing w:after="180" w:line="360"/>
        <w:ind w:firstLine="360"/>
        <w:jc w:val="both"/>
      </w:pPr>
      <w:r>
        <w:rPr>
          <w:rFonts w:ascii="Times New Roman" w:cs="Times New Roman" w:eastAsia="Times New Roman" w:hAnsi="Times New Roman"/>
          <w:sz w:val="24"/>
          <w:szCs w:val="24"/>
        </w:rPr>
        <w:t xml:space="preserve">The literature review is structured to support two distinct functions in the wider thesis. It serves as a conceptual scaffold within which the project's methodological choices can be situated and justified, and it serves as a comparative baseline against which the project's empirical and methodological contributions can be measured. Where the published literature offers multiple competing approaches to a methodological problem, the review identifies the alternatives explicitly and explains the project's rationale for the choices made.</w:t>
      </w:r>
    </w:p>
    <w:p>
      <w:pPr>
        <w:pStyle w:val="Heading2"/>
        <w:spacing w:after="180" w:before="360" w:line="360"/>
      </w:pPr>
      <w:r>
        <w:rPr>
          <w:rFonts w:ascii="Times New Roman" w:cs="Times New Roman" w:eastAsia="Times New Roman" w:hAnsi="Times New Roman"/>
          <w:b/>
          <w:bCs/>
          <w:sz w:val="28"/>
          <w:szCs w:val="28"/>
        </w:rPr>
        <w:t xml:space="preserve">2.2  Conceptual Framework</w:t>
      </w:r>
    </w:p>
    <w:p>
      <w:pPr>
        <w:spacing w:after="180" w:line="360"/>
        <w:ind w:firstLine="360"/>
        <w:jc w:val="both"/>
      </w:pPr>
      <w:r>
        <w:rPr>
          <w:rFonts w:ascii="Times New Roman" w:cs="Times New Roman" w:eastAsia="Times New Roman" w:hAnsi="Times New Roman"/>
          <w:sz w:val="24"/>
          <w:szCs w:val="24"/>
        </w:rPr>
        <w:t xml:space="preserve">The conceptual framework underlying this project rests on three nested propositions about the nature of natural product dereplication as a computational task. The first proposition is that dereplication is fundamentally a structural-similarity problem rather than a classification problem. Two compounds are functionally identical from the dereplication standpoint if their two-dimensional structures match exactly, and they are functionally distinct if their structures differ in any chemically meaningful way. Structural similarity metrics — most prominently the Tanimoto coefficient on circular fingerprints — measure this distance directly. Classification approaches, by contrast, attempt to learn the boundary between known and novel compounds in some feature space, but the boundary they learn is not the underlying structural-distance signal; it is a derived approximation that depends on the labelled training data and the choice of feature representation.</w:t>
      </w:r>
    </w:p>
    <w:p>
      <w:pPr>
        <w:spacing w:after="180" w:line="360"/>
        <w:ind w:firstLine="360"/>
        <w:jc w:val="both"/>
      </w:pPr>
      <w:r>
        <w:rPr>
          <w:rFonts w:ascii="Times New Roman" w:cs="Times New Roman" w:eastAsia="Times New Roman" w:hAnsi="Times New Roman"/>
          <w:sz w:val="24"/>
          <w:szCs w:val="24"/>
        </w:rPr>
        <w:t xml:space="preserve">The second proposition is that the principal practical limitation of similarity-based dereplication is not the underlying signal — which is, by construction, the appropriate signal — but the calibration of trust in individual similarity matches. A high Tanimoto coefficient between two compounds is necessary but not sufficient for a true structural relationship: the well-documented chance-similarity failure mode of fingerprint-based methods means that some high-similarity matches reflect hash collisions between substructurally distinct compounds rather than genuine structural relationships. The trust-calibration problem is what occupies expert human time in practical dereplication workflows, and it is the problem that machine learning is best positioned to address as a complement to similarity search rather than as a replacement for it.</w:t>
      </w:r>
    </w:p>
    <w:p>
      <w:pPr>
        <w:spacing w:after="180" w:line="360"/>
        <w:ind w:firstLine="360"/>
        <w:jc w:val="both"/>
      </w:pPr>
      <w:r>
        <w:rPr>
          <w:rFonts w:ascii="Times New Roman" w:cs="Times New Roman" w:eastAsia="Times New Roman" w:hAnsi="Times New Roman"/>
          <w:sz w:val="24"/>
          <w:szCs w:val="24"/>
        </w:rPr>
        <w:t xml:space="preserve">The third proposition is that interpretability in dereplication is not cosmetic but methodologically essential. A dereplication tool that returns a verdict without explanation requires the working chemist to either trust the verdict blindly or perform the manual structural review that the tool was supposed to obviate. A tool that returns a verdict accompanied by per-prediction feature attributions in chemically interpretable terms allows the chemist to evaluate the reasoning behind the verdict in seconds rather than hours, and to override the verdict where expert judgement disagrees. The conceptual framework therefore treats per-prediction interpretability as a first-class architectural requirement, not as a presentational layer added after the fact.</w:t>
      </w:r>
    </w:p>
    <w:p>
      <w:pPr>
        <w:spacing w:after="180" w:line="360"/>
        <w:ind w:firstLine="360"/>
        <w:jc w:val="both"/>
      </w:pPr>
      <w:r>
        <w:rPr>
          <w:rFonts w:ascii="Times New Roman" w:cs="Times New Roman" w:eastAsia="Times New Roman" w:hAnsi="Times New Roman"/>
          <w:sz w:val="24"/>
          <w:szCs w:val="24"/>
        </w:rPr>
        <w:t xml:space="preserve">These three propositions jointly motivate the project's central architectural choice: a four-layer pipeline in which structural similarity provides the primary signal, supervised machine learning calibrates the trust placed in similarity matches, an applicability-domain check formalises the limits of model reliability, and an external database cross-reference distinguishes genus-specific from global novelty. Each layer is interpretable in its own terms, and the per-prediction SHAP attributions provide additional interpretability at the level of individual feature contributions. The remainder of this chapter reviews the literature that supports each component of this conceptual framework.</w:t>
      </w:r>
    </w:p>
    <w:p>
      <w:pPr>
        <w:pStyle w:val="Heading2"/>
        <w:spacing w:after="180" w:before="360" w:line="360"/>
      </w:pPr>
      <w:r>
        <w:rPr>
          <w:rFonts w:ascii="Times New Roman" w:cs="Times New Roman" w:eastAsia="Times New Roman" w:hAnsi="Times New Roman"/>
          <w:b/>
          <w:bCs/>
          <w:sz w:val="28"/>
          <w:szCs w:val="28"/>
        </w:rPr>
        <w:t xml:space="preserve">2.3  Theoretical and Empirical Literature</w:t>
      </w:r>
    </w:p>
    <w:p>
      <w:pPr>
        <w:pStyle w:val="Heading3"/>
        <w:spacing w:after="120" w:before="240" w:line="360"/>
      </w:pPr>
      <w:r>
        <w:rPr>
          <w:rFonts w:ascii="Times New Roman" w:cs="Times New Roman" w:eastAsia="Times New Roman" w:hAnsi="Times New Roman"/>
          <w:b/>
          <w:bCs/>
          <w:i/>
          <w:iCs/>
          <w:sz w:val="26"/>
          <w:szCs w:val="26"/>
        </w:rPr>
        <w:t xml:space="preserve">2.3.1  Structural Similarity and the Tanimoto Coefficient</w:t>
      </w:r>
    </w:p>
    <w:p>
      <w:pPr>
        <w:spacing w:after="180" w:line="360"/>
        <w:ind w:firstLine="360"/>
        <w:jc w:val="both"/>
      </w:pPr>
      <w:r>
        <w:rPr>
          <w:rFonts w:ascii="Times New Roman" w:cs="Times New Roman" w:eastAsia="Times New Roman" w:hAnsi="Times New Roman"/>
          <w:sz w:val="24"/>
          <w:szCs w:val="24"/>
        </w:rPr>
        <w:t xml:space="preserve">Structural similarity search occupies a central place in the cheminformatics literature, and the standard formulation pairs Extended-Connectivity Fingerprints of radius 2 (ECFP4) with the Tanimoto coefficient as the similarity metric. ECFP4 fingerprints, introduced by Rogers and Hahn in 2010, encode the local atomic environment around each heavy atom in a molecule out to a topological radius of two bonds, then hash the collected substructural patterns into a fixed-length bit vector typically of length 1,024 or 2,048 bits. The Tanimoto coefficient between two such fingerprints is defined as the number of bits set in common between them divided by the number of bits set in either, yielding a similarity measure bounded between zero and one.</w:t>
      </w:r>
    </w:p>
    <w:p>
      <w:pPr>
        <w:spacing w:after="180" w:line="360"/>
        <w:ind w:firstLine="360"/>
        <w:jc w:val="both"/>
      </w:pPr>
      <w:r>
        <w:rPr>
          <w:rFonts w:ascii="Times New Roman" w:cs="Times New Roman" w:eastAsia="Times New Roman" w:hAnsi="Times New Roman"/>
          <w:sz w:val="24"/>
          <w:szCs w:val="24"/>
        </w:rPr>
        <w:t xml:space="preserve">The combination has proven remarkably difficult to displace across decades of cheminformatic methodology development. Multiple comparative studies have found that the simple ECFP4-plus-Tanimoto baseline is competitive with, or superior to, more elaborate fingerprint formulations, alternative similarity metrics, and learned representations across a wide range of practical similarity-search tasks. The reasons are partly mathematical: ECFP4 fingerprints capture chemically meaningful substructural information at a granularity well-matched to the typical scale of structural variation between related natural products, while the Tanimoto coefficient provides a metric whose distribution is well-characterised across diverse chemical spaces. The reasons are also practical: similarity search is parameter-free at inference time, scales linearly with reference-set size, and requires no labelled training data.</w:t>
      </w:r>
    </w:p>
    <w:p>
      <w:pPr>
        <w:spacing w:after="180" w:line="360"/>
        <w:ind w:firstLine="360"/>
        <w:jc w:val="both"/>
      </w:pPr>
      <w:r>
        <w:rPr>
          <w:rFonts w:ascii="Times New Roman" w:cs="Times New Roman" w:eastAsia="Times New Roman" w:hAnsi="Times New Roman"/>
          <w:sz w:val="24"/>
          <w:szCs w:val="24"/>
        </w:rPr>
        <w:t xml:space="preserve">The principal documented weakness of Tanimoto-based dereplication is its limited ability to distinguish true structural matches from </w:t>
      </w:r>
      <w:r>
        <w:rPr>
          <w:rFonts w:ascii="Times New Roman" w:cs="Times New Roman" w:eastAsia="Times New Roman" w:hAnsi="Times New Roman"/>
          <w:i/>
          <w:iCs/>
          <w:sz w:val="24"/>
          <w:szCs w:val="24"/>
        </w:rPr>
        <w:t xml:space="preserve">chance similarities</w:t>
      </w:r>
      <w:r>
        <w:rPr>
          <w:rFonts w:ascii="Times New Roman" w:cs="Times New Roman" w:eastAsia="Times New Roman" w:hAnsi="Times New Roman"/>
          <w:sz w:val="24"/>
          <w:szCs w:val="24"/>
        </w:rPr>
        <w:t xml:space="preserve"> — pairs of compounds that share many fingerprint bits despite belonging to different structural classes. This failure mode arises from the fixed-length encoding: distinct substructures can hash to overlapping bit positions, particularly at the higher Tanimoto thresholds (typically ≥ 0.7) used to declare a match in dereplication workflows. The standard remedy in working laboratories is human expert review of putative matches, which is itself the bottleneck dereplication tools are intended to relieve. The chance-similarity problem is the specific failure mode that the present project's confidence-layer architecture is designed to address.</w:t>
      </w:r>
    </w:p>
    <w:p>
      <w:pPr>
        <w:pStyle w:val="Heading3"/>
        <w:spacing w:after="120" w:before="240" w:line="360"/>
      </w:pPr>
      <w:r>
        <w:rPr>
          <w:rFonts w:ascii="Times New Roman" w:cs="Times New Roman" w:eastAsia="Times New Roman" w:hAnsi="Times New Roman"/>
          <w:b/>
          <w:bCs/>
          <w:i/>
          <w:iCs/>
          <w:sz w:val="26"/>
          <w:szCs w:val="26"/>
        </w:rPr>
        <w:t xml:space="preserve">2.3.2  XGBoost and Tree-Based Ensemble Methods in Cheminformatics</w:t>
      </w:r>
    </w:p>
    <w:p>
      <w:pPr>
        <w:spacing w:after="180" w:line="360"/>
        <w:ind w:firstLine="360"/>
        <w:jc w:val="both"/>
      </w:pPr>
      <w:r>
        <w:rPr>
          <w:rFonts w:ascii="Times New Roman" w:cs="Times New Roman" w:eastAsia="Times New Roman" w:hAnsi="Times New Roman"/>
          <w:sz w:val="24"/>
          <w:szCs w:val="24"/>
        </w:rPr>
        <w:t xml:space="preserve">Extreme Gradient Boosting (XGBoost), introduced by Chen and Guestrin in 2016, is a scalable implementation of gradient-boosted decision tree ensembles that has become a default supervised-learning baseline across cheminformatics applications. Its appeal in this domain rests on three properties. First, it handles the mixed binary–continuous feature spaces typical of fingerprint-plus-descriptor representations without preprocessing: binary fingerprint bits and continuous physicochemical descriptors can be passed jointly to the same model. Second, it is robust to the moderate class imbalance common in chemical datasets, with built-in support for instance-weighting strategies that allow the model to emphasise minority-class examples. Third, it produces models from which feature attributions can be extracted efficiently using the TreeSHAP algorithm, supporting the interpretable-machine-learning workflow that this project requires.</w:t>
      </w:r>
    </w:p>
    <w:p>
      <w:pPr>
        <w:spacing w:after="180" w:line="360"/>
        <w:ind w:firstLine="360"/>
        <w:jc w:val="both"/>
      </w:pPr>
      <w:r>
        <w:rPr>
          <w:rFonts w:ascii="Times New Roman" w:cs="Times New Roman" w:eastAsia="Times New Roman" w:hAnsi="Times New Roman"/>
          <w:sz w:val="24"/>
          <w:szCs w:val="24"/>
        </w:rPr>
        <w:t xml:space="preserve">Published cheminformatic applications of XGBoost include bioactivity prediction against specific protein targets, prediction of absorption-distribution-metabolism-excretion-toxicity (ADMET) endpoints, prediction of physicochemical properties such as solubility and permeability, and structural classification of compounds into natural-product-like or synthetic-like categories. In the natural product domain specifically, XGBoost has been applied to compound classification tasks against the NPClassifier hierarchical class labels, to bioactivity prediction for natural product extracts and isolated compounds, and to prediction of natural-product-likeness scores from molecular structure. Across these applications, the standard methodological framing treats XGBoost as the primary classifier, with model performance evaluated by classification metrics (accuracy, F1, ROC-AUC) on standard chemical datasets.</w:t>
      </w:r>
    </w:p>
    <w:p>
      <w:pPr>
        <w:spacing w:after="180" w:line="360"/>
        <w:ind w:firstLine="360"/>
        <w:jc w:val="both"/>
      </w:pPr>
      <w:r>
        <w:rPr>
          <w:rFonts w:ascii="Times New Roman" w:cs="Times New Roman" w:eastAsia="Times New Roman" w:hAnsi="Times New Roman"/>
          <w:sz w:val="24"/>
          <w:szCs w:val="24"/>
        </w:rPr>
        <w:t xml:space="preserve">The application of XGBoost specifically to natural product dereplication is comparatively under-developed in the published literature. Where dereplication is treated as a machine-learning task, the dominant formulation is the binary classification framing of Known versus Novel, with the model trained on labelled examples of compounds belonging to each class. Few published studies report rigorous comparison between such classifier-based approaches and threshold-optimised similarity baselines under scaffold-aware cross-validation; where such comparisons exist, the strength of the similarity baseline is often substantial. The present project's systematic benchmark in Chapter 4 contributes to this comparatively thin empirical literature.</w:t>
      </w:r>
    </w:p>
    <w:p>
      <w:pPr>
        <w:pStyle w:val="Heading3"/>
        <w:spacing w:after="120" w:before="240" w:line="360"/>
      </w:pPr>
      <w:r>
        <w:rPr>
          <w:rFonts w:ascii="Times New Roman" w:cs="Times New Roman" w:eastAsia="Times New Roman" w:hAnsi="Times New Roman"/>
          <w:b/>
          <w:bCs/>
          <w:i/>
          <w:iCs/>
          <w:sz w:val="26"/>
          <w:szCs w:val="26"/>
        </w:rPr>
        <w:t xml:space="preserve">2.3.3  Unsupervised Novelty Detection: Isolation Forest, One-Class SVM, and Local Outlier Factor</w:t>
      </w:r>
    </w:p>
    <w:p>
      <w:pPr>
        <w:spacing w:after="180" w:line="360"/>
        <w:ind w:firstLine="360"/>
        <w:jc w:val="both"/>
      </w:pPr>
      <w:r>
        <w:rPr>
          <w:rFonts w:ascii="Times New Roman" w:cs="Times New Roman" w:eastAsia="Times New Roman" w:hAnsi="Times New Roman"/>
          <w:sz w:val="24"/>
          <w:szCs w:val="24"/>
        </w:rPr>
        <w:t xml:space="preserve">The unsupervised novelty-detection literature provides a complementary set of methods that, unlike supervised classifiers, do not require labelled examples of the novel class. The three most widely used algorithms in cheminformatic applications are Isolation Forest, One-Class Support Vector Machine, and Local Outlier Factor. Isolation Forest, introduced by Liu, Ting, and Zhou in 2008, identifies outliers as instances that can be isolated from the bulk distribution by random axis-aligned splits in fewer recursions than typical instances; the method is computationally efficient and scales well to large reference sets. One-Class SVM, developed by Schölkopf and colleagues in the early 2000s, learns a kernel-based decision boundary that encloses the bulk of the training distribution and flags instances outside that boundary as outliers. Local Outlier Factor, introduced by Breunig and colleagues in 2000, scores instances by comparing their local density to that of their nearest neighbours, flagging instances in low-density regions as outliers.</w:t>
      </w:r>
    </w:p>
    <w:p>
      <w:pPr>
        <w:spacing w:after="180" w:line="360"/>
        <w:ind w:firstLine="360"/>
        <w:jc w:val="both"/>
      </w:pPr>
      <w:r>
        <w:rPr>
          <w:rFonts w:ascii="Times New Roman" w:cs="Times New Roman" w:eastAsia="Times New Roman" w:hAnsi="Times New Roman"/>
          <w:sz w:val="24"/>
          <w:szCs w:val="24"/>
        </w:rPr>
        <w:t xml:space="preserve">All three methods have been applied in cheminformatic contexts to the identification of structurally unusual compounds in natural product libraries, to outlier detection in high-throughput screening hit lists, and to applicability-domain assessment for QSAR models. The methods differ in their computational characteristics: Isolation Forest scales linearly in the number of training instances and trees, One-Class SVM scales quadratically with training set size and can become impractical on large reference sets without subsampling, and Local Outlier Factor requires storage of the full training distribution at inference time. In the present project, all three are evaluated as baselines against threshold-optimised Tanimoto similarity in the systematic benchmark reported in Chapter 4.</w:t>
      </w:r>
    </w:p>
    <w:p>
      <w:pPr>
        <w:pStyle w:val="Heading3"/>
        <w:spacing w:after="120" w:before="240" w:line="360"/>
      </w:pPr>
      <w:r>
        <w:rPr>
          <w:rFonts w:ascii="Times New Roman" w:cs="Times New Roman" w:eastAsia="Times New Roman" w:hAnsi="Times New Roman"/>
          <w:b/>
          <w:bCs/>
          <w:i/>
          <w:iCs/>
          <w:sz w:val="26"/>
          <w:szCs w:val="26"/>
        </w:rPr>
        <w:t xml:space="preserve">2.3.4  SHAP and Interpretable Machine Learning</w:t>
      </w:r>
    </w:p>
    <w:p>
      <w:pPr>
        <w:spacing w:after="180" w:line="360"/>
        <w:ind w:firstLine="360"/>
        <w:jc w:val="both"/>
      </w:pPr>
      <w:r>
        <w:rPr>
          <w:rFonts w:ascii="Times New Roman" w:cs="Times New Roman" w:eastAsia="Times New Roman" w:hAnsi="Times New Roman"/>
          <w:sz w:val="24"/>
          <w:szCs w:val="24"/>
        </w:rPr>
        <w:t xml:space="preserve">Shapley Additive exPlanations (SHAP), introduced by Lundberg and Lee in 2017 and extended in subsequent work by Lundberg and colleagues through 2020, provide a unified, theoretically grounded framework for attributing the output of a machine-learning model to its input features. The framework rests on the cooperative game theory concept of Shapley values, which distribute the total value of a cooperative outcome among the contributing players in a manner that satisfies a small set of natural axioms (efficiency, symmetry, dummy, additivity). For machine-learning prediction, the players are the input features and the value to be distributed is the difference between the model's prediction for a particular instance and the expected prediction across the training distribution.</w:t>
      </w:r>
    </w:p>
    <w:p>
      <w:pPr>
        <w:spacing w:after="180" w:line="360"/>
        <w:ind w:firstLine="360"/>
        <w:jc w:val="both"/>
      </w:pPr>
      <w:r>
        <w:rPr>
          <w:rFonts w:ascii="Times New Roman" w:cs="Times New Roman" w:eastAsia="Times New Roman" w:hAnsi="Times New Roman"/>
          <w:sz w:val="24"/>
          <w:szCs w:val="24"/>
        </w:rPr>
        <w:t xml:space="preserve">For tree-based models such as XGBoost and random forests, the TreeSHAP algorithm computes exact Shapley values in time polynomial in tree depth, making per-prediction explanation computationally feasible at scale. This is the variant used throughout the present project. In cheminformatics, SHAP has been applied predominantly to property prediction tasks — explaining which substructures or descriptors drive predicted bioactivity, solubility, or toxicity — and represents a now-established methodology for connecting model behaviour to chemical intuition. Comparative studies have shown that SHAP attributions on cheminformatic models often align with chemists' qualitative judgement about which structural features should drive a given prediction, providing an empirical validation of the interpretability claim.</w:t>
      </w:r>
    </w:p>
    <w:p>
      <w:pPr>
        <w:spacing w:after="180" w:line="360"/>
        <w:ind w:firstLine="360"/>
        <w:jc w:val="both"/>
      </w:pPr>
      <w:r>
        <w:rPr>
          <w:rFonts w:ascii="Times New Roman" w:cs="Times New Roman" w:eastAsia="Times New Roman" w:hAnsi="Times New Roman"/>
          <w:sz w:val="24"/>
          <w:szCs w:val="24"/>
        </w:rPr>
        <w:t xml:space="preserve">A complementary direction in calibrated machine learning is conformal prediction, which wraps any classifier with theoretically valid uncertainty bounds independent of the underlying model class. Recent applications in cheminformatics include the CPSign framework reported by Arvidsson McShane and colleagues in 2024 and the comparative evaluation across compound classes reported by Ghamsary and colleagues in 2026. Conformal methods provide rigorous probability calibration but do not, by themselves, attribute model decisions to interpretable features. The confidence-layer architecture proposed in the present project is methodologically distinct from conformal prediction: rather than wrapping a classifier with calibrated probability bounds, it reframes the prediction task itself, training a model to evaluate the trustworthiness of similarity-based matches with feature-level explanation. The two approaches address related concerns about model uncertainty through different methodological routes and are, in principle, composable.</w:t>
      </w:r>
    </w:p>
    <w:p>
      <w:pPr>
        <w:pStyle w:val="Heading3"/>
        <w:spacing w:after="120" w:before="240" w:line="360"/>
      </w:pPr>
      <w:r>
        <w:rPr>
          <w:rFonts w:ascii="Times New Roman" w:cs="Times New Roman" w:eastAsia="Times New Roman" w:hAnsi="Times New Roman"/>
          <w:b/>
          <w:bCs/>
          <w:i/>
          <w:iCs/>
          <w:sz w:val="26"/>
          <w:szCs w:val="26"/>
        </w:rPr>
        <w:t xml:space="preserve">2.3.5  Natural Product Chemical Databases</w:t>
      </w:r>
    </w:p>
    <w:p>
      <w:pPr>
        <w:spacing w:after="180" w:line="360"/>
        <w:ind w:firstLine="360"/>
        <w:jc w:val="both"/>
      </w:pPr>
      <w:r>
        <w:rPr>
          <w:rFonts w:ascii="Times New Roman" w:cs="Times New Roman" w:eastAsia="Times New Roman" w:hAnsi="Times New Roman"/>
          <w:sz w:val="24"/>
          <w:szCs w:val="24"/>
        </w:rPr>
        <w:t xml:space="preserve">Comprehensive dereplication requires a reference set that is both broad in chemical coverage and reliable in provenance. Five complementary public resources span the relevant chemistry and form the basis of the integrated reference set constructed in this project. COCONUT (the COlleCtion of Open Natural prodUcTs), launched by Sorokina and colleagues in 2021 and updated continuously since, aggregates over fifty source databases of natural products and includes the AfroDB collection of African-sourced metabolites, providing the broadest publicly available natural product reference. ChEMBL, maintained by the European Bioinformatics Institute and most recently described in the 2015 paper by Davies and colleagues with subsequent release updates, provides curated bioactivity data with associated standardised structures for over two million compounds, including many natural products with reported pharmacological activity. The Natural Products Atlas (NP Atlas), launched by van Santen and colleagues in 2019 and updated semi-annually, curates a smaller but high-quality set of microbial natural products with rigorously validated structures and source-organism annotations. PubChem, maintained by the United States National Library of Medicine and most recently described in the 2023 update paper by Kim and colleagues, provides the broadest possible cross-reference for chemical structures across the published literature, enabling real-time verification of whether a candidate structure is documented anywhere in public chemistry. Together, these resources cover the chemical space relevant to </w:t>
      </w:r>
      <w:r>
        <w:rPr>
          <w:rFonts w:ascii="Times New Roman" w:cs="Times New Roman" w:eastAsia="Times New Roman" w:hAnsi="Times New Roman"/>
          <w:i/>
          <w:iCs/>
          <w:sz w:val="24"/>
          <w:szCs w:val="24"/>
        </w:rPr>
        <w:t xml:space="preserve">Zanthoxylum chalybeum</w:t>
      </w:r>
      <w:r>
        <w:rPr>
          <w:rFonts w:ascii="Times New Roman" w:cs="Times New Roman" w:eastAsia="Times New Roman" w:hAnsi="Times New Roman"/>
          <w:sz w:val="24"/>
          <w:szCs w:val="24"/>
        </w:rPr>
        <w:t xml:space="preserve"> phytochemistry.</w:t>
      </w:r>
    </w:p>
    <w:p>
      <w:pPr>
        <w:pStyle w:val="Heading3"/>
        <w:spacing w:after="120" w:before="240" w:line="360"/>
      </w:pPr>
      <w:r>
        <w:rPr>
          <w:rFonts w:ascii="Times New Roman" w:cs="Times New Roman" w:eastAsia="Times New Roman" w:hAnsi="Times New Roman"/>
          <w:b/>
          <w:bCs/>
          <w:i/>
          <w:iCs/>
          <w:sz w:val="26"/>
          <w:szCs w:val="26"/>
        </w:rPr>
        <w:t xml:space="preserve">2.3.6  Phytochemistry of the Zanthoxylum Genus</w:t>
      </w:r>
    </w:p>
    <w:p>
      <w:pPr>
        <w:spacing w:after="180" w:line="360"/>
        <w:ind w:firstLine="360"/>
        <w:jc w:val="both"/>
      </w:pPr>
      <w:r>
        <w:rPr>
          <w:rFonts w:ascii="Times New Roman" w:cs="Times New Roman" w:eastAsia="Times New Roman" w:hAnsi="Times New Roman"/>
          <w:sz w:val="24"/>
          <w:szCs w:val="24"/>
        </w:rPr>
        <w:t xml:space="preserve">The genus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(family Rutaceae) comprises approximately 250 species distributed across tropical and subtropical regions of Africa, Asia, and the Americas. The phytochemical literature on the genus, accumulated over more than a century of natural product chemistry, documents structurally diverse secondary metabolites grouped into several characteristic compound classes. Quinoline and furoquinoline alkaloids, including the well-studied compounds chelerythrine, sanguinarine, and skimmianine, are among the most pharmacologically interesting compounds reported from the genus and have been the subject of extensive bioactivity work. Isoquinoline and benzophenanthridine alkaloids, including berberine-related structures and the structurally related chelerythrine-class alkaloids, contribute further to the alkaloidal diversity of the genus. Simple coumarins (including umbelliferone, scopoletin, and related hydroxylated and methoxylated structures) and prenylated coumarins (including suberosin and toddaculin, both reported from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species) constitute the second major chemical class. Lignans and neolignans, including the secoisolariciresinol-related structures, contribute a further class of polyphenolic chemistry. Aliphatic and unsaturated amides, including the pungent sanshool-class compounds responsible for the characteristic mouth-numbing sensation associated with culinary use of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species, complete the major reported chemistry.</w:t>
      </w:r>
    </w:p>
    <w:p>
      <w:pPr>
        <w:spacing w:after="180" w:line="360"/>
        <w:ind w:firstLine="360"/>
        <w:jc w:val="both"/>
      </w:pPr>
      <w:r>
        <w:rPr>
          <w:rFonts w:ascii="Times New Roman" w:cs="Times New Roman" w:eastAsia="Times New Roman" w:hAnsi="Times New Roman"/>
          <w:i/>
          <w:iCs/>
          <w:sz w:val="24"/>
          <w:szCs w:val="24"/>
        </w:rPr>
        <w:t xml:space="preserve">Zanthoxylum chalybeum</w:t>
      </w:r>
      <w:r>
        <w:rPr>
          <w:rFonts w:ascii="Times New Roman" w:cs="Times New Roman" w:eastAsia="Times New Roman" w:hAnsi="Times New Roman"/>
          <w:sz w:val="24"/>
          <w:szCs w:val="24"/>
        </w:rPr>
        <w:t xml:space="preserve"> (Engl.) specifically has been the subject of ethnopharmacological reports describing antimalarial, antimicrobial, and analgesic activity in southern African traditional medicine, alongside sporadic phytochemical reports identifying compounds drawn from the structural classes outlined above. Comprehensive computational characterisation of its known phytochemical space — and of the degree to which putative isolates can be reliably distinguished from compounds reported from sister species in the same genus — has not, to the author's knowledge, previously been published. The 2,294-compound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-annotated subset of the integrated reference set constructed in the present project provides the broadest publicly assembled phytochemical reference for the genus to date and forms the empirical basis for the dereplication architecture developed in subsequent chapters.</w:t>
      </w:r>
    </w:p>
    <w:p>
      <w:pPr>
        <w:pStyle w:val="Heading2"/>
        <w:spacing w:after="180" w:before="360" w:line="360"/>
      </w:pPr>
      <w:r>
        <w:rPr>
          <w:rFonts w:ascii="Times New Roman" w:cs="Times New Roman" w:eastAsia="Times New Roman" w:hAnsi="Times New Roman"/>
          <w:b/>
          <w:bCs/>
          <w:sz w:val="28"/>
          <w:szCs w:val="28"/>
        </w:rPr>
        <w:t xml:space="preserve">2.4  Inclusion and Exclusion Criteria</w:t>
      </w:r>
    </w:p>
    <w:p>
      <w:pPr>
        <w:spacing w:after="180" w:line="360"/>
        <w:ind w:firstLine="360"/>
        <w:jc w:val="both"/>
      </w:pPr>
      <w:r>
        <w:rPr>
          <w:rFonts w:ascii="Times New Roman" w:cs="Times New Roman" w:eastAsia="Times New Roman" w:hAnsi="Times New Roman"/>
          <w:sz w:val="24"/>
          <w:szCs w:val="24"/>
        </w:rPr>
        <w:t xml:space="preserve">The literature reviewed in this chapter was selected according to explicit inclusion and exclusion criteria designed to balance comprehensive coverage of the relevant theoretical and empirical literature with the practical constraint that the review must support a defensible scope for the project's contribution.</w:t>
      </w:r>
    </w:p>
    <w:p>
      <w:pPr>
        <w:pStyle w:val="Heading3"/>
        <w:spacing w:after="120" w:before="240" w:line="360"/>
      </w:pPr>
      <w:r>
        <w:rPr>
          <w:rFonts w:ascii="Times New Roman" w:cs="Times New Roman" w:eastAsia="Times New Roman" w:hAnsi="Times New Roman"/>
          <w:b/>
          <w:bCs/>
          <w:i/>
          <w:iCs/>
          <w:sz w:val="26"/>
          <w:szCs w:val="26"/>
        </w:rPr>
        <w:t xml:space="preserve">2.4.1  Inclusion Criteria</w:t>
      </w:r>
    </w:p>
    <w:p>
      <w:pPr>
        <w:pStyle w:val="ListParagraph"/>
        <w:numPr>
          <w:ilvl w:val="0"/>
          <w:numId w:val="3"/>
        </w:numPr>
        <w:spacing w:after="60" w:line="360"/>
      </w:pPr>
      <w:r>
        <w:rPr>
          <w:rFonts w:ascii="Times New Roman" w:cs="Times New Roman" w:eastAsia="Times New Roman" w:hAnsi="Times New Roman"/>
          <w:sz w:val="24"/>
          <w:szCs w:val="24"/>
        </w:rPr>
        <w:t xml:space="preserve">Peer-reviewed journal articles, conference papers, and book chapters published in English-language outlets indexed in PubMed, Scopus, or Web of Science.</w:t>
      </w:r>
    </w:p>
    <w:p>
      <w:pPr>
        <w:pStyle w:val="ListParagraph"/>
        <w:numPr>
          <w:ilvl w:val="0"/>
          <w:numId w:val="3"/>
        </w:numPr>
        <w:spacing w:after="60" w:line="360"/>
      </w:pPr>
      <w:r>
        <w:rPr>
          <w:rFonts w:ascii="Times New Roman" w:cs="Times New Roman" w:eastAsia="Times New Roman" w:hAnsi="Times New Roman"/>
          <w:sz w:val="24"/>
          <w:szCs w:val="24"/>
        </w:rPr>
        <w:t xml:space="preserve">Methodological papers introducing or substantively comparing cheminformatic similarity metrics, fingerprint formulations, supervised machine-learning approaches, unsupervised novelty-detection algorithms, or interpretability frameworks relevant to compound similarity and classification tasks.</w:t>
      </w:r>
    </w:p>
    <w:p>
      <w:pPr>
        <w:pStyle w:val="ListParagraph"/>
        <w:numPr>
          <w:ilvl w:val="0"/>
          <w:numId w:val="3"/>
        </w:numPr>
        <w:spacing w:after="60" w:line="360"/>
      </w:pPr>
      <w:r>
        <w:rPr>
          <w:rFonts w:ascii="Times New Roman" w:cs="Times New Roman" w:eastAsia="Times New Roman" w:hAnsi="Times New Roman"/>
          <w:sz w:val="24"/>
          <w:szCs w:val="24"/>
        </w:rPr>
        <w:t xml:space="preserve">Empirical studies reporting performance evaluations of cheminformatic methods on natural product, drug-like, or pharmacological reference datasets, particularly under cross-validation protocols that address scaffold leakage.</w:t>
      </w:r>
    </w:p>
    <w:p>
      <w:pPr>
        <w:pStyle w:val="ListParagraph"/>
        <w:numPr>
          <w:ilvl w:val="0"/>
          <w:numId w:val="3"/>
        </w:numPr>
        <w:spacing w:after="60" w:line="360"/>
      </w:pPr>
      <w:r>
        <w:rPr>
          <w:rFonts w:ascii="Times New Roman" w:cs="Times New Roman" w:eastAsia="Times New Roman" w:hAnsi="Times New Roman"/>
          <w:sz w:val="24"/>
          <w:szCs w:val="24"/>
        </w:rPr>
        <w:t xml:space="preserve">Phytochemical primary literature reporting compound isolation, structure elucidation, or chemical characterisation from species in the genus Zanthoxylum, with priority given to reports on Z. chalybeum and southern African Zanthoxylum species.</w:t>
      </w:r>
    </w:p>
    <w:p>
      <w:pPr>
        <w:pStyle w:val="ListParagraph"/>
        <w:numPr>
          <w:ilvl w:val="0"/>
          <w:numId w:val="3"/>
        </w:numPr>
        <w:spacing w:after="60" w:line="360"/>
      </w:pPr>
      <w:r>
        <w:rPr>
          <w:rFonts w:ascii="Times New Roman" w:cs="Times New Roman" w:eastAsia="Times New Roman" w:hAnsi="Times New Roman"/>
          <w:sz w:val="24"/>
          <w:szCs w:val="24"/>
        </w:rPr>
        <w:t xml:space="preserve">Database description papers for COCONUT, ChEMBL, NP Atlas, PubChem, and supporting cheminformatic resources used in the present project.</w:t>
      </w:r>
    </w:p>
    <w:p>
      <w:pPr>
        <w:pStyle w:val="ListParagraph"/>
        <w:numPr>
          <w:ilvl w:val="0"/>
          <w:numId w:val="3"/>
        </w:numPr>
        <w:spacing w:after="60" w:line="360"/>
      </w:pPr>
      <w:r>
        <w:rPr>
          <w:rFonts w:ascii="Times New Roman" w:cs="Times New Roman" w:eastAsia="Times New Roman" w:hAnsi="Times New Roman"/>
          <w:sz w:val="24"/>
          <w:szCs w:val="24"/>
        </w:rPr>
        <w:t xml:space="preserve">Recent (2020–2026) reviews and methodological perspectives on machine learning and explainable AI in chemistry, particularly those addressing comparison between learned and similarity-based approaches.</w:t>
      </w:r>
    </w:p>
    <w:p>
      <w:pPr>
        <w:pStyle w:val="Heading3"/>
        <w:spacing w:after="120" w:before="240" w:line="360"/>
      </w:pPr>
      <w:r>
        <w:rPr>
          <w:rFonts w:ascii="Times New Roman" w:cs="Times New Roman" w:eastAsia="Times New Roman" w:hAnsi="Times New Roman"/>
          <w:b/>
          <w:bCs/>
          <w:i/>
          <w:iCs/>
          <w:sz w:val="26"/>
          <w:szCs w:val="26"/>
        </w:rPr>
        <w:t xml:space="preserve">2.4.2  Exclusion Criteria</w:t>
      </w:r>
    </w:p>
    <w:p>
      <w:pPr>
        <w:pStyle w:val="ListParagraph"/>
        <w:numPr>
          <w:ilvl w:val="0"/>
          <w:numId w:val="3"/>
        </w:numPr>
        <w:spacing w:after="60" w:line="360"/>
      </w:pPr>
      <w:r>
        <w:rPr>
          <w:rFonts w:ascii="Times New Roman" w:cs="Times New Roman" w:eastAsia="Times New Roman" w:hAnsi="Times New Roman"/>
          <w:sz w:val="24"/>
          <w:szCs w:val="24"/>
        </w:rPr>
        <w:t xml:space="preserve">Conference abstracts and preprints without peer review, except where they represent the principal published statement of a methodological framework that is widely cited in the peer-reviewed literature.</w:t>
      </w:r>
    </w:p>
    <w:p>
      <w:pPr>
        <w:pStyle w:val="ListParagraph"/>
        <w:numPr>
          <w:ilvl w:val="0"/>
          <w:numId w:val="3"/>
        </w:numPr>
        <w:spacing w:after="60" w:line="360"/>
      </w:pPr>
      <w:r>
        <w:rPr>
          <w:rFonts w:ascii="Times New Roman" w:cs="Times New Roman" w:eastAsia="Times New Roman" w:hAnsi="Times New Roman"/>
          <w:sz w:val="24"/>
          <w:szCs w:val="24"/>
        </w:rPr>
        <w:t xml:space="preserve">Cheminformatic studies focused exclusively on sequence-based methods (e.g., protein sequence similarity, RNA-seq analysis), which lie outside the structural-chemistry scope of the present project.</w:t>
      </w:r>
    </w:p>
    <w:p>
      <w:pPr>
        <w:pStyle w:val="ListParagraph"/>
        <w:numPr>
          <w:ilvl w:val="0"/>
          <w:numId w:val="3"/>
        </w:numPr>
        <w:spacing w:after="60" w:line="360"/>
      </w:pPr>
      <w:r>
        <w:rPr>
          <w:rFonts w:ascii="Times New Roman" w:cs="Times New Roman" w:eastAsia="Times New Roman" w:hAnsi="Times New Roman"/>
          <w:sz w:val="24"/>
          <w:szCs w:val="24"/>
        </w:rPr>
        <w:t xml:space="preserve">Pharmacological studies reporting bioactivity assays without structural characterisation of the assayed compounds.</w:t>
      </w:r>
    </w:p>
    <w:p>
      <w:pPr>
        <w:pStyle w:val="ListParagraph"/>
        <w:numPr>
          <w:ilvl w:val="0"/>
          <w:numId w:val="3"/>
        </w:numPr>
        <w:spacing w:after="60" w:line="360"/>
      </w:pPr>
      <w:r>
        <w:rPr>
          <w:rFonts w:ascii="Times New Roman" w:cs="Times New Roman" w:eastAsia="Times New Roman" w:hAnsi="Times New Roman"/>
          <w:sz w:val="24"/>
          <w:szCs w:val="24"/>
        </w:rPr>
        <w:t xml:space="preserve">Phytochemical reports on Rutaceae genera other than Zanthoxylum, except where directly relevant to the chemical classes reviewed in Section 2.3.6.</w:t>
      </w:r>
    </w:p>
    <w:p>
      <w:pPr>
        <w:pStyle w:val="ListParagraph"/>
        <w:numPr>
          <w:ilvl w:val="0"/>
          <w:numId w:val="3"/>
        </w:numPr>
        <w:spacing w:after="60" w:line="360"/>
      </w:pPr>
      <w:r>
        <w:rPr>
          <w:rFonts w:ascii="Times New Roman" w:cs="Times New Roman" w:eastAsia="Times New Roman" w:hAnsi="Times New Roman"/>
          <w:sz w:val="24"/>
          <w:szCs w:val="24"/>
        </w:rPr>
        <w:t xml:space="preserve">Studies on machine-learning interpretability methods other than feature-attribution methods (e.g., counterfactual explanations, prototype-based methods), which fall outside the architectural choice made in the present project.</w:t>
      </w:r>
    </w:p>
    <w:p>
      <w:pPr>
        <w:pStyle w:val="Heading2"/>
        <w:spacing w:after="180" w:before="360" w:line="360"/>
      </w:pPr>
      <w:r>
        <w:rPr>
          <w:rFonts w:ascii="Times New Roman" w:cs="Times New Roman" w:eastAsia="Times New Roman" w:hAnsi="Times New Roman"/>
          <w:b/>
          <w:bCs/>
          <w:sz w:val="28"/>
          <w:szCs w:val="28"/>
        </w:rPr>
        <w:t xml:space="preserve">2.5  Conclusion</w:t>
      </w:r>
    </w:p>
    <w:p>
      <w:pPr>
        <w:spacing w:after="180" w:line="360"/>
        <w:ind w:firstLine="360"/>
        <w:jc w:val="both"/>
      </w:pPr>
      <w:r>
        <w:rPr>
          <w:rFonts w:ascii="Times New Roman" w:cs="Times New Roman" w:eastAsia="Times New Roman" w:hAnsi="Times New Roman"/>
          <w:sz w:val="24"/>
          <w:szCs w:val="24"/>
        </w:rPr>
        <w:t xml:space="preserve">This chapter has reviewed the literature relevant to the present project across four thematic areas: structural similarity search and the Tanimoto coefficient, supervised machine learning and XGBoost in cheminformatics, unsupervised novelty detection, and explainable artificial intelligence. The natural-product database landscape and the published phytochemistry of the genus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have been surveyed in support of the project's substantive focus. The literature review establishes three converging gaps that the project addresses. First, the published cheminformatics literature contains comparatively few rigorous comparisons between classifier-based and threshold-optimised similarity baselines for natural product dereplication under scaffold-aware evaluation. Second, the integration of machine-learning confidence calibration with structural similarity search and per-prediction interpretability into a deployable inference pipeline tailored to a specific phytochemistry has not previously been reported for the genus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Third, the African phytochemistry literature in general, and the </w:t>
      </w:r>
      <w:r>
        <w:rPr>
          <w:rFonts w:ascii="Times New Roman" w:cs="Times New Roman" w:eastAsia="Times New Roman" w:hAnsi="Times New Roman"/>
          <w:i/>
          <w:iCs/>
          <w:sz w:val="24"/>
          <w:szCs w:val="24"/>
        </w:rPr>
        <w:t xml:space="preserve">Z. chalybeum</w:t>
      </w:r>
      <w:r>
        <w:rPr>
          <w:rFonts w:ascii="Times New Roman" w:cs="Times New Roman" w:eastAsia="Times New Roman" w:hAnsi="Times New Roman"/>
          <w:sz w:val="24"/>
          <w:szCs w:val="24"/>
        </w:rPr>
        <w:t xml:space="preserve"> literature specifically, lacks the kind of integrated, openly available computational dereplication infrastructure that the present project sets out to provide. The methodological choices reported in Chapter 3 are designed to address each of these gaps in turn.</w:t>
      </w:r>
    </w:p>
    <w:p>
      <w:pPr>
        <w:pStyle w:val="Heading1"/>
        <w:pageBreakBefore/>
        <w:spacing w:after="360" w:before="480" w:line="360"/>
        <w:jc w:val="left"/>
      </w:pPr>
      <w:r>
        <w:rPr>
          <w:rFonts w:ascii="Times New Roman" w:cs="Times New Roman" w:eastAsia="Times New Roman" w:hAnsi="Times New Roman"/>
          <w:b/>
          <w:bCs/>
          <w:sz w:val="36"/>
          <w:szCs w:val="36"/>
        </w:rPr>
        <w:t xml:space="preserve">CHAPTER 3: RESEARCH METHODOLOGY</w:t>
      </w:r>
    </w:p>
    <w:p>
      <w:pPr>
        <w:pStyle w:val="Heading2"/>
        <w:spacing w:after="180" w:before="360" w:line="360"/>
      </w:pPr>
      <w:r>
        <w:rPr>
          <w:rFonts w:ascii="Times New Roman" w:cs="Times New Roman" w:eastAsia="Times New Roman" w:hAnsi="Times New Roman"/>
          <w:b/>
          <w:bCs/>
          <w:sz w:val="28"/>
          <w:szCs w:val="28"/>
        </w:rPr>
        <w:t xml:space="preserve">3.1  Introduction</w:t>
      </w:r>
    </w:p>
    <w:p>
      <w:pPr>
        <w:spacing w:after="180" w:line="360"/>
        <w:ind w:firstLine="360"/>
        <w:jc w:val="both"/>
      </w:pPr>
      <w:r>
        <w:rPr>
          <w:rFonts w:ascii="Times New Roman" w:cs="Times New Roman" w:eastAsia="Times New Roman" w:hAnsi="Times New Roman"/>
          <w:sz w:val="24"/>
          <w:szCs w:val="24"/>
        </w:rPr>
        <w:t xml:space="preserve">This chapter describes the methodology used to address the research questions stated in Section 1.6. The chapter follows the structure prescribed by the School of Information Sciences and Technology project documentation guidelines: an overall research design and methodological approach, a description of data sources and dataset construction, an enumeration of research materials and tools, the data modelling methodology, the evaluation framework, the ethical considerations governing the work, and a chapter summary. The methodological choices documented here were made to satisfy three competing requirements: methodological rigour adequate for peer-reviewed publication, computational tractability on the resources available to a Master of Technology student, and infrastructural reproducibility consistent with open-source release of the resulting tool.</w:t>
      </w:r>
    </w:p>
    <w:p>
      <w:pPr>
        <w:pStyle w:val="Heading2"/>
        <w:spacing w:after="180" w:before="360" w:line="360"/>
      </w:pPr>
      <w:r>
        <w:rPr>
          <w:rFonts w:ascii="Times New Roman" w:cs="Times New Roman" w:eastAsia="Times New Roman" w:hAnsi="Times New Roman"/>
          <w:b/>
          <w:bCs/>
          <w:sz w:val="28"/>
          <w:szCs w:val="28"/>
        </w:rPr>
        <w:t xml:space="preserve">3.2  Research Design and Methodological Approach</w:t>
      </w:r>
    </w:p>
    <w:p>
      <w:pPr>
        <w:spacing w:after="180" w:line="360"/>
        <w:ind w:firstLine="360"/>
        <w:jc w:val="both"/>
      </w:pPr>
      <w:r>
        <w:rPr>
          <w:rFonts w:ascii="Times New Roman" w:cs="Times New Roman" w:eastAsia="Times New Roman" w:hAnsi="Times New Roman"/>
          <w:sz w:val="24"/>
          <w:szCs w:val="24"/>
        </w:rPr>
        <w:t xml:space="preserve">The project adopts a quantitative, design-science research methodology with an empirical-comparative evaluation component. The design-science framing is appropriate because the project's principal output is an artifact — a deployable computational pipeline — rather than a hypothesis test or descriptive observation. The empirical-comparative evaluation component is necessary because the project's methodological contribution rests on the systematic comparison of multiple algorithmic approaches under a common evaluation protocol, and on the demonstration that a particular architectural choice (the confidence-layer reframing) produces measurably better behaviour on a specific failure mode of the baseline approach.</w:t>
      </w:r>
    </w:p>
    <w:p>
      <w:pPr>
        <w:spacing w:after="180" w:line="360"/>
        <w:ind w:firstLine="360"/>
        <w:jc w:val="both"/>
      </w:pPr>
      <w:r>
        <w:rPr>
          <w:rFonts w:ascii="Times New Roman" w:cs="Times New Roman" w:eastAsia="Times New Roman" w:hAnsi="Times New Roman"/>
          <w:sz w:val="24"/>
          <w:szCs w:val="24"/>
        </w:rPr>
        <w:t xml:space="preserve">The research design proceeds through six sequential phases. Phase one constructs an integrated reference dataset from public natural product databases, with standardisation, deduplication, and feature engineering as described in Section 3.3 below. Phase two designs and executes a benchmark experiment comparing four classifier-based novelty-detection approaches against threshold-optimised structural similarity, under scaffold-aware cross-validation across six chemically distinct hold-out classes. Phase three, motivated by the benchmark outcome, designs and trains the proposed confidence-layer architecture and evaluates its performance on the chemically meaningful sub-task of distinguishing true matches from chance similarities at high Tanimoto values. Phase four computes SHAP attributions on the trained confidence-layer model to characterise its global feature importance and per-prediction explanations. Phase five integrates the trained confidence model with structural similarity search, an applicability-domain check, and PubChem cross-reference into a four-layer inference pipeline, deployed as a Streamlit web application. Phase six validates the deployed pipeline qualitatively against five compounds isolated from local </w:t>
      </w:r>
      <w:r>
        <w:rPr>
          <w:rFonts w:ascii="Times New Roman" w:cs="Times New Roman" w:eastAsia="Times New Roman" w:hAnsi="Times New Roman"/>
          <w:i/>
          <w:iCs/>
          <w:sz w:val="24"/>
          <w:szCs w:val="24"/>
        </w:rPr>
        <w:t xml:space="preserve">Z. chalybeum</w:t>
      </w:r>
      <w:r>
        <w:rPr>
          <w:rFonts w:ascii="Times New Roman" w:cs="Times New Roman" w:eastAsia="Times New Roman" w:hAnsi="Times New Roman"/>
          <w:sz w:val="24"/>
          <w:szCs w:val="24"/>
        </w:rPr>
        <w:t xml:space="preserve"> plant material, supplied by the supervisory team and the African Institute of Biomedical Science and Technology.</w:t>
      </w:r>
    </w:p>
    <w:p>
      <w:pPr>
        <w:spacing w:after="180" w:line="360"/>
        <w:ind w:firstLine="360"/>
        <w:jc w:val="both"/>
      </w:pPr>
      <w:r>
        <w:rPr>
          <w:rFonts w:ascii="Times New Roman" w:cs="Times New Roman" w:eastAsia="Times New Roman" w:hAnsi="Times New Roman"/>
          <w:sz w:val="24"/>
          <w:szCs w:val="24"/>
        </w:rPr>
        <w:t xml:space="preserve">Each phase produces specific artifacts that feed into subsequent phases. The standardised reference dataset and computed feature matrices from phase one are inputs to all subsequent phases. The benchmark results from phase two motivate the architectural reframing in phase three. The trained confidence-layer model from phase three is the central component of the inference pipeline assembled in phase five. The SHAP attribution results from phase four are integrated into the deployed application as per-prediction explanations. The case study results from phase six provide qualitative validation of pipeline behaviour on real local chemistry. The full sequence of phases is captured in the open-source code repository under version control, supporting reproducibility of the complete workflow.</w:t>
      </w:r>
    </w:p>
    <w:p>
      <w:pPr>
        <w:pStyle w:val="Heading2"/>
        <w:spacing w:after="180" w:before="360" w:line="360"/>
      </w:pPr>
      <w:r>
        <w:rPr>
          <w:rFonts w:ascii="Times New Roman" w:cs="Times New Roman" w:eastAsia="Times New Roman" w:hAnsi="Times New Roman"/>
          <w:b/>
          <w:bCs/>
          <w:sz w:val="28"/>
          <w:szCs w:val="28"/>
        </w:rPr>
        <w:t xml:space="preserve">3.3  Data Sources and Dataset Description</w:t>
      </w:r>
    </w:p>
    <w:p>
      <w:pPr>
        <w:spacing w:after="180" w:line="360"/>
        <w:ind w:firstLine="360"/>
        <w:jc w:val="both"/>
      </w:pPr>
      <w:r>
        <w:rPr>
          <w:rFonts w:ascii="Times New Roman" w:cs="Times New Roman" w:eastAsia="Times New Roman" w:hAnsi="Times New Roman"/>
          <w:sz w:val="24"/>
          <w:szCs w:val="24"/>
        </w:rPr>
        <w:t xml:space="preserve">The project's reference dataset was constructed by aggregating five complementary public chemical databases. From the COCONUT database, the May 2026 release was obtained as a single CSV file (</w:t>
      </w:r>
      <w:r>
        <w:rPr>
          <w:rFonts w:ascii="Courier New" w:cs="Courier New" w:eastAsia="Courier New" w:hAnsi="Courier New"/>
          <w:sz w:val="22"/>
          <w:szCs w:val="22"/>
        </w:rPr>
        <w:t xml:space="preserve">coconut_csv-05-2026.csv</w:t>
      </w:r>
      <w:r>
        <w:rPr>
          <w:rFonts w:ascii="Times New Roman" w:cs="Times New Roman" w:eastAsia="Times New Roman" w:hAnsi="Times New Roman"/>
          <w:sz w:val="24"/>
          <w:szCs w:val="24"/>
        </w:rPr>
        <w:t xml:space="preserve">), comprising approximately 695,000 unique natural product structures and including the AfroDB and ConMedNP collections of African-sourced compounds. From the ChEMBL database, release 36 was obtained in flat-file format (</w:t>
      </w:r>
      <w:r>
        <w:rPr>
          <w:rFonts w:ascii="Courier New" w:cs="Courier New" w:eastAsia="Courier New" w:hAnsi="Courier New"/>
          <w:sz w:val="22"/>
          <w:szCs w:val="22"/>
        </w:rPr>
        <w:t xml:space="preserve">chembl_36_chemreps.txt</w:t>
      </w:r>
      <w:r>
        <w:rPr>
          <w:rFonts w:ascii="Times New Roman" w:cs="Times New Roman" w:eastAsia="Times New Roman" w:hAnsi="Times New Roman"/>
          <w:sz w:val="24"/>
          <w:szCs w:val="24"/>
        </w:rPr>
        <w:t xml:space="preserve">), providing approximately 2.78 million standardised structures with curated bioactivity associations. From the Natural Products Atlas, version 2024_09 was obtained, providing approximately 50,000 microbial natural products with high-quality structural validation and source-organism annotation. PubChem was used at inference time only, via its REST application programming interface, to provide real-time cross-reference for novelty verification within the deployed pipeline. SwissTargetPrediction was used at inference time to provide independent verification of bioactivity hypotheses for novel-flagged compounds.</w:t>
      </w:r>
    </w:p>
    <w:p>
      <w:pPr>
        <w:spacing w:after="180" w:line="360"/>
        <w:ind w:firstLine="360"/>
        <w:jc w:val="both"/>
      </w:pPr>
      <w:r>
        <w:rPr>
          <w:rFonts w:ascii="Times New Roman" w:cs="Times New Roman" w:eastAsia="Times New Roman" w:hAnsi="Times New Roman"/>
          <w:sz w:val="24"/>
          <w:szCs w:val="24"/>
        </w:rPr>
        <w:t xml:space="preserve">All compound structures were standardised using RDKit through a four-step pipeline: largest-fragment selection (</w:t>
      </w:r>
      <w:r>
        <w:rPr>
          <w:rFonts w:ascii="Courier New" w:cs="Courier New" w:eastAsia="Courier New" w:hAnsi="Courier New"/>
          <w:sz w:val="22"/>
          <w:szCs w:val="22"/>
        </w:rPr>
        <w:t xml:space="preserve">FragmentParent</w:t>
      </w:r>
      <w:r>
        <w:rPr>
          <w:rFonts w:ascii="Times New Roman" w:cs="Times New Roman" w:eastAsia="Times New Roman" w:hAnsi="Times New Roman"/>
          <w:sz w:val="24"/>
          <w:szCs w:val="24"/>
        </w:rPr>
        <w:t xml:space="preserve">), neutralisation of charged species (</w:t>
      </w:r>
      <w:r>
        <w:rPr>
          <w:rFonts w:ascii="Courier New" w:cs="Courier New" w:eastAsia="Courier New" w:hAnsi="Courier New"/>
          <w:sz w:val="22"/>
          <w:szCs w:val="22"/>
        </w:rPr>
        <w:t xml:space="preserve">Uncharger</w:t>
      </w:r>
      <w:r>
        <w:rPr>
          <w:rFonts w:ascii="Times New Roman" w:cs="Times New Roman" w:eastAsia="Times New Roman" w:hAnsi="Times New Roman"/>
          <w:sz w:val="24"/>
          <w:szCs w:val="24"/>
        </w:rPr>
        <w:t xml:space="preserve">), normalisation of common functional-group representations (</w:t>
      </w:r>
      <w:r>
        <w:rPr>
          <w:rFonts w:ascii="Courier New" w:cs="Courier New" w:eastAsia="Courier New" w:hAnsi="Courier New"/>
          <w:sz w:val="22"/>
          <w:szCs w:val="22"/>
        </w:rPr>
        <w:t xml:space="preserve">Normalizer</w:t>
      </w:r>
      <w:r>
        <w:rPr>
          <w:rFonts w:ascii="Times New Roman" w:cs="Times New Roman" w:eastAsia="Times New Roman" w:hAnsi="Times New Roman"/>
          <w:sz w:val="24"/>
          <w:szCs w:val="24"/>
        </w:rPr>
        <w:t xml:space="preserve">), and canonical tautomer selection (</w:t>
      </w:r>
      <w:r>
        <w:rPr>
          <w:rFonts w:ascii="Courier New" w:cs="Courier New" w:eastAsia="Courier New" w:hAnsi="Courier New"/>
          <w:sz w:val="22"/>
          <w:szCs w:val="22"/>
        </w:rPr>
        <w:t xml:space="preserve">TautomerEnumerator</w:t>
      </w:r>
      <w:r>
        <w:rPr>
          <w:rFonts w:ascii="Times New Roman" w:cs="Times New Roman" w:eastAsia="Times New Roman" w:hAnsi="Times New Roman"/>
          <w:sz w:val="24"/>
          <w:szCs w:val="24"/>
        </w:rPr>
        <w:t xml:space="preserve">). Standardised structures were encoded as canonical SMILES and as InChIKeys, and deduplication across the three sources was performed by InChIKey identity. The integrated reference set comprised </w:t>
      </w:r>
      <w:r>
        <w:rPr>
          <w:rFonts w:ascii="Times New Roman" w:cs="Times New Roman" w:eastAsia="Times New Roman" w:hAnsi="Times New Roman"/>
          <w:b/>
          <w:bCs/>
          <w:sz w:val="24"/>
          <w:szCs w:val="24"/>
        </w:rPr>
        <w:t xml:space="preserve">3,511,178 unique compounds</w:t>
      </w:r>
      <w:r>
        <w:rPr>
          <w:rFonts w:ascii="Times New Roman" w:cs="Times New Roman" w:eastAsia="Times New Roman" w:hAnsi="Times New Roman"/>
          <w:sz w:val="24"/>
          <w:szCs w:val="24"/>
        </w:rPr>
        <w:t xml:space="preserve">.</w:t>
      </w:r>
    </w:p>
    <w:p>
      <w:pPr>
        <w:spacing w:after="180" w:line="360"/>
        <w:ind w:firstLine="360"/>
        <w:jc w:val="both"/>
      </w:pPr>
      <w:r>
        <w:rPr>
          <w:rFonts w:ascii="Times New Roman" w:cs="Times New Roman" w:eastAsia="Times New Roman" w:hAnsi="Times New Roman"/>
          <w:sz w:val="24"/>
          <w:szCs w:val="24"/>
        </w:rPr>
        <w:t xml:space="preserve">From this integrated reference, </w:t>
      </w:r>
      <w:r>
        <w:rPr>
          <w:rFonts w:ascii="Times New Roman" w:cs="Times New Roman" w:eastAsia="Times New Roman" w:hAnsi="Times New Roman"/>
          <w:b/>
          <w:bCs/>
          <w:sz w:val="24"/>
          <w:szCs w:val="24"/>
        </w:rPr>
        <w:t xml:space="preserve">2,294 compounds</w:t>
      </w:r>
      <w:r>
        <w:rPr>
          <w:rFonts w:ascii="Times New Roman" w:cs="Times New Roman" w:eastAsia="Times New Roman" w:hAnsi="Times New Roman"/>
          <w:sz w:val="24"/>
          <w:szCs w:val="24"/>
        </w:rPr>
        <w:t xml:space="preserve"> carrying organism annotations matching the genus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were extracted to constitute the dereplication reference for </w:t>
      </w:r>
      <w:r>
        <w:rPr>
          <w:rFonts w:ascii="Times New Roman" w:cs="Times New Roman" w:eastAsia="Times New Roman" w:hAnsi="Times New Roman"/>
          <w:i/>
          <w:iCs/>
          <w:sz w:val="24"/>
          <w:szCs w:val="24"/>
        </w:rPr>
        <w:t xml:space="preserve">Z. chalybeum</w:t>
      </w:r>
      <w:r>
        <w:rPr>
          <w:rFonts w:ascii="Times New Roman" w:cs="Times New Roman" w:eastAsia="Times New Roman" w:hAnsi="Times New Roman"/>
          <w:sz w:val="24"/>
          <w:szCs w:val="24"/>
        </w:rPr>
        <w:t xml:space="preserve"> phytochemistry used throughout the project. The standardised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subset spanned a chemically diverse range of physicochemical properties, with median molecular weight 327 daltons, median octanol–water partition coefficient (LogP) 2.87, and median topological polar surface area (TPSA) 59 square ångströms, consistent with secondary-metabolite chemistry rather than pharmaceutical-like or peptidic chemistry. Bemis–Murcko scaffold analysis identified 970 unique scaffolds across the 2,294 compounds, corresponding to a mean of 2.4 compounds per scaffold and supporting the scaffold-aware cross-validation protocol used in the benchmark experiments described in Section 3.5.</w:t>
      </w:r>
    </w:p>
    <w:p>
      <w:pPr>
        <w:spacing w:after="180" w:line="360"/>
        <w:ind w:firstLine="360"/>
        <w:jc w:val="both"/>
      </w:pPr>
      <w:r>
        <w:rPr>
          <w:rFonts w:ascii="Times New Roman" w:cs="Times New Roman" w:eastAsia="Times New Roman" w:hAnsi="Times New Roman"/>
          <w:sz w:val="24"/>
          <w:szCs w:val="24"/>
        </w:rPr>
        <w:t xml:space="preserve">A small set of compounds isolated from local </w:t>
      </w:r>
      <w:r>
        <w:rPr>
          <w:rFonts w:ascii="Times New Roman" w:cs="Times New Roman" w:eastAsia="Times New Roman" w:hAnsi="Times New Roman"/>
          <w:i/>
          <w:iCs/>
          <w:sz w:val="24"/>
          <w:szCs w:val="24"/>
        </w:rPr>
        <w:t xml:space="preserve">Z. chalybeum</w:t>
      </w:r>
      <w:r>
        <w:rPr>
          <w:rFonts w:ascii="Times New Roman" w:cs="Times New Roman" w:eastAsia="Times New Roman" w:hAnsi="Times New Roman"/>
          <w:sz w:val="24"/>
          <w:szCs w:val="24"/>
        </w:rPr>
        <w:t xml:space="preserve"> plant material was obtained through collaboration with the African Institute of Biomedical Science and Technology and the supervisory team. Structures were proposed by the isolating team based on existing characterisation work and provided as canonical SMILES strings together with proposed compound names and structural-class assignments. Comprehensive validation by NMR and high-resolution mass spectrometry by the isolating team is in progress and falls outside the scope of the present computational study. The compound set is used here strictly as a real-world case study illustrating the qualitative behaviour of the deployed pipeline on locally relevant chemistry; results are reported in Chapter 4.</w:t>
      </w:r>
    </w:p>
    <w:p>
      <w:pPr>
        <w:pStyle w:val="Heading2"/>
        <w:spacing w:after="180" w:before="360" w:line="360"/>
      </w:pPr>
      <w:r>
        <w:rPr>
          <w:rFonts w:ascii="Times New Roman" w:cs="Times New Roman" w:eastAsia="Times New Roman" w:hAnsi="Times New Roman"/>
          <w:b/>
          <w:bCs/>
          <w:sz w:val="28"/>
          <w:szCs w:val="28"/>
        </w:rPr>
        <w:t xml:space="preserve">3.4  Research Materials and Tools</w:t>
      </w:r>
    </w:p>
    <w:p>
      <w:pPr>
        <w:spacing w:after="180" w:line="360"/>
        <w:ind w:firstLine="360"/>
        <w:jc w:val="both"/>
      </w:pPr>
      <w:r>
        <w:rPr>
          <w:rFonts w:ascii="Times New Roman" w:cs="Times New Roman" w:eastAsia="Times New Roman" w:hAnsi="Times New Roman"/>
          <w:sz w:val="24"/>
          <w:szCs w:val="24"/>
        </w:rPr>
        <w:t xml:space="preserve">The project was implemented entirely in Python (version 3.11) using a combination of open-source scientific computing libraries. The principal software dependencies, all licensed under permissive open-source terms, are enumerated below.</w:t>
      </w:r>
    </w:p>
    <w:p>
      <w:pPr>
        <w:pStyle w:val="ListParagraph"/>
        <w:numPr>
          <w:ilvl w:val="0"/>
          <w:numId w:val="3"/>
        </w:numPr>
        <w:spacing w:after="60" w:line="360"/>
      </w:pPr>
      <w:r>
        <w:rPr>
          <w:rFonts w:ascii="Times New Roman" w:cs="Times New Roman" w:eastAsia="Times New Roman" w:hAnsi="Times New Roman"/>
          <w:b/>
          <w:bCs/>
          <w:sz w:val="24"/>
          <w:szCs w:val="24"/>
        </w:rPr>
        <w:t xml:space="preserve">RDKit (version 2024.09): </w:t>
      </w:r>
      <w:r>
        <w:rPr>
          <w:rFonts w:ascii="Times New Roman" w:cs="Times New Roman" w:eastAsia="Times New Roman" w:hAnsi="Times New Roman"/>
          <w:sz w:val="24"/>
          <w:szCs w:val="24"/>
        </w:rPr>
        <w:t xml:space="preserve">the standard open-source cheminformatics library, used for SMILES parsing, structure standardisation, ECFP4 fingerprint generation, physicochemical descriptor computation, Bemis–Murcko scaffold extraction, and 2D structure rendering.</w:t>
      </w:r>
    </w:p>
    <w:p>
      <w:pPr>
        <w:pStyle w:val="ListParagraph"/>
        <w:numPr>
          <w:ilvl w:val="0"/>
          <w:numId w:val="3"/>
        </w:numPr>
        <w:spacing w:after="60" w:line="360"/>
      </w:pPr>
      <w:r>
        <w:rPr>
          <w:rFonts w:ascii="Times New Roman" w:cs="Times New Roman" w:eastAsia="Times New Roman" w:hAnsi="Times New Roman"/>
          <w:b/>
          <w:bCs/>
          <w:sz w:val="24"/>
          <w:szCs w:val="24"/>
        </w:rPr>
        <w:t xml:space="preserve">scikit-learn (version 1.4): </w:t>
      </w:r>
      <w:r>
        <w:rPr>
          <w:rFonts w:ascii="Times New Roman" w:cs="Times New Roman" w:eastAsia="Times New Roman" w:hAnsi="Times New Roman"/>
          <w:sz w:val="24"/>
          <w:szCs w:val="24"/>
        </w:rPr>
        <w:t xml:space="preserve">the standard machine-learning library, used for the GroupShuffleSplit scaffold-aware cross-validation utility, for the SMOTE class-balancing algorithm, for the Isolation Forest, One-Class SVM, and Local Outlier Factor baseline implementations, and for the standard classification metric implementations (MCC, F1, ROC-AUC, precision-recall AUC).</w:t>
      </w:r>
    </w:p>
    <w:p>
      <w:pPr>
        <w:pStyle w:val="ListParagraph"/>
        <w:numPr>
          <w:ilvl w:val="0"/>
          <w:numId w:val="3"/>
        </w:numPr>
        <w:spacing w:after="60" w:line="360"/>
      </w:pPr>
      <w:r>
        <w:rPr>
          <w:rFonts w:ascii="Times New Roman" w:cs="Times New Roman" w:eastAsia="Times New Roman" w:hAnsi="Times New Roman"/>
          <w:b/>
          <w:bCs/>
          <w:sz w:val="24"/>
          <w:szCs w:val="24"/>
        </w:rPr>
        <w:t xml:space="preserve">XGBoost (version 2.0): </w:t>
      </w:r>
      <w:r>
        <w:rPr>
          <w:rFonts w:ascii="Times New Roman" w:cs="Times New Roman" w:eastAsia="Times New Roman" w:hAnsi="Times New Roman"/>
          <w:sz w:val="24"/>
          <w:szCs w:val="24"/>
        </w:rPr>
        <w:t xml:space="preserve">the gradient-boosted decision tree implementation used for both the supervised baseline classifier and the proposed confidence-layer model.</w:t>
      </w:r>
    </w:p>
    <w:p>
      <w:pPr>
        <w:pStyle w:val="ListParagraph"/>
        <w:numPr>
          <w:ilvl w:val="0"/>
          <w:numId w:val="3"/>
        </w:numPr>
        <w:spacing w:after="60" w:line="360"/>
      </w:pPr>
      <w:r>
        <w:rPr>
          <w:rFonts w:ascii="Times New Roman" w:cs="Times New Roman" w:eastAsia="Times New Roman" w:hAnsi="Times New Roman"/>
          <w:b/>
          <w:bCs/>
          <w:sz w:val="24"/>
          <w:szCs w:val="24"/>
        </w:rPr>
        <w:t xml:space="preserve">SHAP (version 0.44): </w:t>
      </w:r>
      <w:r>
        <w:rPr>
          <w:rFonts w:ascii="Times New Roman" w:cs="Times New Roman" w:eastAsia="Times New Roman" w:hAnsi="Times New Roman"/>
          <w:sz w:val="24"/>
          <w:szCs w:val="24"/>
        </w:rPr>
        <w:t xml:space="preserve">the implementation of TreeSHAP used to compute per-prediction feature attributions on the trained confidence-layer model.</w:t>
      </w:r>
    </w:p>
    <w:p>
      <w:pPr>
        <w:pStyle w:val="ListParagraph"/>
        <w:numPr>
          <w:ilvl w:val="0"/>
          <w:numId w:val="3"/>
        </w:numPr>
        <w:spacing w:after="60" w:line="360"/>
      </w:pPr>
      <w:r>
        <w:rPr>
          <w:rFonts w:ascii="Times New Roman" w:cs="Times New Roman" w:eastAsia="Times New Roman" w:hAnsi="Times New Roman"/>
          <w:b/>
          <w:bCs/>
          <w:sz w:val="24"/>
          <w:szCs w:val="24"/>
        </w:rPr>
        <w:t xml:space="preserve">pandas (version 2.1) and NumPy (version 1.26): </w:t>
      </w:r>
      <w:r>
        <w:rPr>
          <w:rFonts w:ascii="Times New Roman" w:cs="Times New Roman" w:eastAsia="Times New Roman" w:hAnsi="Times New Roman"/>
          <w:sz w:val="24"/>
          <w:szCs w:val="24"/>
        </w:rPr>
        <w:t xml:space="preserve">general-purpose tabular data manipulation and numerical array libraries used throughout.</w:t>
      </w:r>
    </w:p>
    <w:p>
      <w:pPr>
        <w:pStyle w:val="ListParagraph"/>
        <w:numPr>
          <w:ilvl w:val="0"/>
          <w:numId w:val="3"/>
        </w:numPr>
        <w:spacing w:after="60" w:line="360"/>
      </w:pPr>
      <w:r>
        <w:rPr>
          <w:rFonts w:ascii="Times New Roman" w:cs="Times New Roman" w:eastAsia="Times New Roman" w:hAnsi="Times New Roman"/>
          <w:b/>
          <w:bCs/>
          <w:sz w:val="24"/>
          <w:szCs w:val="24"/>
        </w:rPr>
        <w:t xml:space="preserve">Streamlit (version 1.30): </w:t>
      </w:r>
      <w:r>
        <w:rPr>
          <w:rFonts w:ascii="Times New Roman" w:cs="Times New Roman" w:eastAsia="Times New Roman" w:hAnsi="Times New Roman"/>
          <w:sz w:val="24"/>
          <w:szCs w:val="24"/>
        </w:rPr>
        <w:t xml:space="preserve">the open-source Python web application framework used to deploy the trained inference pipeline as an interactive cloud-hosted application.</w:t>
      </w:r>
    </w:p>
    <w:p>
      <w:pPr>
        <w:pStyle w:val="ListParagraph"/>
        <w:numPr>
          <w:ilvl w:val="0"/>
          <w:numId w:val="3"/>
        </w:numPr>
        <w:spacing w:after="60" w:line="360"/>
      </w:pPr>
      <w:r>
        <w:rPr>
          <w:rFonts w:ascii="Times New Roman" w:cs="Times New Roman" w:eastAsia="Times New Roman" w:hAnsi="Times New Roman"/>
          <w:b/>
          <w:bCs/>
          <w:sz w:val="24"/>
          <w:szCs w:val="24"/>
        </w:rPr>
        <w:t xml:space="preserve">Matplotlib (version 3.8) and Seaborn: </w:t>
      </w:r>
      <w:r>
        <w:rPr>
          <w:rFonts w:ascii="Times New Roman" w:cs="Times New Roman" w:eastAsia="Times New Roman" w:hAnsi="Times New Roman"/>
          <w:sz w:val="24"/>
          <w:szCs w:val="24"/>
        </w:rPr>
        <w:t xml:space="preserve">scientific visualisation libraries used to generate publication-quality figures.</w:t>
      </w:r>
    </w:p>
    <w:p>
      <w:pPr>
        <w:pStyle w:val="ListParagraph"/>
        <w:numPr>
          <w:ilvl w:val="0"/>
          <w:numId w:val="3"/>
        </w:numPr>
        <w:spacing w:after="60" w:line="360"/>
      </w:pPr>
      <w:r>
        <w:rPr>
          <w:rFonts w:ascii="Times New Roman" w:cs="Times New Roman" w:eastAsia="Times New Roman" w:hAnsi="Times New Roman"/>
          <w:b/>
          <w:bCs/>
          <w:sz w:val="24"/>
          <w:szCs w:val="24"/>
        </w:rPr>
        <w:t xml:space="preserve">PubChem REST API and SwissTargetPrediction: </w:t>
      </w:r>
      <w:r>
        <w:rPr>
          <w:rFonts w:ascii="Times New Roman" w:cs="Times New Roman" w:eastAsia="Times New Roman" w:hAnsi="Times New Roman"/>
          <w:sz w:val="24"/>
          <w:szCs w:val="24"/>
        </w:rPr>
        <w:t xml:space="preserve">external web services queried at inference time within the deployed pipeline for global chemical novelty verification and bioactivity hypothesis generation, respectively.</w:t>
      </w:r>
    </w:p>
    <w:p>
      <w:pPr>
        <w:spacing w:after="180" w:line="360"/>
        <w:ind w:firstLine="360"/>
        <w:jc w:val="both"/>
      </w:pPr>
      <w:r>
        <w:rPr>
          <w:rFonts w:ascii="Times New Roman" w:cs="Times New Roman" w:eastAsia="Times New Roman" w:hAnsi="Times New Roman"/>
          <w:sz w:val="24"/>
          <w:szCs w:val="24"/>
        </w:rPr>
        <w:t xml:space="preserve">Development was conducted on a Windows 11 workstation with 32 GB of RAM and an Intel Core i7 processor. Long-running computations, particularly the construction of the pairwise Tanimoto similarity matrix used to label confidence-layer training pairs, were executed on Google Colab to take advantage of the larger memory allocations available there. Source code, model artifacts, and reference data were managed under Git version control and hosted publicly on GitHub at https://github.com/epmanyonganise/afroxai-derep, with a permanent archival snapshot of the v1.0.0 release deposited on Zenodo with concept DOI 10.5281/zenodo.20008811.</w:t>
      </w:r>
    </w:p>
    <w:p>
      <w:pPr>
        <w:pStyle w:val="Heading2"/>
        <w:spacing w:after="180" w:before="360" w:line="360"/>
      </w:pPr>
      <w:r>
        <w:rPr>
          <w:rFonts w:ascii="Times New Roman" w:cs="Times New Roman" w:eastAsia="Times New Roman" w:hAnsi="Times New Roman"/>
          <w:b/>
          <w:bCs/>
          <w:sz w:val="28"/>
          <w:szCs w:val="28"/>
        </w:rPr>
        <w:t xml:space="preserve">3.5  Data Modelling Methodology</w:t>
      </w:r>
    </w:p>
    <w:p>
      <w:pPr>
        <w:pStyle w:val="Heading3"/>
        <w:spacing w:after="120" w:before="240" w:line="360"/>
      </w:pPr>
      <w:r>
        <w:rPr>
          <w:rFonts w:ascii="Times New Roman" w:cs="Times New Roman" w:eastAsia="Times New Roman" w:hAnsi="Times New Roman"/>
          <w:b/>
          <w:bCs/>
          <w:i/>
          <w:iCs/>
          <w:sz w:val="26"/>
          <w:szCs w:val="26"/>
        </w:rPr>
        <w:t xml:space="preserve">3.5.1  Feature Engineering</w:t>
      </w:r>
    </w:p>
    <w:p>
      <w:pPr>
        <w:spacing w:after="180" w:line="360"/>
        <w:ind w:firstLine="360"/>
        <w:jc w:val="both"/>
      </w:pPr>
      <w:r>
        <w:rPr>
          <w:rFonts w:ascii="Times New Roman" w:cs="Times New Roman" w:eastAsia="Times New Roman" w:hAnsi="Times New Roman"/>
          <w:sz w:val="24"/>
          <w:szCs w:val="24"/>
        </w:rPr>
        <w:t xml:space="preserve">Each standardised compound was encoded as a hybrid feature vector combining a substructural fingerprint and ten physicochemical descriptors. Fingerprints were computed as Extended-Connectivity Fingerprints of radius 2 (ECFP4), generated from RDKit Morgan generators with 2,048-bit folding. Physicochemical descriptors were computed in RDKit and comprised: molecular weight, octanol–water partition coefficient, topological polar surface area, counts of hydrogen-bond donors and acceptors, rotatable bond count, aromatic ring count, heavy atom count, total ring count, and the fraction of sp³-hybridised carbons. The resulting per-compound feature vector had dimensionality 2,058. In addition, the Bemis–Murcko scaffold of each compound was extracted using RDKit's MurckoScaffold module and stored as a canonical SMILES string for use in scaffold-aware cross-validation.</w:t>
      </w:r>
    </w:p>
    <w:p>
      <w:pPr>
        <w:pStyle w:val="Heading3"/>
        <w:spacing w:after="120" w:before="240" w:line="360"/>
      </w:pPr>
      <w:r>
        <w:rPr>
          <w:rFonts w:ascii="Times New Roman" w:cs="Times New Roman" w:eastAsia="Times New Roman" w:hAnsi="Times New Roman"/>
          <w:b/>
          <w:bCs/>
          <w:i/>
          <w:iCs/>
          <w:sz w:val="26"/>
          <w:szCs w:val="26"/>
        </w:rPr>
        <w:t xml:space="preserve">3.5.2  Benchmark Experiment Design</w:t>
      </w:r>
    </w:p>
    <w:p>
      <w:pPr>
        <w:spacing w:after="180" w:line="360"/>
        <w:ind w:firstLine="360"/>
        <w:jc w:val="both"/>
      </w:pPr>
      <w:r>
        <w:rPr>
          <w:rFonts w:ascii="Times New Roman" w:cs="Times New Roman" w:eastAsia="Times New Roman" w:hAnsi="Times New Roman"/>
          <w:sz w:val="24"/>
          <w:szCs w:val="24"/>
        </w:rPr>
        <w:t xml:space="preserve">To compare classifier-based and similarity-based approaches under realistic dereplication conditions, a multi-class hold-out benchmark experiment was designed. Six chemically diverse classes were selected to span the principal structural families of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chemistry: quinoline alkaloids, isoquinoline alkaloids, simple coumarins, flavonols, furofuranoid lignans, and gallotannins. Each class contained at least thirty compounds in the reference set. The benchmark protocol treated each class in turn as the held-out novel target, with the remaining five classes used to provide proxy positive training signal and all other reference compounds used as the negative class.</w:t>
      </w:r>
    </w:p>
    <w:p>
      <w:pPr>
        <w:spacing w:after="180" w:line="360"/>
        <w:ind w:firstLine="360"/>
        <w:jc w:val="both"/>
      </w:pPr>
      <w:r>
        <w:rPr>
          <w:rFonts w:ascii="Times New Roman" w:cs="Times New Roman" w:eastAsia="Times New Roman" w:hAnsi="Times New Roman"/>
          <w:sz w:val="24"/>
          <w:szCs w:val="24"/>
        </w:rPr>
        <w:t xml:space="preserve">Train/test splits were performed scaffold-aware using the GroupShuffleSplit utility from scikit-learn, with Bemis–Murcko scaffolds as the grouping variable and a 20% test fraction. After each split, an explicit assertion verified that no scaffold appeared in both training and test partitions; this ensured that the evaluation measured generalisation to novel chemistry rather than memorisation of substructural patterns. Severe class imbalance in the training set was addressed by Synthetic Minority Over-sampling Technique (SMOTE) applied to the training partition only, with the number of synthetic positive examples set to balance the two classes.</w:t>
      </w:r>
    </w:p>
    <w:p>
      <w:pPr>
        <w:spacing w:after="180" w:line="360"/>
        <w:ind w:firstLine="360"/>
        <w:jc w:val="both"/>
      </w:pPr>
      <w:r>
        <w:rPr>
          <w:rFonts w:ascii="Times New Roman" w:cs="Times New Roman" w:eastAsia="Times New Roman" w:hAnsi="Times New Roman"/>
          <w:sz w:val="24"/>
          <w:szCs w:val="24"/>
        </w:rPr>
        <w:t xml:space="preserve">Four classifier-based baselines were evaluated against threshold-optimised Tanimoto similarity. Supervised XGBoost was trained with 500 estimators, maximum depth 6, learning rate 0.05, and subsampling rates of 0.8 for both rows and columns. Three unsupervised novelty-detection algorithms from scikit-learn were evaluated under the same scaffold-aware splits: Isolation Forest with 200 estimators and automatic contamination estimation; One-Class SVM with radial basis function kernel and ν = 0.1, with the training set subsampled to 5,000 examples to control quadratic training cost; and Local Outlier Factor with 20 neighbours and novelty mode enabled. For all four classifiers, decision thresholds were optimised on the test set against Matthews Correlation Coefficient by exhaustive sweep across the score percentile range; this ensured each method was evaluated at its most favourable operating point. The Tanimoto baseline novelty score was defined as one minus the maximum Tanimoto coefficient between the query fingerprint and any compound in the negative training partition, with the decision threshold likewise optimised by exhaustive sweep against MCC.</w:t>
      </w:r>
    </w:p>
    <w:p>
      <w:pPr>
        <w:pStyle w:val="Heading3"/>
        <w:spacing w:after="120" w:before="240" w:line="360"/>
      </w:pPr>
      <w:r>
        <w:rPr>
          <w:rFonts w:ascii="Times New Roman" w:cs="Times New Roman" w:eastAsia="Times New Roman" w:hAnsi="Times New Roman"/>
          <w:b/>
          <w:bCs/>
          <w:i/>
          <w:iCs/>
          <w:sz w:val="26"/>
          <w:szCs w:val="26"/>
        </w:rPr>
        <w:t xml:space="preserve">3.5.3  Confidence-Layer Architecture</w:t>
      </w:r>
    </w:p>
    <w:p>
      <w:pPr>
        <w:spacing w:after="180" w:line="360"/>
        <w:ind w:firstLine="360"/>
        <w:jc w:val="both"/>
      </w:pPr>
      <w:r>
        <w:rPr>
          <w:rFonts w:ascii="Times New Roman" w:cs="Times New Roman" w:eastAsia="Times New Roman" w:hAnsi="Times New Roman"/>
          <w:sz w:val="24"/>
          <w:szCs w:val="24"/>
        </w:rPr>
        <w:t xml:space="preserve">The benchmark experiment described above was motivated by the standard cheminformatics framing of dereplication as a Known-versus-Novel classification task. The empirical outcome of that experiment, reported in Chapter 4, motivated a reformulation of the prediction task itself. Rather than train XGBoost to classify novelty directly, the proposed architecture trains XGBoost to predict whether a high-similarity Tanimoto match represents a true structural relationship between two compounds or a chance similarity arising from fingerprint hash collisions. Under this reframing, structural similarity remains the primary novelty signal, and machine learning is used to calibrate the trust placed in individual similarity matches.</w:t>
      </w:r>
    </w:p>
    <w:p>
      <w:pPr>
        <w:spacing w:after="180" w:line="360"/>
        <w:ind w:firstLine="360"/>
        <w:jc w:val="both"/>
      </w:pPr>
      <w:r>
        <w:rPr>
          <w:rFonts w:ascii="Times New Roman" w:cs="Times New Roman" w:eastAsia="Times New Roman" w:hAnsi="Times New Roman"/>
          <w:sz w:val="24"/>
          <w:szCs w:val="24"/>
        </w:rPr>
        <w:t xml:space="preserve">Training pairs were generated automatically from the standardised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reference set using a self-supervised labelling scheme. The full pairwise Tanimoto similarity matrix was computed for the 2,294 reference compounds via vectorised bit operations. Pairs were assigned to one of three categories: </w:t>
      </w:r>
      <w:r>
        <w:rPr>
          <w:rFonts w:ascii="Times New Roman" w:cs="Times New Roman" w:eastAsia="Times New Roman" w:hAnsi="Times New Roman"/>
          <w:i/>
          <w:iCs/>
          <w:sz w:val="24"/>
          <w:szCs w:val="24"/>
        </w:rPr>
        <w:t xml:space="preserve">true matches</w:t>
      </w:r>
      <w:r>
        <w:rPr>
          <w:rFonts w:ascii="Times New Roman" w:cs="Times New Roman" w:eastAsia="Times New Roman" w:hAnsi="Times New Roman"/>
          <w:sz w:val="24"/>
          <w:szCs w:val="24"/>
        </w:rPr>
        <w:t xml:space="preserve"> were defined as pairs with Tanimoto similarity ≥ 0.5 belonging to the same NPClassifier chemical class; </w:t>
      </w:r>
      <w:r>
        <w:rPr>
          <w:rFonts w:ascii="Times New Roman" w:cs="Times New Roman" w:eastAsia="Times New Roman" w:hAnsi="Times New Roman"/>
          <w:i/>
          <w:iCs/>
          <w:sz w:val="24"/>
          <w:szCs w:val="24"/>
        </w:rPr>
        <w:t xml:space="preserve">chance similarities</w:t>
      </w:r>
      <w:r>
        <w:rPr>
          <w:rFonts w:ascii="Times New Roman" w:cs="Times New Roman" w:eastAsia="Times New Roman" w:hAnsi="Times New Roman"/>
          <w:sz w:val="24"/>
          <w:szCs w:val="24"/>
        </w:rPr>
        <w:t xml:space="preserve"> were defined as pairs with Tanimoto similarity ≥ 0.5 belonging to different chemical classes; and </w:t>
      </w:r>
      <w:r>
        <w:rPr>
          <w:rFonts w:ascii="Times New Roman" w:cs="Times New Roman" w:eastAsia="Times New Roman" w:hAnsi="Times New Roman"/>
          <w:i/>
          <w:iCs/>
          <w:sz w:val="24"/>
          <w:szCs w:val="24"/>
        </w:rPr>
        <w:t xml:space="preserve">true negatives</w:t>
      </w:r>
      <w:r>
        <w:rPr>
          <w:rFonts w:ascii="Times New Roman" w:cs="Times New Roman" w:eastAsia="Times New Roman" w:hAnsi="Times New Roman"/>
          <w:sz w:val="24"/>
          <w:szCs w:val="24"/>
        </w:rPr>
        <w:t xml:space="preserve"> were defined as pairs with Tanimoto similarity &lt; 0.2, sampled to match the count of true matches. Match-versus-not-match was treated as the binary prediction target.</w:t>
      </w:r>
    </w:p>
    <w:p>
      <w:pPr>
        <w:spacing w:after="180" w:line="360"/>
        <w:ind w:firstLine="360"/>
        <w:jc w:val="both"/>
      </w:pPr>
      <w:r>
        <w:rPr>
          <w:rFonts w:ascii="Times New Roman" w:cs="Times New Roman" w:eastAsia="Times New Roman" w:hAnsi="Times New Roman"/>
          <w:sz w:val="24"/>
          <w:szCs w:val="24"/>
        </w:rPr>
        <w:t xml:space="preserve">For each compound pair, a 6,155-dimensional feature vector was constructed by concatenating: the query compound's 2,048-bit ECFP4 fingerprint; the candidate match's 2,048-bit ECFP4 fingerprint; the bitwise XOR of the two fingerprints (2,048 bits); the Tanimoto similarity of the pair (one continuous feature); and the absolute differences of the ten physicochemical descriptors (ten continuous features). The training set of pair-feature vectors was split scaffold-aware into 80% training and 20% test partitions, with the pair-scaffold-group used as the grouping variable. XGBoost was trained on this set with the same hyperparameters used in the supervised baseline. The trained model produced a calibrated probability between zero and one for each query–candidate pair, referred to throughout as the </w:t>
      </w:r>
      <w:r>
        <w:rPr>
          <w:rFonts w:ascii="Times New Roman" w:cs="Times New Roman" w:eastAsia="Times New Roman" w:hAnsi="Times New Roman"/>
          <w:i/>
          <w:iCs/>
          <w:sz w:val="24"/>
          <w:szCs w:val="24"/>
        </w:rPr>
        <w:t xml:space="preserve">match confidence</w:t>
      </w:r>
      <w:r>
        <w:rPr>
          <w:rFonts w:ascii="Times New Roman" w:cs="Times New Roman" w:eastAsia="Times New Roman" w:hAnsi="Times New Roman"/>
          <w:sz w:val="24"/>
          <w:szCs w:val="24"/>
        </w:rPr>
        <w:t xml:space="preserve"> score.</w:t>
      </w:r>
    </w:p>
    <w:p>
      <w:pPr>
        <w:pStyle w:val="Heading3"/>
        <w:spacing w:after="120" w:before="240" w:line="360"/>
      </w:pPr>
      <w:r>
        <w:rPr>
          <w:rFonts w:ascii="Times New Roman" w:cs="Times New Roman" w:eastAsia="Times New Roman" w:hAnsi="Times New Roman"/>
          <w:b/>
          <w:bCs/>
          <w:i/>
          <w:iCs/>
          <w:sz w:val="26"/>
          <w:szCs w:val="26"/>
        </w:rPr>
        <w:t xml:space="preserve">3.5.4  Inference Pipeline and Applicability-Domain Check</w:t>
      </w:r>
    </w:p>
    <w:p>
      <w:pPr>
        <w:spacing w:after="180" w:line="360"/>
        <w:ind w:firstLine="360"/>
        <w:jc w:val="both"/>
      </w:pPr>
      <w:r>
        <w:rPr>
          <w:rFonts w:ascii="Times New Roman" w:cs="Times New Roman" w:eastAsia="Times New Roman" w:hAnsi="Times New Roman"/>
          <w:sz w:val="24"/>
          <w:szCs w:val="24"/>
        </w:rPr>
        <w:t xml:space="preserve">The trained confidence-layer model was integrated with three additional components into a four-layer inference pipeline: structural similarity search, learned match-confidence calibration, an applicability-domain check, and PubChem cross-reference. For a query compound supplied as a SMILES string, the pipeline first standardised the structure through the same RDKit pipeline used during reference construction, computed ECFP4 fingerprints and physicochemical descriptors, and identified the top-K (default K = 10) nearest reference compounds by Tanimoto similarity. For each candidate, the pair-feature vector was constructed and passed to the trained XGBoost confidence model, producing a match-confidence score.</w:t>
      </w:r>
    </w:p>
    <w:p>
      <w:pPr>
        <w:spacing w:after="180" w:line="360"/>
        <w:ind w:firstLine="360"/>
        <w:jc w:val="both"/>
      </w:pPr>
      <w:r>
        <w:rPr>
          <w:rFonts w:ascii="Times New Roman" w:cs="Times New Roman" w:eastAsia="Times New Roman" w:hAnsi="Times New Roman"/>
          <w:sz w:val="24"/>
          <w:szCs w:val="24"/>
        </w:rPr>
        <w:t xml:space="preserve">The verdict combining these signals was determined by the following rule. Queries with maximum Tanimoto similarity below 0.55 were considered outside the model's applicability domain. Within the applicability domain, queries received verdict </w:t>
      </w:r>
      <w:r>
        <w:rPr>
          <w:rFonts w:ascii="Courier New" w:cs="Courier New" w:eastAsia="Courier New" w:hAnsi="Courier New"/>
          <w:sz w:val="22"/>
          <w:szCs w:val="22"/>
        </w:rPr>
        <w:t xml:space="preserve">KNOWN</w:t>
      </w:r>
      <w:r>
        <w:rPr>
          <w:rFonts w:ascii="Times New Roman" w:cs="Times New Roman" w:eastAsia="Times New Roman" w:hAnsi="Times New Roman"/>
          <w:sz w:val="24"/>
          <w:szCs w:val="24"/>
        </w:rPr>
        <w:t xml:space="preserve"> when both confidence ≥ 0.85 and similarity ≥ 0.70, </w:t>
      </w:r>
      <w:r>
        <w:rPr>
          <w:rFonts w:ascii="Courier New" w:cs="Courier New" w:eastAsia="Courier New" w:hAnsi="Courier New"/>
          <w:sz w:val="22"/>
          <w:szCs w:val="22"/>
        </w:rPr>
        <w:t xml:space="preserve">POSSIBLY_NOVEL</w:t>
      </w:r>
      <w:r>
        <w:rPr>
          <w:rFonts w:ascii="Times New Roman" w:cs="Times New Roman" w:eastAsia="Times New Roman" w:hAnsi="Times New Roman"/>
          <w:sz w:val="24"/>
          <w:szCs w:val="24"/>
        </w:rPr>
        <w:t xml:space="preserve"> when confidence ≥ 0.50, and </w:t>
      </w:r>
      <w:r>
        <w:rPr>
          <w:rFonts w:ascii="Courier New" w:cs="Courier New" w:eastAsia="Courier New" w:hAnsi="Courier New"/>
          <w:sz w:val="22"/>
          <w:szCs w:val="22"/>
        </w:rPr>
        <w:t xml:space="preserve">NOVEL</w:t>
      </w:r>
      <w:r>
        <w:rPr>
          <w:rFonts w:ascii="Times New Roman" w:cs="Times New Roman" w:eastAsia="Times New Roman" w:hAnsi="Times New Roman"/>
          <w:sz w:val="24"/>
          <w:szCs w:val="24"/>
        </w:rPr>
        <w:t xml:space="preserve"> otherwise. The PubChem cross-reference was implemented as a real-time REST API query against the compound/inchikey endpoint, using the standardised query InChIKey as the lookup. A query flagged as novel by the internal pipeline but found in PubChem received the modified verdict </w:t>
      </w:r>
      <w:r>
        <w:rPr>
          <w:rFonts w:ascii="Courier New" w:cs="Courier New" w:eastAsia="Courier New" w:hAnsi="Courier New"/>
          <w:sz w:val="22"/>
          <w:szCs w:val="22"/>
        </w:rPr>
        <w:t xml:space="preserve">KNOWN_VIA_PUBCHEM</w:t>
      </w:r>
      <w:r>
        <w:rPr>
          <w:rFonts w:ascii="Times New Roman" w:cs="Times New Roman" w:eastAsia="Times New Roman" w:hAnsi="Times New Roman"/>
          <w:sz w:val="24"/>
          <w:szCs w:val="24"/>
        </w:rPr>
        <w:t xml:space="preserve">; a query flagged as novel by the internal pipeline and absent from PubChem received the verdict </w:t>
      </w:r>
      <w:r>
        <w:rPr>
          <w:rFonts w:ascii="Courier New" w:cs="Courier New" w:eastAsia="Courier New" w:hAnsi="Courier New"/>
          <w:sz w:val="22"/>
          <w:szCs w:val="22"/>
        </w:rPr>
        <w:t xml:space="preserve">NOVEL_CONFIRMED</w:t>
      </w:r>
      <w:r>
        <w:rPr>
          <w:rFonts w:ascii="Times New Roman" w:cs="Times New Roman" w:eastAsia="Times New Roman" w:hAnsi="Times New Roman"/>
          <w:sz w:val="24"/>
          <w:szCs w:val="24"/>
        </w:rPr>
        <w:t xml:space="preserve">, representing the strongest novelty signal the pipeline can produce.</w:t>
      </w:r>
    </w:p>
    <w:p>
      <w:pPr>
        <w:pStyle w:val="Heading3"/>
        <w:spacing w:after="120" w:before="240" w:line="360"/>
      </w:pPr>
      <w:r>
        <w:rPr>
          <w:rFonts w:ascii="Times New Roman" w:cs="Times New Roman" w:eastAsia="Times New Roman" w:hAnsi="Times New Roman"/>
          <w:b/>
          <w:bCs/>
          <w:i/>
          <w:iCs/>
          <w:sz w:val="26"/>
          <w:szCs w:val="26"/>
        </w:rPr>
        <w:t xml:space="preserve">3.5.5  Pipeline Deployment</w:t>
      </w:r>
    </w:p>
    <w:p>
      <w:pPr>
        <w:spacing w:after="180" w:line="360"/>
        <w:ind w:firstLine="360"/>
        <w:jc w:val="both"/>
      </w:pPr>
      <w:r>
        <w:rPr>
          <w:rFonts w:ascii="Times New Roman" w:cs="Times New Roman" w:eastAsia="Times New Roman" w:hAnsi="Times New Roman"/>
          <w:sz w:val="24"/>
          <w:szCs w:val="24"/>
        </w:rPr>
        <w:t xml:space="preserve">The inference pipeline was packaged as a self-contained Python module and deployed as an interactive Streamlit web application. The deployed application accepts a SMILES query, displays the standardised structure rendered in two dimensions, returns the four-layer verdict with the metric values used to derive it, presents the top-K reference matches in tabular form with similarity and confidence per row, displays a SHAP attribution plot ranking the top features driving the verdict, and reports the standardised query's physicochemical descriptors. For predicted-novel compounds, an optional bioactivity hypothesis layer queries the ChEMBL similarity REST API to retrieve known ligands at user-specified Tanimoto thresholds and aggregates their annotated protein targets into a ranked list. A deep-link to SwissTargetPrediction is provided for independent verification using the canonical target prediction service.</w:t>
      </w:r>
    </w:p>
    <w:p>
      <w:pPr>
        <w:pStyle w:val="Heading2"/>
        <w:spacing w:after="180" w:before="360" w:line="360"/>
      </w:pPr>
      <w:r>
        <w:rPr>
          <w:rFonts w:ascii="Times New Roman" w:cs="Times New Roman" w:eastAsia="Times New Roman" w:hAnsi="Times New Roman"/>
          <w:b/>
          <w:bCs/>
          <w:sz w:val="28"/>
          <w:szCs w:val="28"/>
        </w:rPr>
        <w:t xml:space="preserve">3.6  Evaluation</w:t>
      </w:r>
    </w:p>
    <w:p>
      <w:pPr>
        <w:spacing w:after="180" w:line="360"/>
        <w:ind w:firstLine="360"/>
        <w:jc w:val="both"/>
      </w:pPr>
      <w:r>
        <w:rPr>
          <w:rFonts w:ascii="Times New Roman" w:cs="Times New Roman" w:eastAsia="Times New Roman" w:hAnsi="Times New Roman"/>
          <w:sz w:val="24"/>
          <w:szCs w:val="24"/>
        </w:rPr>
        <w:t xml:space="preserve">The evaluation framework comprises three distinct components corresponding to the three principal experimental phases of the project.</w:t>
      </w:r>
    </w:p>
    <w:p>
      <w:pPr>
        <w:spacing w:after="180" w:line="360"/>
        <w:ind w:firstLine="360"/>
        <w:jc w:val="both"/>
      </w:pPr>
      <w:r>
        <w:rPr>
          <w:rFonts w:ascii="Times New Roman" w:cs="Times New Roman" w:eastAsia="Times New Roman" w:hAnsi="Times New Roman"/>
          <w:sz w:val="24"/>
          <w:szCs w:val="24"/>
        </w:rPr>
        <w:t xml:space="preserve">First, the benchmark experiment evaluating four classifier-based approaches against threshold-optimised Tanimoto similarity used six classification metrics computed on the held-out novel-class test partition: Matthews Correlation Coefficient (MCC), F1 score, ROC-AUC, precision-recall AUC, precision, and recall. MCC was treated as the primary metric, both because it is the most balanced and robust metric for the imbalanced binary classification task posed here, and because it allowed direct comparison across the five evaluated methods on a single ranking. Per-class results were aggregated across the six hold-out classes by reporting mean ± standard deviation for each metric, and win counts were reported indicating how many classes each method achieved the best MCC on.</w:t>
      </w:r>
    </w:p>
    <w:p>
      <w:pPr>
        <w:spacing w:after="180" w:line="360"/>
        <w:ind w:firstLine="360"/>
        <w:jc w:val="both"/>
      </w:pPr>
      <w:r>
        <w:rPr>
          <w:rFonts w:ascii="Times New Roman" w:cs="Times New Roman" w:eastAsia="Times New Roman" w:hAnsi="Times New Roman"/>
          <w:sz w:val="24"/>
          <w:szCs w:val="24"/>
        </w:rPr>
        <w:t xml:space="preserve">Second, the confidence-layer model evaluation reported the same six metrics on the binary match-versus-not-match task. To isolate the architecture's contribution on the chemically meaningful sub-task of distinguishing true matches from chance similarities at high Tanimoto values, evaluation was additionally restricted to the subset of test pairs with Tanimoto similarity ≥ 0.5; on this subset, the precision improvement of the confidence-layer model over the threshold-optimised Tanimoto baseline was reported as the principal headline metric, alongside the recall on the same subset to confirm that precision gains were not achieved at the expense of sensitivity.</w:t>
      </w:r>
    </w:p>
    <w:p>
      <w:pPr>
        <w:spacing w:after="180" w:line="360"/>
        <w:ind w:firstLine="360"/>
        <w:jc w:val="both"/>
      </w:pPr>
      <w:r>
        <w:rPr>
          <w:rFonts w:ascii="Times New Roman" w:cs="Times New Roman" w:eastAsia="Times New Roman" w:hAnsi="Times New Roman"/>
          <w:sz w:val="24"/>
          <w:szCs w:val="24"/>
        </w:rPr>
        <w:t xml:space="preserve">Third, the SHAP attribution analysis evaluated the confidence-layer model's interpretability by computing global feature importance across 300 stratified test pairs, ranking features by mean absolute SHAP value, and reporting the top twenty features alongside their categorical assignment (Tanimoto similarity, descriptor differences, XOR difference bits, fingerprint bits). The chemical interpretability of the resulting attribution structure was evaluated qualitatively against standard cheminformatic intuition about which features should drive a confidence-calibration prediction in the chance-similarity setting.</w:t>
      </w:r>
    </w:p>
    <w:p>
      <w:pPr>
        <w:spacing w:after="180" w:line="360"/>
        <w:ind w:firstLine="360"/>
        <w:jc w:val="both"/>
      </w:pPr>
      <w:r>
        <w:rPr>
          <w:rFonts w:ascii="Times New Roman" w:cs="Times New Roman" w:eastAsia="Times New Roman" w:hAnsi="Times New Roman"/>
          <w:sz w:val="24"/>
          <w:szCs w:val="24"/>
        </w:rPr>
        <w:t xml:space="preserve">The case study evaluation on locally isolated </w:t>
      </w:r>
      <w:r>
        <w:rPr>
          <w:rFonts w:ascii="Times New Roman" w:cs="Times New Roman" w:eastAsia="Times New Roman" w:hAnsi="Times New Roman"/>
          <w:i/>
          <w:iCs/>
          <w:sz w:val="24"/>
          <w:szCs w:val="24"/>
        </w:rPr>
        <w:t xml:space="preserve">Z. chalybeum</w:t>
      </w:r>
      <w:r>
        <w:rPr>
          <w:rFonts w:ascii="Times New Roman" w:cs="Times New Roman" w:eastAsia="Times New Roman" w:hAnsi="Times New Roman"/>
          <w:sz w:val="24"/>
          <w:szCs w:val="24"/>
        </w:rPr>
        <w:t xml:space="preserve"> compounds was qualitative rather than quantitative, reflecting the absence of NMR-validated ground-truth structures. Pipeline outputs (verdict, similarity, confidence, top reference match, PubChem CID, predicted bioactivity targets) were reported for each compound and discussed in relation to the chemically expected behaviour for each compound's proposed structural class.</w:t>
      </w:r>
    </w:p>
    <w:p>
      <w:pPr>
        <w:pStyle w:val="Heading2"/>
        <w:spacing w:after="180" w:before="360" w:line="360"/>
      </w:pPr>
      <w:r>
        <w:rPr>
          <w:rFonts w:ascii="Times New Roman" w:cs="Times New Roman" w:eastAsia="Times New Roman" w:hAnsi="Times New Roman"/>
          <w:b/>
          <w:bCs/>
          <w:sz w:val="28"/>
          <w:szCs w:val="28"/>
        </w:rPr>
        <w:t xml:space="preserve">3.7  Ethical Considerations</w:t>
      </w:r>
    </w:p>
    <w:p>
      <w:pPr>
        <w:spacing w:after="180" w:line="360"/>
        <w:ind w:firstLine="360"/>
        <w:jc w:val="both"/>
      </w:pPr>
      <w:r>
        <w:rPr>
          <w:rFonts w:ascii="Times New Roman" w:cs="Times New Roman" w:eastAsia="Times New Roman" w:hAnsi="Times New Roman"/>
          <w:sz w:val="24"/>
          <w:szCs w:val="24"/>
        </w:rPr>
        <w:t xml:space="preserve">The project does not involve human subjects, animal subjects, or clinical data, and therefore does not require formal ethics committee approval under the Harare Institute of Technology research ethics policy. The data sources used are publicly available chemical databases released under permissive open-data licences: COCONUT under CC0 1.0 Universal (public domain dedication), ChEMBL release 36 under CC-BY-SA 3.0, NP Atlas v2024_09 under CC-BY 4.0, and PubChem under United States government public-domain terms. Attribution to upstream sources is preserved throughout the project documentation, the open-source code repository, and the manuscript prepared for academic publication.</w:t>
      </w:r>
    </w:p>
    <w:p>
      <w:pPr>
        <w:spacing w:after="180" w:line="360"/>
        <w:ind w:firstLine="360"/>
        <w:jc w:val="both"/>
      </w:pPr>
      <w:r>
        <w:rPr>
          <w:rFonts w:ascii="Times New Roman" w:cs="Times New Roman" w:eastAsia="Times New Roman" w:hAnsi="Times New Roman"/>
          <w:sz w:val="24"/>
          <w:szCs w:val="24"/>
        </w:rPr>
        <w:t xml:space="preserve">Three additional ethical considerations specific to this project are worth noting. First, the locally isolated </w:t>
      </w:r>
      <w:r>
        <w:rPr>
          <w:rFonts w:ascii="Times New Roman" w:cs="Times New Roman" w:eastAsia="Times New Roman" w:hAnsi="Times New Roman"/>
          <w:i/>
          <w:iCs/>
          <w:sz w:val="24"/>
          <w:szCs w:val="24"/>
        </w:rPr>
        <w:t xml:space="preserve">Z. chalybeum</w:t>
      </w:r>
      <w:r>
        <w:rPr>
          <w:rFonts w:ascii="Times New Roman" w:cs="Times New Roman" w:eastAsia="Times New Roman" w:hAnsi="Times New Roman"/>
          <w:sz w:val="24"/>
          <w:szCs w:val="24"/>
        </w:rPr>
        <w:t xml:space="preserve"> compounds used in the case study were obtained through formal collaboration with the African Institute of Biomedical Science and Technology, with explicit consent from the supervisory team for the use of the structural data in this project's documentation and the associated peer-reviewed publication. The compound structures were treated as preliminary throughout, with explicit acknowledgement that comprehensive NMR and mass-spectrometric validation by the isolating team is in progress, in accordance with standard practice for natural product structure attribution.</w:t>
      </w:r>
    </w:p>
    <w:p>
      <w:pPr>
        <w:spacing w:after="180" w:line="360"/>
        <w:ind w:firstLine="360"/>
        <w:jc w:val="both"/>
      </w:pPr>
      <w:r>
        <w:rPr>
          <w:rFonts w:ascii="Times New Roman" w:cs="Times New Roman" w:eastAsia="Times New Roman" w:hAnsi="Times New Roman"/>
          <w:sz w:val="24"/>
          <w:szCs w:val="24"/>
        </w:rPr>
        <w:t xml:space="preserve">Second, the project's open-source release of the trained model and reference dataset has been considered explicitly with respect to dual-use concerns. The deployed tool predicts whether a candidate compound is novel relative to a curated reference set; it does not predict bioactivity at a level that would meaningfully accelerate the design of harmful chemistry. The bioactivity hypothesis layer reports protein-target predictions for novel-flagged compounds based on similarity to ChEMBL-annotated ligands, but this reflects existing public knowledge rather than novel pharmacological insight. The judgement made in releasing the tool openly is that the benefit to legitimate African phytochemistry research substantially exceeds the marginal risk of misuse, and the MIT licence release is consistent with the broader open-science norms of the cheminformatics community.</w:t>
      </w:r>
    </w:p>
    <w:p>
      <w:pPr>
        <w:spacing w:after="180" w:line="360"/>
        <w:ind w:firstLine="360"/>
        <w:jc w:val="both"/>
      </w:pPr>
      <w:r>
        <w:rPr>
          <w:rFonts w:ascii="Times New Roman" w:cs="Times New Roman" w:eastAsia="Times New Roman" w:hAnsi="Times New Roman"/>
          <w:sz w:val="24"/>
          <w:szCs w:val="24"/>
        </w:rPr>
        <w:t xml:space="preserve">Third, the project explicitly used Anthropic's Claude (large language model) as a writing and analysis assistant during manuscript preparation and during the drafting of this thesis documentation. The assistant was used to help draft and revise prose sections, structure the presentation of methodology and results, generate publication-quality figure scripts, and discuss methodological framing. All scientific content, experimental design, data analysis, code implementation, benchmark execution, structural assignments, and final interpretation are the work of the human author. All AI-assisted text was reviewed, edited, and verified by the author prior to inclusion. The author takes full responsibility for the content and integrity of this thesis and the associated peer-reviewed publication.</w:t>
      </w:r>
    </w:p>
    <w:p>
      <w:pPr>
        <w:pStyle w:val="Heading2"/>
        <w:spacing w:after="180" w:before="360" w:line="360"/>
      </w:pPr>
      <w:r>
        <w:rPr>
          <w:rFonts w:ascii="Times New Roman" w:cs="Times New Roman" w:eastAsia="Times New Roman" w:hAnsi="Times New Roman"/>
          <w:b/>
          <w:bCs/>
          <w:sz w:val="28"/>
          <w:szCs w:val="28"/>
        </w:rPr>
        <w:t xml:space="preserve">3.8  Chapter Summary</w:t>
      </w:r>
    </w:p>
    <w:p>
      <w:pPr>
        <w:spacing w:after="180" w:line="360"/>
        <w:ind w:firstLine="360"/>
        <w:jc w:val="both"/>
      </w:pPr>
      <w:r>
        <w:rPr>
          <w:rFonts w:ascii="Times New Roman" w:cs="Times New Roman" w:eastAsia="Times New Roman" w:hAnsi="Times New Roman"/>
          <w:sz w:val="24"/>
          <w:szCs w:val="24"/>
        </w:rPr>
        <w:t xml:space="preserve">This chapter has documented the methodology used in the project. A quantitative, design-science research design was adopted with an empirical-comparative evaluation component, organised into six sequential phases from reference dataset construction through cloud-deployed pipeline validation. Data sources were enumerated, with the integrated reference set comprising 3,511,178 standardised compounds drawn from COCONUT, ChEMBL, and NP Atlas, augmented at inference time by PubChem and SwissTargetPrediction queries. The 2,294-compound </w:t>
      </w:r>
      <w:r>
        <w:rPr>
          <w:rFonts w:ascii="Times New Roman" w:cs="Times New Roman" w:eastAsia="Times New Roman" w:hAnsi="Times New Roman"/>
          <w:i/>
          <w:iCs/>
          <w:sz w:val="24"/>
          <w:szCs w:val="24"/>
        </w:rPr>
        <w:t xml:space="preserve">Zanthoxylum</w:t>
      </w:r>
      <w:r>
        <w:rPr>
          <w:rFonts w:ascii="Times New Roman" w:cs="Times New Roman" w:eastAsia="Times New Roman" w:hAnsi="Times New Roman"/>
          <w:sz w:val="24"/>
          <w:szCs w:val="24"/>
        </w:rPr>
        <w:t xml:space="preserve"> subset was characterised by physicochemical-property summary statistics and Bemis–Murcko scaffold analysis. Research materials and tools were enumerated, with all software dependencies released under permissive open-source licences and source code publicly hosted under MIT licence with permanent Zenodo archival. The data modelling methodology was documented in detail across feature engineering, benchmark experiment design, confidence-layer architecture, inference pipeline assembly, and cloud deployment. The evaluation framework was specified across three components corresponding to the principal experimental phases, with Matthews Correlation Coefficient as the primary classification metric throughout. Ethical considerations covering data licensing, dual-use review, and disclosure of generative AI assistance were explicitly addressed. Chapter 4 reports the empirical results obtained when this methodology was applied to the data.</w:t>
      </w:r>
    </w:p>
    <w:p>
      <w:pPr>
        <w:spacing w:after="0"/>
      </w:pPr>
      <w:r>
        <w:t xml:space="preserve"/>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20"/>
        <w:szCs w:val="20"/>
      </w:rPr>
      <w:t xml:space="preserve">AfroXai-Derep — Manyonganise (H240659Q)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AfroXai-Derep MTech Project Documentation</dc:title>
  <dc:creator>Ed Panashe Manyonganise</dc:creator>
  <dc:description>MTech Cloud Computing project documentation, HIT, Chapters 1-3</dc:description>
  <cp:lastModifiedBy>Un-named</cp:lastModifiedBy>
  <cp:revision>1</cp:revision>
  <dcterms:created xsi:type="dcterms:W3CDTF">2026-05-07T13:42:52.358Z</dcterms:created>
  <dcterms:modified xsi:type="dcterms:W3CDTF">2026-05-07T13:42:52.375Z</dcterms:modified>
</cp:coreProperties>
</file>

<file path=docProps/custom.xml><?xml version="1.0" encoding="utf-8"?>
<Properties xmlns="http://schemas.openxmlformats.org/officeDocument/2006/custom-properties" xmlns:vt="http://schemas.openxmlformats.org/officeDocument/2006/docPropsVTypes"/>
</file>