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Analysis of Bucket Sort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What is the cost of the calls to Insertion Sort?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be the random variable denoting the number of elements in bucket B[i]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And we know that Insertion Sort runs in </w:t>
      </w:r>
      <w:r w:rsidDel="00000000" w:rsidR="00000000" w:rsidRPr="00000000">
        <w:rPr>
          <w:rtl w:val="0"/>
        </w:rPr>
        <w:t xml:space="preserve">Ο(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time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167063" cy="347871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47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tabs>
          <w:tab w:val="left" w:pos="7555"/>
        </w:tabs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To prove the above equation, define indicator random variables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tabs>
          <w:tab w:val="left" w:pos="7555"/>
        </w:tabs>
        <w:ind w:left="2160" w:hanging="360"/>
        <w:contextualSpacing w:val="0"/>
        <w:rPr/>
      </w:pP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= I{A[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] falls into bucket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7">
      <w:pPr>
        <w:numPr>
          <w:ilvl w:val="3"/>
          <w:numId w:val="3"/>
        </w:numPr>
        <w:tabs>
          <w:tab w:val="left" w:pos="7555"/>
        </w:tabs>
        <w:ind w:left="2880" w:hanging="360"/>
        <w:contextualSpacing w:val="0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= 0, 1, …,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08">
      <w:pPr>
        <w:numPr>
          <w:ilvl w:val="3"/>
          <w:numId w:val="3"/>
        </w:numPr>
        <w:tabs>
          <w:tab w:val="left" w:pos="7555"/>
        </w:tabs>
        <w:ind w:left="2880" w:hanging="360"/>
        <w:contextualSpacing w:val="0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= 1, 2, …,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tabs>
          <w:tab w:val="left" w:pos="7555"/>
        </w:tabs>
        <w:ind w:left="14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Thus…</w:t>
      </w:r>
    </w:p>
    <w:p w:rsidR="00000000" w:rsidDel="00000000" w:rsidP="00000000" w:rsidRDefault="00000000" w:rsidRPr="00000000" w14:paraId="0000000A">
      <w:pPr>
        <w:tabs>
          <w:tab w:val="left" w:pos="7555"/>
        </w:tabs>
        <w:contextualSpacing w:val="0"/>
        <w:rPr/>
      </w:pPr>
      <w:r w:rsidDel="00000000" w:rsidR="00000000" w:rsidRPr="00000000">
        <w:rPr/>
        <w:drawing>
          <wp:inline distB="0" distT="0" distL="0" distR="0">
            <wp:extent cx="2195513" cy="1347246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347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555"/>
        </w:tabs>
        <w:contextualSpacing w:val="0"/>
        <w:rPr/>
      </w:pPr>
      <w:r w:rsidDel="00000000" w:rsidR="00000000" w:rsidRPr="00000000">
        <w:rPr/>
        <w:drawing>
          <wp:inline distB="0" distT="0" distL="0" distR="0">
            <wp:extent cx="1120140" cy="42291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42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555"/>
        </w:tabs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290888" cy="3358881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358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555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Evaluate the two summations separately</w:t>
      </w:r>
    </w:p>
    <w:p w:rsidR="00000000" w:rsidDel="00000000" w:rsidP="00000000" w:rsidRDefault="00000000" w:rsidRPr="00000000" w14:paraId="0000000E">
      <w:pPr>
        <w:tabs>
          <w:tab w:val="left" w:pos="7555"/>
        </w:tabs>
        <w:contextualSpacing w:val="0"/>
        <w:rPr/>
      </w:pPr>
      <w:r w:rsidDel="00000000" w:rsidR="00000000" w:rsidRPr="00000000">
        <w:rPr/>
        <w:drawing>
          <wp:inline distB="0" distT="0" distL="0" distR="0">
            <wp:extent cx="1617699" cy="51911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699" cy="51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555"/>
        </w:tabs>
        <w:contextualSpacing w:val="0"/>
        <w:rPr/>
      </w:pPr>
      <w:r w:rsidDel="00000000" w:rsidR="00000000" w:rsidRPr="00000000">
        <w:rPr/>
        <w:drawing>
          <wp:inline distB="0" distT="0" distL="0" distR="0">
            <wp:extent cx="1719263" cy="841341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841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555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Substitute these into EQ 8.3</w:t>
      </w:r>
    </w:p>
    <w:p w:rsidR="00000000" w:rsidDel="00000000" w:rsidP="00000000" w:rsidRDefault="00000000" w:rsidRPr="00000000" w14:paraId="00000011">
      <w:pPr>
        <w:tabs>
          <w:tab w:val="left" w:pos="7555"/>
        </w:tabs>
        <w:contextualSpacing w:val="0"/>
        <w:rPr/>
      </w:pPr>
      <w:r w:rsidDel="00000000" w:rsidR="00000000" w:rsidRPr="00000000">
        <w:rPr/>
        <w:drawing>
          <wp:inline distB="0" distT="0" distL="0" distR="0">
            <wp:extent cx="2386013" cy="2358587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35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55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55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7555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Use the expected value in EQ 8.1</w:t>
      </w:r>
    </w:p>
    <w:p w:rsidR="00000000" w:rsidDel="00000000" w:rsidP="00000000" w:rsidRDefault="00000000" w:rsidRPr="00000000" w14:paraId="00000015">
      <w:pPr>
        <w:tabs>
          <w:tab w:val="left" w:pos="7555"/>
        </w:tabs>
        <w:contextualSpacing w:val="0"/>
        <w:rPr/>
      </w:pPr>
      <w:r w:rsidDel="00000000" w:rsidR="00000000" w:rsidRPr="00000000">
        <w:rPr/>
        <w:drawing>
          <wp:inline distB="0" distT="0" distL="0" distR="0">
            <wp:extent cx="2481263" cy="2316841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316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452688" cy="1162912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16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