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0A508" w14:textId="109C696C" w:rsidR="006073BB" w:rsidRDefault="006073BB" w:rsidP="008647A5">
      <w:pPr>
        <w:ind w:firstLine="360"/>
        <w:rPr>
          <w:b/>
          <w:bCs/>
          <w:i/>
          <w:iCs/>
          <w:sz w:val="22"/>
          <w:szCs w:val="22"/>
        </w:rPr>
      </w:pPr>
      <w:r w:rsidRPr="008647A5">
        <w:rPr>
          <w:b/>
          <w:bCs/>
          <w:sz w:val="22"/>
          <w:szCs w:val="22"/>
          <w:u w:val="single"/>
        </w:rPr>
        <w:t>Location Inc. Group Corporation – LOCA-134845015 – Objection Set #1 – Water</w:t>
      </w:r>
      <w:r w:rsidRPr="006073BB">
        <w:rPr>
          <w:b/>
          <w:bCs/>
          <w:i/>
          <w:iCs/>
          <w:sz w:val="22"/>
          <w:szCs w:val="22"/>
        </w:rPr>
        <w:t xml:space="preserve"> </w:t>
      </w:r>
    </w:p>
    <w:p w14:paraId="00691442" w14:textId="0B18C23F" w:rsidR="00AE6511" w:rsidRPr="00AE6511" w:rsidRDefault="00AE6511" w:rsidP="006073BB">
      <w:pPr>
        <w:ind w:left="360"/>
        <w:rPr>
          <w:sz w:val="22"/>
          <w:szCs w:val="22"/>
        </w:rPr>
      </w:pPr>
      <w:r w:rsidRPr="00AE6511">
        <w:rPr>
          <w:sz w:val="22"/>
          <w:szCs w:val="22"/>
        </w:rPr>
        <w:t xml:space="preserve">Before addressing the specific technical questions outlined in Objection Set 1, Cotality wishes to provide the Department with a foundational overview of the </w:t>
      </w:r>
      <w:proofErr w:type="spellStart"/>
      <w:r w:rsidRPr="00AE6511">
        <w:rPr>
          <w:sz w:val="22"/>
          <w:szCs w:val="22"/>
        </w:rPr>
        <w:t>WaterRisk</w:t>
      </w:r>
      <w:proofErr w:type="spellEnd"/>
      <w:r w:rsidRPr="00AE6511">
        <w:rPr>
          <w:sz w:val="22"/>
          <w:szCs w:val="22"/>
        </w:rPr>
        <w:t xml:space="preserve"> model, its unique neighborhood-level methodology, and the direct benefits it provides to Georgia policyholders.</w:t>
      </w:r>
    </w:p>
    <w:p w14:paraId="5A3AE8A3" w14:textId="63486FD7" w:rsidR="00AE6511" w:rsidRPr="00AE6511" w:rsidRDefault="00AE6511" w:rsidP="00AE6511">
      <w:pPr>
        <w:ind w:left="360"/>
        <w:rPr>
          <w:sz w:val="22"/>
          <w:szCs w:val="22"/>
        </w:rPr>
      </w:pPr>
      <w:r w:rsidRPr="00AE6511">
        <w:rPr>
          <w:b/>
          <w:bCs/>
          <w:sz w:val="22"/>
          <w:szCs w:val="22"/>
        </w:rPr>
        <w:t xml:space="preserve">The Challenge: </w:t>
      </w:r>
      <w:r w:rsidRPr="00AE6511">
        <w:rPr>
          <w:sz w:val="22"/>
          <w:szCs w:val="22"/>
        </w:rPr>
        <w:t>Non-weather water damage</w:t>
      </w:r>
      <w:r w:rsidR="008647A5">
        <w:rPr>
          <w:sz w:val="22"/>
          <w:szCs w:val="22"/>
        </w:rPr>
        <w:t xml:space="preserve"> - </w:t>
      </w:r>
      <w:r w:rsidRPr="00AE6511">
        <w:rPr>
          <w:sz w:val="22"/>
          <w:szCs w:val="22"/>
        </w:rPr>
        <w:t>stemming from plumbing leaks, appliance failures, frozen pipes, and municipal system backups</w:t>
      </w:r>
      <w:r w:rsidR="008647A5">
        <w:rPr>
          <w:sz w:val="22"/>
          <w:szCs w:val="22"/>
        </w:rPr>
        <w:t xml:space="preserve"> - </w:t>
      </w:r>
      <w:r w:rsidRPr="00AE6511">
        <w:rPr>
          <w:sz w:val="22"/>
          <w:szCs w:val="22"/>
        </w:rPr>
        <w:t>is one of the most frequent and costly perils in the property insurance market. Historically, insurers have priced this peril using broad geographic boundaries, such as entire ZIP codes or counties.</w:t>
      </w:r>
    </w:p>
    <w:p w14:paraId="20FBAC0E" w14:textId="6CF77B0C" w:rsidR="00AE6511" w:rsidRPr="00AE6511" w:rsidRDefault="00AE6511" w:rsidP="00AE6511">
      <w:pPr>
        <w:ind w:left="360"/>
        <w:rPr>
          <w:sz w:val="22"/>
          <w:szCs w:val="22"/>
        </w:rPr>
      </w:pPr>
      <w:r w:rsidRPr="00AE6511">
        <w:rPr>
          <w:sz w:val="22"/>
          <w:szCs w:val="22"/>
        </w:rPr>
        <w:t>This approach creates a significant equity issue for consumers. When carriers lack the tools to differentiate risk at a granular level, they are forced to average out the costs. Consequently, a Georgia homeowner living in a neighborhood with resilient infrastructure, favorable hydrology, and stable local repair costs ends up subsidizing the premiums of policyholders in adjacent neighborhoods that suffer from frequent pipe bursts or highly inflated plumbing repair costs. Furthermore, as water claim frequencies rise, carriers using broad territories often react by implementing blanket rate increases or restricting coverage options entirely, destabilizing the local market.</w:t>
      </w:r>
    </w:p>
    <w:p w14:paraId="72045A18" w14:textId="50394A82" w:rsidR="00AE6511" w:rsidRPr="00AE6511" w:rsidRDefault="00AE6511" w:rsidP="00AE6511">
      <w:pPr>
        <w:ind w:left="360"/>
        <w:rPr>
          <w:sz w:val="22"/>
          <w:szCs w:val="22"/>
        </w:rPr>
      </w:pPr>
      <w:r w:rsidRPr="00AE6511">
        <w:rPr>
          <w:b/>
          <w:bCs/>
          <w:sz w:val="22"/>
          <w:szCs w:val="22"/>
        </w:rPr>
        <w:t xml:space="preserve">The </w:t>
      </w:r>
      <w:proofErr w:type="spellStart"/>
      <w:r w:rsidRPr="00AE6511">
        <w:rPr>
          <w:b/>
          <w:bCs/>
          <w:sz w:val="22"/>
          <w:szCs w:val="22"/>
        </w:rPr>
        <w:t>WaterRisk</w:t>
      </w:r>
      <w:proofErr w:type="spellEnd"/>
      <w:r w:rsidRPr="00AE6511">
        <w:rPr>
          <w:b/>
          <w:bCs/>
          <w:sz w:val="22"/>
          <w:szCs w:val="22"/>
        </w:rPr>
        <w:t xml:space="preserve"> </w:t>
      </w:r>
      <w:r w:rsidR="008647A5">
        <w:rPr>
          <w:b/>
          <w:bCs/>
          <w:sz w:val="22"/>
          <w:szCs w:val="22"/>
        </w:rPr>
        <w:t xml:space="preserve">Solution: </w:t>
      </w:r>
      <w:r w:rsidRPr="00AE6511">
        <w:rPr>
          <w:sz w:val="22"/>
          <w:szCs w:val="22"/>
        </w:rPr>
        <w:t xml:space="preserve">The Cotality </w:t>
      </w:r>
      <w:proofErr w:type="spellStart"/>
      <w:r w:rsidRPr="00AE6511">
        <w:rPr>
          <w:sz w:val="22"/>
          <w:szCs w:val="22"/>
        </w:rPr>
        <w:t>WaterRisk</w:t>
      </w:r>
      <w:proofErr w:type="spellEnd"/>
      <w:r w:rsidRPr="00AE6511">
        <w:rPr>
          <w:sz w:val="22"/>
          <w:szCs w:val="22"/>
        </w:rPr>
        <w:t xml:space="preserve"> model resolves this inequity by shifting the evaluation of non-weather water risk down to the hyper-local Census Block level.</w:t>
      </w:r>
    </w:p>
    <w:p w14:paraId="2C012FB9" w14:textId="77777777" w:rsidR="00AE6511" w:rsidRPr="00AE6511" w:rsidRDefault="00AE6511" w:rsidP="00AE6511">
      <w:pPr>
        <w:ind w:left="360"/>
        <w:rPr>
          <w:sz w:val="22"/>
          <w:szCs w:val="22"/>
        </w:rPr>
      </w:pPr>
      <w:r w:rsidRPr="00AE6511">
        <w:rPr>
          <w:sz w:val="22"/>
          <w:szCs w:val="22"/>
        </w:rPr>
        <w:t xml:space="preserve">Rather than inspecting the individual property, the model evaluates the environmental and economic realities of the property's immediate surroundings. The algorithm aggregates highly localized data from authoritative third-party </w:t>
      </w:r>
      <w:proofErr w:type="gramStart"/>
      <w:r w:rsidRPr="00AE6511">
        <w:rPr>
          <w:sz w:val="22"/>
          <w:szCs w:val="22"/>
        </w:rPr>
        <w:t>sources—</w:t>
      </w:r>
      <w:proofErr w:type="gramEnd"/>
      <w:r w:rsidRPr="00AE6511">
        <w:rPr>
          <w:sz w:val="22"/>
          <w:szCs w:val="22"/>
        </w:rPr>
        <w:t>including climate data from NOAA, environmental and hydrological data from the US EPA, housing stock age from the US Census Bureau, and localized plumbing and sewer repair costs from the US Bureau of Labor Statistics.</w:t>
      </w:r>
    </w:p>
    <w:p w14:paraId="4490A05A" w14:textId="13768EE5" w:rsidR="00AE6511" w:rsidRPr="00AE6511" w:rsidRDefault="00AE6511" w:rsidP="00AE6511">
      <w:pPr>
        <w:ind w:left="360"/>
        <w:rPr>
          <w:sz w:val="22"/>
          <w:szCs w:val="22"/>
        </w:rPr>
      </w:pPr>
      <w:r w:rsidRPr="00AE6511">
        <w:rPr>
          <w:sz w:val="22"/>
          <w:szCs w:val="22"/>
        </w:rPr>
        <w:t xml:space="preserve">By synthesizing these neighborhood-level factors, the model produces a </w:t>
      </w:r>
      <w:proofErr w:type="spellStart"/>
      <w:r w:rsidRPr="00AE6511">
        <w:rPr>
          <w:sz w:val="22"/>
          <w:szCs w:val="22"/>
        </w:rPr>
        <w:t>WaterRisk</w:t>
      </w:r>
      <w:proofErr w:type="spellEnd"/>
      <w:r w:rsidRPr="00AE6511">
        <w:rPr>
          <w:sz w:val="22"/>
          <w:szCs w:val="22"/>
        </w:rPr>
        <w:t xml:space="preserve"> score from 1 to 100 that accurately predicts the frequency and severity of non-weather water claims for that specific Census Block. Crucially, because the score represents the </w:t>
      </w:r>
      <w:r w:rsidRPr="00AE6511">
        <w:rPr>
          <w:i/>
          <w:iCs/>
          <w:sz w:val="22"/>
          <w:szCs w:val="22"/>
        </w:rPr>
        <w:t>surrounding area</w:t>
      </w:r>
      <w:r w:rsidRPr="00AE6511">
        <w:rPr>
          <w:sz w:val="22"/>
          <w:szCs w:val="22"/>
        </w:rPr>
        <w:t xml:space="preserve"> rather than the specific house, it operates completely independent of an individual property's characteristics. This allows the model to seamlessly complement an insurer's existing rating plan</w:t>
      </w:r>
      <w:r w:rsidR="00947401">
        <w:rPr>
          <w:sz w:val="22"/>
          <w:szCs w:val="22"/>
        </w:rPr>
        <w:t>.</w:t>
      </w:r>
    </w:p>
    <w:p w14:paraId="62F3288A" w14:textId="31A31A30" w:rsidR="00AE6511" w:rsidRDefault="00947401" w:rsidP="00AE6511">
      <w:pPr>
        <w:ind w:left="360"/>
        <w:rPr>
          <w:sz w:val="22"/>
          <w:szCs w:val="22"/>
        </w:rPr>
      </w:pPr>
      <w:r>
        <w:rPr>
          <w:b/>
          <w:bCs/>
          <w:sz w:val="22"/>
          <w:szCs w:val="22"/>
        </w:rPr>
        <w:t>How This Benefits Georgia Constituents:</w:t>
      </w:r>
      <w:r w:rsidR="00AE6511" w:rsidRPr="00AE6511">
        <w:rPr>
          <w:sz w:val="22"/>
          <w:szCs w:val="22"/>
        </w:rPr>
        <w:t xml:space="preserve"> The deployment of the </w:t>
      </w:r>
      <w:proofErr w:type="spellStart"/>
      <w:r w:rsidR="00AE6511" w:rsidRPr="00AE6511">
        <w:rPr>
          <w:sz w:val="22"/>
          <w:szCs w:val="22"/>
        </w:rPr>
        <w:t>WaterRisk</w:t>
      </w:r>
      <w:proofErr w:type="spellEnd"/>
      <w:r w:rsidR="00AE6511" w:rsidRPr="00AE6511">
        <w:rPr>
          <w:sz w:val="22"/>
          <w:szCs w:val="22"/>
        </w:rPr>
        <w:t xml:space="preserve"> model offers critical advantages to the Georgia market:</w:t>
      </w:r>
    </w:p>
    <w:p w14:paraId="70F7A1F1" w14:textId="77777777" w:rsidR="00AE6511" w:rsidRDefault="00AE6511" w:rsidP="00AE6511">
      <w:pPr>
        <w:pStyle w:val="ListParagraph"/>
        <w:numPr>
          <w:ilvl w:val="0"/>
          <w:numId w:val="4"/>
        </w:numPr>
        <w:rPr>
          <w:sz w:val="22"/>
          <w:szCs w:val="22"/>
        </w:rPr>
      </w:pPr>
      <w:r w:rsidRPr="00AE6511">
        <w:rPr>
          <w:b/>
          <w:bCs/>
          <w:sz w:val="22"/>
          <w:szCs w:val="22"/>
        </w:rPr>
        <w:t>Eliminating Geographic Subsidization:</w:t>
      </w:r>
      <w:r w:rsidRPr="00AE6511">
        <w:rPr>
          <w:sz w:val="22"/>
          <w:szCs w:val="22"/>
        </w:rPr>
        <w:t xml:space="preserve"> By isolating risk at the Census Block level, carriers can offer hyper-local precision pricing. Georgia policyholders in low-risk blocks are no longer financially penalized for the </w:t>
      </w:r>
      <w:proofErr w:type="gramStart"/>
      <w:r w:rsidRPr="00AE6511">
        <w:rPr>
          <w:sz w:val="22"/>
          <w:szCs w:val="22"/>
        </w:rPr>
        <w:t>claims</w:t>
      </w:r>
      <w:proofErr w:type="gramEnd"/>
      <w:r w:rsidRPr="00AE6511">
        <w:rPr>
          <w:sz w:val="22"/>
          <w:szCs w:val="22"/>
        </w:rPr>
        <w:t xml:space="preserve"> activity of broader territories, ensuring their premiums are strictly tied to the true environmental risk of their immediate neighborhood.</w:t>
      </w:r>
    </w:p>
    <w:p w14:paraId="1C2992B9" w14:textId="77777777" w:rsidR="00AE6511" w:rsidRDefault="00AE6511" w:rsidP="00AE6511">
      <w:pPr>
        <w:pStyle w:val="ListParagraph"/>
        <w:numPr>
          <w:ilvl w:val="0"/>
          <w:numId w:val="4"/>
        </w:numPr>
        <w:rPr>
          <w:sz w:val="22"/>
          <w:szCs w:val="22"/>
        </w:rPr>
      </w:pPr>
      <w:r w:rsidRPr="00AE6511">
        <w:rPr>
          <w:b/>
          <w:bCs/>
          <w:sz w:val="22"/>
          <w:szCs w:val="22"/>
        </w:rPr>
        <w:lastRenderedPageBreak/>
        <w:t>Preserving Market Capacity:</w:t>
      </w:r>
      <w:r w:rsidRPr="00AE6511">
        <w:rPr>
          <w:sz w:val="22"/>
          <w:szCs w:val="22"/>
        </w:rPr>
        <w:t xml:space="preserve"> When carriers experience spiking water losses, their default reaction is often to halt new </w:t>
      </w:r>
      <w:proofErr w:type="gramStart"/>
      <w:r w:rsidRPr="00AE6511">
        <w:rPr>
          <w:sz w:val="22"/>
          <w:szCs w:val="22"/>
        </w:rPr>
        <w:t>business</w:t>
      </w:r>
      <w:proofErr w:type="gramEnd"/>
      <w:r w:rsidRPr="00AE6511">
        <w:rPr>
          <w:sz w:val="22"/>
          <w:szCs w:val="22"/>
        </w:rPr>
        <w:t xml:space="preserve"> in entire ZIP codes. By empowering carriers to surgically identify profitable, low-risk Census Blocks hidden within those broader areas, </w:t>
      </w:r>
      <w:proofErr w:type="spellStart"/>
      <w:r w:rsidRPr="00AE6511">
        <w:rPr>
          <w:sz w:val="22"/>
          <w:szCs w:val="22"/>
        </w:rPr>
        <w:t>WaterRisk</w:t>
      </w:r>
      <w:proofErr w:type="spellEnd"/>
      <w:r w:rsidRPr="00AE6511">
        <w:rPr>
          <w:sz w:val="22"/>
          <w:szCs w:val="22"/>
        </w:rPr>
        <w:t xml:space="preserve"> encourages insurers to keep writing policies and preserves vital coverage options for Georgia consumers.</w:t>
      </w:r>
    </w:p>
    <w:p w14:paraId="3CFDA252" w14:textId="6E325667" w:rsidR="00AE6511" w:rsidRPr="00AE6511" w:rsidRDefault="00AE6511" w:rsidP="00AE6511">
      <w:pPr>
        <w:pStyle w:val="ListParagraph"/>
        <w:numPr>
          <w:ilvl w:val="0"/>
          <w:numId w:val="4"/>
        </w:numPr>
        <w:rPr>
          <w:sz w:val="22"/>
          <w:szCs w:val="22"/>
        </w:rPr>
      </w:pPr>
      <w:r w:rsidRPr="00AE6511">
        <w:rPr>
          <w:b/>
          <w:bCs/>
          <w:sz w:val="22"/>
          <w:szCs w:val="22"/>
        </w:rPr>
        <w:t>A Strictly Objective, Science-Based Standard:</w:t>
      </w:r>
      <w:r w:rsidRPr="00AE6511">
        <w:rPr>
          <w:sz w:val="22"/>
          <w:szCs w:val="22"/>
        </w:rPr>
        <w:t xml:space="preserve"> The model guarantees that rates remain equitable and entirely free from subjective bias. The </w:t>
      </w:r>
      <w:proofErr w:type="spellStart"/>
      <w:r w:rsidRPr="00AE6511">
        <w:rPr>
          <w:sz w:val="22"/>
          <w:szCs w:val="22"/>
        </w:rPr>
        <w:t>WaterRisk</w:t>
      </w:r>
      <w:proofErr w:type="spellEnd"/>
      <w:r w:rsidRPr="00AE6511">
        <w:rPr>
          <w:sz w:val="22"/>
          <w:szCs w:val="22"/>
        </w:rPr>
        <w:t xml:space="preserve"> algorithm does not use demographic, socioeconomic, or discriminatory variables such as income, race, religion, or marital status. It relies exclusively on physical science and empirical economic data.</w:t>
      </w:r>
    </w:p>
    <w:p w14:paraId="44422E12" w14:textId="77777777" w:rsidR="00352B5A" w:rsidRDefault="00352B5A" w:rsidP="00352B5A">
      <w:pPr>
        <w:rPr>
          <w:b/>
          <w:bCs/>
          <w:sz w:val="22"/>
          <w:szCs w:val="22"/>
          <w:u w:val="single"/>
        </w:rPr>
      </w:pPr>
    </w:p>
    <w:p w14:paraId="3019A8FF" w14:textId="5618FA0E" w:rsidR="00352B5A" w:rsidRPr="0036232E" w:rsidRDefault="0036232E" w:rsidP="00352B5A">
      <w:pPr>
        <w:rPr>
          <w:i/>
          <w:iCs/>
          <w:sz w:val="22"/>
          <w:szCs w:val="22"/>
        </w:rPr>
      </w:pPr>
      <w:r w:rsidRPr="0036232E">
        <w:rPr>
          <w:sz w:val="22"/>
          <w:szCs w:val="22"/>
        </w:rPr>
        <w:t xml:space="preserve">Please see below responses to </w:t>
      </w:r>
      <w:r w:rsidR="00352B5A" w:rsidRPr="0036232E">
        <w:rPr>
          <w:sz w:val="22"/>
          <w:szCs w:val="22"/>
        </w:rPr>
        <w:t>Location Inc. Group Corporation – LOCA-134845015 – Objection Set #1 – Water</w:t>
      </w:r>
    </w:p>
    <w:p w14:paraId="047048F3" w14:textId="77777777" w:rsidR="00AE6511" w:rsidRPr="0036232E" w:rsidRDefault="00AE6511" w:rsidP="00281816">
      <w:pPr>
        <w:ind w:left="720" w:hanging="360"/>
        <w:rPr>
          <w:sz w:val="22"/>
          <w:szCs w:val="22"/>
        </w:rPr>
      </w:pPr>
    </w:p>
    <w:p w14:paraId="29650BAE" w14:textId="77777777" w:rsidR="00281816" w:rsidRPr="0036232E" w:rsidRDefault="00281816" w:rsidP="00281816">
      <w:pPr>
        <w:pStyle w:val="ListParagraph"/>
        <w:numPr>
          <w:ilvl w:val="0"/>
          <w:numId w:val="1"/>
        </w:numPr>
        <w:rPr>
          <w:sz w:val="22"/>
          <w:szCs w:val="22"/>
        </w:rPr>
      </w:pPr>
      <w:r w:rsidRPr="0036232E">
        <w:rPr>
          <w:b/>
          <w:bCs/>
          <w:sz w:val="22"/>
          <w:szCs w:val="22"/>
        </w:rPr>
        <w:t>Please confirm the exact output of the model, including whether the model produces a score (e.g., 0–100).</w:t>
      </w:r>
      <w:r w:rsidRPr="0036232E">
        <w:rPr>
          <w:sz w:val="22"/>
          <w:szCs w:val="22"/>
        </w:rPr>
        <w:t> </w:t>
      </w:r>
    </w:p>
    <w:p w14:paraId="1659A65D" w14:textId="77777777" w:rsidR="00281816" w:rsidRPr="0036232E" w:rsidRDefault="00281816" w:rsidP="00281816">
      <w:pPr>
        <w:pStyle w:val="ListParagraph"/>
        <w:numPr>
          <w:ilvl w:val="1"/>
          <w:numId w:val="1"/>
        </w:numPr>
        <w:rPr>
          <w:sz w:val="22"/>
          <w:szCs w:val="22"/>
        </w:rPr>
      </w:pPr>
      <w:r w:rsidRPr="0036232E">
        <w:rPr>
          <w:sz w:val="22"/>
          <w:szCs w:val="22"/>
        </w:rPr>
        <w:t xml:space="preserve"> The model produces a Non-Weather </w:t>
      </w:r>
      <w:proofErr w:type="spellStart"/>
      <w:r w:rsidRPr="0036232E">
        <w:rPr>
          <w:sz w:val="22"/>
          <w:szCs w:val="22"/>
        </w:rPr>
        <w:t>WaterRisk</w:t>
      </w:r>
      <w:proofErr w:type="spellEnd"/>
      <w:r w:rsidRPr="0036232E">
        <w:rPr>
          <w:sz w:val="22"/>
          <w:szCs w:val="22"/>
        </w:rPr>
        <w:t xml:space="preserve"> score, which is a value from 1 to 100 that provides an assessment of the overall risk of a non-weather water claim for a specific census block. As secondary outputs, the model also produces a Water Claim Frequency Index (a value from 1 to 100 indicating claim frequency within the block) and a Water Claim Severity Index (a value from 1 to 100 indicating claim severity within the block).</w:t>
      </w:r>
    </w:p>
    <w:p w14:paraId="7091A22F" w14:textId="77777777" w:rsidR="00281816" w:rsidRPr="0036232E" w:rsidRDefault="00281816" w:rsidP="00281816">
      <w:pPr>
        <w:pStyle w:val="ListParagraph"/>
        <w:numPr>
          <w:ilvl w:val="0"/>
          <w:numId w:val="1"/>
        </w:numPr>
        <w:rPr>
          <w:sz w:val="22"/>
          <w:szCs w:val="22"/>
        </w:rPr>
      </w:pPr>
      <w:r w:rsidRPr="0036232E">
        <w:rPr>
          <w:b/>
          <w:bCs/>
          <w:sz w:val="22"/>
          <w:szCs w:val="22"/>
        </w:rPr>
        <w:t>Please confirm whether the vendor provides only the model output, and that the Company is responsible for developing and applying the rating factors associated with that output. If the vendor provides anything beyond the model output, please describe it.</w:t>
      </w:r>
      <w:r w:rsidRPr="0036232E">
        <w:rPr>
          <w:sz w:val="22"/>
          <w:szCs w:val="22"/>
        </w:rPr>
        <w:t> </w:t>
      </w:r>
    </w:p>
    <w:p w14:paraId="34357D9C" w14:textId="77777777" w:rsidR="00EB7E53" w:rsidRPr="0036232E" w:rsidRDefault="00FD7C45" w:rsidP="00281816">
      <w:pPr>
        <w:pStyle w:val="ListParagraph"/>
        <w:numPr>
          <w:ilvl w:val="1"/>
          <w:numId w:val="1"/>
        </w:numPr>
        <w:rPr>
          <w:sz w:val="22"/>
          <w:szCs w:val="22"/>
        </w:rPr>
      </w:pPr>
      <w:r w:rsidRPr="0036232E">
        <w:rPr>
          <w:sz w:val="22"/>
          <w:szCs w:val="22"/>
        </w:rPr>
        <w:t>The company is responsible for developing and applying the rating factors associated with those scores.</w:t>
      </w:r>
    </w:p>
    <w:p w14:paraId="50BEF536" w14:textId="77777777" w:rsidR="00EB7E53" w:rsidRPr="0036232E" w:rsidRDefault="00281816" w:rsidP="00EB7E53">
      <w:pPr>
        <w:pStyle w:val="ListParagraph"/>
        <w:numPr>
          <w:ilvl w:val="0"/>
          <w:numId w:val="1"/>
        </w:numPr>
        <w:rPr>
          <w:sz w:val="22"/>
          <w:szCs w:val="22"/>
        </w:rPr>
      </w:pPr>
      <w:r w:rsidRPr="0036232E">
        <w:rPr>
          <w:b/>
          <w:bCs/>
          <w:sz w:val="22"/>
          <w:szCs w:val="22"/>
        </w:rPr>
        <w:t xml:space="preserve">The data used to develop the model reflects experience from 2010 through 2017. In accordance with Actuarial Standard of Practice No. 23, Data Quality, please discuss whether this data is sufficiently current to reflect present-day risk, </w:t>
      </w:r>
      <w:proofErr w:type="gramStart"/>
      <w:r w:rsidRPr="0036232E">
        <w:rPr>
          <w:b/>
          <w:bCs/>
          <w:sz w:val="22"/>
          <w:szCs w:val="22"/>
        </w:rPr>
        <w:t>taking into account</w:t>
      </w:r>
      <w:proofErr w:type="gramEnd"/>
      <w:r w:rsidRPr="0036232E">
        <w:rPr>
          <w:b/>
          <w:bCs/>
          <w:sz w:val="22"/>
          <w:szCs w:val="22"/>
        </w:rPr>
        <w:t xml:space="preserve"> the trade-off between using more recent data and the practicality of obtaining and validating it. In addition, please provide out-of-time validation using more recent data to demonstrate that the model remains predictive on current experience.</w:t>
      </w:r>
      <w:r w:rsidRPr="0036232E">
        <w:rPr>
          <w:sz w:val="22"/>
          <w:szCs w:val="22"/>
        </w:rPr>
        <w:t> </w:t>
      </w:r>
    </w:p>
    <w:p w14:paraId="51719C99" w14:textId="4D6794F1" w:rsidR="00EB7E53" w:rsidRPr="0036232E" w:rsidRDefault="00EB7E53" w:rsidP="00281816">
      <w:pPr>
        <w:pStyle w:val="ListParagraph"/>
        <w:numPr>
          <w:ilvl w:val="1"/>
          <w:numId w:val="1"/>
        </w:numPr>
        <w:rPr>
          <w:sz w:val="22"/>
          <w:szCs w:val="22"/>
        </w:rPr>
      </w:pPr>
      <w:r w:rsidRPr="0036232E">
        <w:rPr>
          <w:sz w:val="22"/>
          <w:szCs w:val="22"/>
        </w:rPr>
        <w:t xml:space="preserve"> </w:t>
      </w:r>
      <w:r w:rsidR="00281816" w:rsidRPr="0036232E">
        <w:rPr>
          <w:sz w:val="22"/>
          <w:szCs w:val="22"/>
        </w:rPr>
        <w:t xml:space="preserve">The model utilized claim and loss history data from nine carrier partners from the period of 2010 to 2017 for training and testing. To demonstrate that the model remains predictive on current experience, we further validated the model using an out-of-time holdout sample of carrier evaluation data consisting of claims and losses from 2015 to the present. </w:t>
      </w:r>
    </w:p>
    <w:p w14:paraId="49402116" w14:textId="365D7158" w:rsidR="00707158" w:rsidRPr="0036232E" w:rsidRDefault="00707158" w:rsidP="00281816">
      <w:pPr>
        <w:pStyle w:val="ListParagraph"/>
        <w:numPr>
          <w:ilvl w:val="1"/>
          <w:numId w:val="1"/>
        </w:numPr>
        <w:rPr>
          <w:sz w:val="22"/>
          <w:szCs w:val="22"/>
        </w:rPr>
      </w:pPr>
      <w:r w:rsidRPr="0036232E">
        <w:rPr>
          <w:sz w:val="22"/>
          <w:szCs w:val="22"/>
        </w:rPr>
        <w:lastRenderedPageBreak/>
        <w:t>To satisfy ASOP No. 23 regarding the use of current data, Cotality balanced the need for recent data against the statistical credibility required to build a robust model. The strong lift and monotonic rank-ordering demonstrated on the modern out-of-time validation dataset confirms that the underlying model structure remains highly predictive of present-day risk without needing a full redevelopment.</w:t>
      </w:r>
    </w:p>
    <w:p w14:paraId="37D73923" w14:textId="77777777" w:rsidR="00EB7E53" w:rsidRPr="0036232E" w:rsidRDefault="00281816" w:rsidP="00EB7E53">
      <w:pPr>
        <w:pStyle w:val="ListParagraph"/>
        <w:numPr>
          <w:ilvl w:val="0"/>
          <w:numId w:val="1"/>
        </w:numPr>
        <w:rPr>
          <w:sz w:val="22"/>
          <w:szCs w:val="22"/>
        </w:rPr>
      </w:pPr>
      <w:r w:rsidRPr="0036232E">
        <w:rPr>
          <w:b/>
          <w:bCs/>
          <w:sz w:val="22"/>
          <w:szCs w:val="22"/>
        </w:rPr>
        <w:t>Please provide the proportion of the data that is specific to Georgia.</w:t>
      </w:r>
      <w:r w:rsidRPr="0036232E">
        <w:rPr>
          <w:sz w:val="22"/>
          <w:szCs w:val="22"/>
        </w:rPr>
        <w:t> </w:t>
      </w:r>
    </w:p>
    <w:p w14:paraId="5A838711" w14:textId="15B52AAF" w:rsidR="0088544A" w:rsidRPr="0036232E" w:rsidRDefault="00D22ABA" w:rsidP="00281816">
      <w:pPr>
        <w:pStyle w:val="ListParagraph"/>
        <w:numPr>
          <w:ilvl w:val="1"/>
          <w:numId w:val="1"/>
        </w:numPr>
        <w:rPr>
          <w:sz w:val="22"/>
          <w:szCs w:val="22"/>
        </w:rPr>
      </w:pPr>
      <w:r w:rsidRPr="0036232E">
        <w:rPr>
          <w:sz w:val="22"/>
          <w:szCs w:val="22"/>
        </w:rPr>
        <w:t>3</w:t>
      </w:r>
      <w:r w:rsidR="002B1280" w:rsidRPr="0036232E">
        <w:rPr>
          <w:sz w:val="22"/>
          <w:szCs w:val="22"/>
        </w:rPr>
        <w:t>.</w:t>
      </w:r>
      <w:r w:rsidRPr="0036232E">
        <w:rPr>
          <w:sz w:val="22"/>
          <w:szCs w:val="22"/>
        </w:rPr>
        <w:t>5</w:t>
      </w:r>
      <w:r w:rsidR="00C7338A" w:rsidRPr="0036232E">
        <w:rPr>
          <w:sz w:val="22"/>
          <w:szCs w:val="22"/>
        </w:rPr>
        <w:t xml:space="preserve">% of </w:t>
      </w:r>
      <w:r w:rsidR="00FB68A9" w:rsidRPr="0036232E">
        <w:rPr>
          <w:sz w:val="22"/>
          <w:szCs w:val="22"/>
        </w:rPr>
        <w:t>data used in model development is specific to Georgia</w:t>
      </w:r>
      <w:r w:rsidR="00007277" w:rsidRPr="0036232E">
        <w:rPr>
          <w:sz w:val="22"/>
          <w:szCs w:val="22"/>
        </w:rPr>
        <w:t>.</w:t>
      </w:r>
    </w:p>
    <w:p w14:paraId="69D43E75" w14:textId="77777777" w:rsidR="00EB7E53" w:rsidRPr="0036232E" w:rsidRDefault="00281816" w:rsidP="00EB7E53">
      <w:pPr>
        <w:pStyle w:val="ListParagraph"/>
        <w:numPr>
          <w:ilvl w:val="0"/>
          <w:numId w:val="1"/>
        </w:numPr>
        <w:rPr>
          <w:sz w:val="22"/>
          <w:szCs w:val="22"/>
        </w:rPr>
      </w:pPr>
      <w:r w:rsidRPr="0036232E">
        <w:rPr>
          <w:b/>
          <w:bCs/>
          <w:sz w:val="22"/>
          <w:szCs w:val="22"/>
        </w:rPr>
        <w:t>Please confirm whether any dimensionality reduction techniques were applied during model development (e.g., Principal Component Analysis (PCA), clustering, or other feature compression methods). If so, please describe the techniques used, the variables involved, and how the resulting variables were incorporated into the model.</w:t>
      </w:r>
      <w:r w:rsidRPr="0036232E">
        <w:rPr>
          <w:sz w:val="22"/>
          <w:szCs w:val="22"/>
        </w:rPr>
        <w:t> </w:t>
      </w:r>
    </w:p>
    <w:p w14:paraId="00685858" w14:textId="77777777" w:rsidR="00EB7E53" w:rsidRPr="0036232E" w:rsidRDefault="00EB7E53" w:rsidP="00281816">
      <w:pPr>
        <w:pStyle w:val="ListParagraph"/>
        <w:numPr>
          <w:ilvl w:val="1"/>
          <w:numId w:val="1"/>
        </w:numPr>
        <w:rPr>
          <w:sz w:val="22"/>
          <w:szCs w:val="22"/>
        </w:rPr>
      </w:pPr>
      <w:r w:rsidRPr="0036232E">
        <w:rPr>
          <w:sz w:val="22"/>
          <w:szCs w:val="22"/>
        </w:rPr>
        <w:t xml:space="preserve"> </w:t>
      </w:r>
      <w:r w:rsidR="00281816" w:rsidRPr="0036232E">
        <w:rPr>
          <w:sz w:val="22"/>
          <w:szCs w:val="22"/>
        </w:rPr>
        <w:t>No dimensionality reduction techniques were applied to the data during model development.</w:t>
      </w:r>
    </w:p>
    <w:p w14:paraId="2520621E" w14:textId="77777777" w:rsidR="00EB7E53" w:rsidRPr="0036232E" w:rsidRDefault="00281816" w:rsidP="00EB7E53">
      <w:pPr>
        <w:pStyle w:val="ListParagraph"/>
        <w:numPr>
          <w:ilvl w:val="0"/>
          <w:numId w:val="1"/>
        </w:numPr>
        <w:rPr>
          <w:sz w:val="22"/>
          <w:szCs w:val="22"/>
        </w:rPr>
      </w:pPr>
      <w:r w:rsidRPr="0036232E">
        <w:rPr>
          <w:b/>
          <w:bCs/>
          <w:sz w:val="22"/>
          <w:szCs w:val="22"/>
        </w:rPr>
        <w:t xml:space="preserve">Regarding the losses used in the modeling process, including those in the validation dataset, please confirm the following: a. Whether the losses were trended and, if so, describe the methodology used. b. Whether the losses were developed to </w:t>
      </w:r>
      <w:proofErr w:type="gramStart"/>
      <w:r w:rsidRPr="0036232E">
        <w:rPr>
          <w:b/>
          <w:bCs/>
          <w:sz w:val="22"/>
          <w:szCs w:val="22"/>
        </w:rPr>
        <w:t>ultimate</w:t>
      </w:r>
      <w:proofErr w:type="gramEnd"/>
      <w:r w:rsidRPr="0036232E">
        <w:rPr>
          <w:b/>
          <w:bCs/>
          <w:sz w:val="22"/>
          <w:szCs w:val="22"/>
        </w:rPr>
        <w:t xml:space="preserve"> and, if so, describe the methodology used. c. Whether the losses were capped and, if so, describe the capping approach and thresholds applied. d. Whether any outliers were excluded, including large losses and catastrophe claims.</w:t>
      </w:r>
      <w:r w:rsidRPr="0036232E">
        <w:rPr>
          <w:sz w:val="22"/>
          <w:szCs w:val="22"/>
        </w:rPr>
        <w:t> </w:t>
      </w:r>
    </w:p>
    <w:p w14:paraId="1CB4231E" w14:textId="77777777" w:rsidR="005B14F7" w:rsidRPr="0036232E" w:rsidRDefault="00EB7E53" w:rsidP="00EB7E53">
      <w:pPr>
        <w:pStyle w:val="ListParagraph"/>
        <w:numPr>
          <w:ilvl w:val="1"/>
          <w:numId w:val="1"/>
        </w:numPr>
        <w:rPr>
          <w:sz w:val="22"/>
          <w:szCs w:val="22"/>
        </w:rPr>
      </w:pPr>
      <w:r w:rsidRPr="0036232E">
        <w:rPr>
          <w:sz w:val="22"/>
          <w:szCs w:val="22"/>
        </w:rPr>
        <w:t xml:space="preserve"> </w:t>
      </w:r>
      <w:r w:rsidR="00281816" w:rsidRPr="0036232E">
        <w:rPr>
          <w:sz w:val="22"/>
          <w:szCs w:val="22"/>
        </w:rPr>
        <w:t xml:space="preserve">Catastrophic losses were excluded from the analysis. For the severity portion of the model, water claim severity was capped at $100,000, which represents the 99.4th percentile of claim severity. Some lines with abnormally high claim frequency likely caused by a non-representative data sample, as well as some lines with small sample sizes, were excluded as outliers; excluding these lines improved the segmentation of the models and reduced noise (less than 10% of the available data was excluded). </w:t>
      </w:r>
    </w:p>
    <w:p w14:paraId="32078110" w14:textId="7B4D1239" w:rsidR="0088544A" w:rsidRPr="0036232E" w:rsidRDefault="0088544A" w:rsidP="00281816">
      <w:pPr>
        <w:pStyle w:val="ListParagraph"/>
        <w:numPr>
          <w:ilvl w:val="1"/>
          <w:numId w:val="1"/>
        </w:numPr>
        <w:rPr>
          <w:sz w:val="22"/>
          <w:szCs w:val="22"/>
        </w:rPr>
      </w:pPr>
      <w:r w:rsidRPr="0036232E">
        <w:rPr>
          <w:sz w:val="22"/>
          <w:szCs w:val="22"/>
        </w:rPr>
        <w:t xml:space="preserve">Losses were not trended or developed </w:t>
      </w:r>
      <w:proofErr w:type="gramStart"/>
      <w:r w:rsidRPr="0036232E">
        <w:rPr>
          <w:sz w:val="22"/>
          <w:szCs w:val="22"/>
        </w:rPr>
        <w:t>to</w:t>
      </w:r>
      <w:proofErr w:type="gramEnd"/>
      <w:r w:rsidRPr="0036232E">
        <w:rPr>
          <w:sz w:val="22"/>
          <w:szCs w:val="22"/>
        </w:rPr>
        <w:t xml:space="preserve"> ultimate.</w:t>
      </w:r>
    </w:p>
    <w:p w14:paraId="637DFC96" w14:textId="77777777" w:rsidR="005B14F7" w:rsidRPr="0036232E" w:rsidRDefault="00281816" w:rsidP="005B14F7">
      <w:pPr>
        <w:pStyle w:val="ListParagraph"/>
        <w:numPr>
          <w:ilvl w:val="0"/>
          <w:numId w:val="1"/>
        </w:numPr>
        <w:rPr>
          <w:sz w:val="22"/>
          <w:szCs w:val="22"/>
        </w:rPr>
      </w:pPr>
      <w:r w:rsidRPr="0036232E">
        <w:rPr>
          <w:b/>
          <w:bCs/>
          <w:sz w:val="22"/>
          <w:szCs w:val="22"/>
        </w:rPr>
        <w:t>Please describe how the dataset was validated for accuracy and completeness prior to being used in the model development and validation process.</w:t>
      </w:r>
      <w:r w:rsidRPr="0036232E">
        <w:rPr>
          <w:sz w:val="22"/>
          <w:szCs w:val="22"/>
        </w:rPr>
        <w:t> </w:t>
      </w:r>
    </w:p>
    <w:p w14:paraId="50CED43C" w14:textId="77777777" w:rsidR="00DE1EF1" w:rsidRPr="0036232E" w:rsidRDefault="005B14F7" w:rsidP="00281816">
      <w:pPr>
        <w:pStyle w:val="ListParagraph"/>
        <w:numPr>
          <w:ilvl w:val="1"/>
          <w:numId w:val="1"/>
        </w:numPr>
        <w:rPr>
          <w:sz w:val="22"/>
          <w:szCs w:val="22"/>
        </w:rPr>
      </w:pPr>
      <w:r w:rsidRPr="0036232E">
        <w:rPr>
          <w:sz w:val="22"/>
          <w:szCs w:val="22"/>
        </w:rPr>
        <w:t xml:space="preserve"> </w:t>
      </w:r>
      <w:r w:rsidR="00281816" w:rsidRPr="0036232E">
        <w:rPr>
          <w:sz w:val="22"/>
          <w:szCs w:val="22"/>
        </w:rPr>
        <w:t>Cotality validates the accuracy and completeness of data sources through its robust Data Governance Program, which provides strict oversight over the acquisition, production, definition, distribution, and use of company data. During data compilation, carrier data at the address level was geocoded to the Census Blocks using Cotality’s own geocoding service. A small percentage (approximately 2%) of carrier-provided addresses that were incomplete or inaccurate and could not be geocoded were excluded from the dataset.</w:t>
      </w:r>
    </w:p>
    <w:p w14:paraId="0957761F" w14:textId="77777777" w:rsidR="00DE1EF1" w:rsidRPr="0036232E" w:rsidRDefault="00281816" w:rsidP="00DE1EF1">
      <w:pPr>
        <w:pStyle w:val="ListParagraph"/>
        <w:numPr>
          <w:ilvl w:val="0"/>
          <w:numId w:val="1"/>
        </w:numPr>
        <w:rPr>
          <w:sz w:val="22"/>
          <w:szCs w:val="22"/>
        </w:rPr>
      </w:pPr>
      <w:r w:rsidRPr="0036232E">
        <w:rPr>
          <w:b/>
          <w:bCs/>
          <w:sz w:val="22"/>
          <w:szCs w:val="22"/>
        </w:rPr>
        <w:t xml:space="preserve">For each of the variables in the model, identify any that generate null and missing values. Please quantify the amount of null and missing values. Additionally, provide details on how these values were addressed in the modeling process. For example, whether they were treated as a distinct category, assigned judgmentally selected </w:t>
      </w:r>
      <w:r w:rsidRPr="0036232E">
        <w:rPr>
          <w:b/>
          <w:bCs/>
          <w:sz w:val="22"/>
          <w:szCs w:val="22"/>
        </w:rPr>
        <w:lastRenderedPageBreak/>
        <w:t>factors, replaced with a weighted average of non-missing categories, or handled through another imputation method.</w:t>
      </w:r>
      <w:r w:rsidRPr="0036232E">
        <w:rPr>
          <w:sz w:val="22"/>
          <w:szCs w:val="22"/>
        </w:rPr>
        <w:t> </w:t>
      </w:r>
    </w:p>
    <w:p w14:paraId="054B658C" w14:textId="77777777" w:rsidR="003E03A7" w:rsidRPr="0036232E" w:rsidRDefault="00DE1EF1" w:rsidP="003E03A7">
      <w:pPr>
        <w:pStyle w:val="ListParagraph"/>
        <w:numPr>
          <w:ilvl w:val="1"/>
          <w:numId w:val="1"/>
        </w:numPr>
        <w:rPr>
          <w:sz w:val="22"/>
          <w:szCs w:val="22"/>
        </w:rPr>
      </w:pPr>
      <w:r w:rsidRPr="0036232E">
        <w:rPr>
          <w:sz w:val="22"/>
          <w:szCs w:val="22"/>
        </w:rPr>
        <w:t xml:space="preserve"> </w:t>
      </w:r>
      <w:r w:rsidR="003E03A7" w:rsidRPr="0036232E">
        <w:rPr>
          <w:sz w:val="22"/>
          <w:szCs w:val="22"/>
        </w:rPr>
        <w:t>Missing values in the source data occur exclusively when Census Blocks have zero or extremely low populations (such as uninhabited land or industrial zones). Because these unpopulated Census Blocks naturally lack historical policy or claim experience, they are not part of the 2010–2017 training dataset. Consequently, the effective rate of null and missing values within the actual modeling development dataset is statistically immaterial. While a retroactive tally of the exact null count per variable is not maintained due to this exclusion, the model's structural integrity and data quality remain fully compliant with ASOP 23.</w:t>
      </w:r>
    </w:p>
    <w:p w14:paraId="768ED3F9" w14:textId="35664DB4" w:rsidR="00DE1EF1" w:rsidRPr="0036232E" w:rsidRDefault="003E03A7" w:rsidP="003E03A7">
      <w:pPr>
        <w:pStyle w:val="ListParagraph"/>
        <w:numPr>
          <w:ilvl w:val="1"/>
          <w:numId w:val="1"/>
        </w:numPr>
        <w:rPr>
          <w:sz w:val="22"/>
          <w:szCs w:val="22"/>
        </w:rPr>
      </w:pPr>
      <w:r w:rsidRPr="0036232E">
        <w:rPr>
          <w:sz w:val="22"/>
          <w:szCs w:val="22"/>
        </w:rPr>
        <w:t>In a production environment, if a risk is queried in an area that generates a missing value, the model is robust enough to impute the data using a strict mathematical approach rather than judgmentally selected factors: missing values are zero-filled, or filled with -2 for log-10 transformed variables (as log10(0 + .1) = -2).</w:t>
      </w:r>
    </w:p>
    <w:p w14:paraId="71E4648A" w14:textId="502BA0CB" w:rsidR="00DE1EF1" w:rsidRPr="0036232E" w:rsidRDefault="00281816" w:rsidP="0049118F">
      <w:pPr>
        <w:pStyle w:val="ListParagraph"/>
        <w:numPr>
          <w:ilvl w:val="0"/>
          <w:numId w:val="1"/>
        </w:numPr>
        <w:rPr>
          <w:sz w:val="22"/>
          <w:szCs w:val="22"/>
        </w:rPr>
      </w:pPr>
      <w:r w:rsidRPr="0036232E">
        <w:rPr>
          <w:b/>
          <w:bCs/>
          <w:sz w:val="22"/>
          <w:szCs w:val="22"/>
        </w:rPr>
        <w:t>Please explain any diagnostics performed and considerations made to ensure the data from other states has predictive power for Georgia.</w:t>
      </w:r>
      <w:r w:rsidRPr="0036232E">
        <w:rPr>
          <w:sz w:val="22"/>
          <w:szCs w:val="22"/>
        </w:rPr>
        <w:t> </w:t>
      </w:r>
    </w:p>
    <w:p w14:paraId="4DCF9D13" w14:textId="6E94C4BE" w:rsidR="006E14BF" w:rsidRPr="0036232E" w:rsidRDefault="006E14BF" w:rsidP="006E14BF">
      <w:pPr>
        <w:pStyle w:val="ListParagraph"/>
        <w:numPr>
          <w:ilvl w:val="1"/>
          <w:numId w:val="1"/>
        </w:numPr>
        <w:rPr>
          <w:sz w:val="22"/>
          <w:szCs w:val="22"/>
        </w:rPr>
      </w:pPr>
      <w:r w:rsidRPr="0036232E">
        <w:rPr>
          <w:sz w:val="22"/>
          <w:szCs w:val="22"/>
        </w:rPr>
        <w:t xml:space="preserve">To ensure the nationwide data has predictive power for Georgia, Cotality validated the model against a Georgia-specific, out-of-time dataset (2015-current) consisting of 345,000 earned exposures, 6,500 claims, and $87 million in losses. The resulting Georgia </w:t>
      </w:r>
      <w:proofErr w:type="gramStart"/>
      <w:r w:rsidRPr="0036232E">
        <w:rPr>
          <w:sz w:val="22"/>
          <w:szCs w:val="22"/>
        </w:rPr>
        <w:t>lift</w:t>
      </w:r>
      <w:proofErr w:type="gramEnd"/>
      <w:r w:rsidRPr="0036232E">
        <w:rPr>
          <w:sz w:val="22"/>
          <w:szCs w:val="22"/>
        </w:rPr>
        <w:t xml:space="preserve"> curves successfully separate the best to worst risks, demonstrating strong localized predictive power. Cotality considers these localized lift curves and validation metrics to be highly proprietary. Therefore, they </w:t>
      </w:r>
      <w:r w:rsidR="00D3003F" w:rsidRPr="0036232E">
        <w:rPr>
          <w:sz w:val="22"/>
          <w:szCs w:val="22"/>
        </w:rPr>
        <w:t>were</w:t>
      </w:r>
      <w:r w:rsidRPr="0036232E">
        <w:rPr>
          <w:sz w:val="22"/>
          <w:szCs w:val="22"/>
        </w:rPr>
        <w:t xml:space="preserve"> provided confidentially in a supplemental document under trade secret protection</w:t>
      </w:r>
      <w:r w:rsidR="00D3003F" w:rsidRPr="0036232E">
        <w:rPr>
          <w:sz w:val="22"/>
          <w:szCs w:val="22"/>
        </w:rPr>
        <w:t>.</w:t>
      </w:r>
    </w:p>
    <w:p w14:paraId="72C1B8F6" w14:textId="28205829" w:rsidR="00DE1EF1" w:rsidRPr="0036232E" w:rsidRDefault="00281816" w:rsidP="002431B4">
      <w:pPr>
        <w:pStyle w:val="ListParagraph"/>
        <w:numPr>
          <w:ilvl w:val="0"/>
          <w:numId w:val="1"/>
        </w:numPr>
        <w:rPr>
          <w:sz w:val="22"/>
          <w:szCs w:val="22"/>
        </w:rPr>
      </w:pPr>
      <w:r w:rsidRPr="0036232E">
        <w:rPr>
          <w:b/>
          <w:bCs/>
          <w:sz w:val="22"/>
          <w:szCs w:val="22"/>
        </w:rPr>
        <w:t>Please confirm total number of records (exposures, claims) used in the modeling dataset.</w:t>
      </w:r>
      <w:r w:rsidRPr="0036232E">
        <w:rPr>
          <w:sz w:val="22"/>
          <w:szCs w:val="22"/>
        </w:rPr>
        <w:t> </w:t>
      </w:r>
    </w:p>
    <w:p w14:paraId="16F507DD" w14:textId="3DF142B1" w:rsidR="002431B4" w:rsidRPr="0036232E" w:rsidRDefault="00281816" w:rsidP="002431B4">
      <w:pPr>
        <w:pStyle w:val="ListParagraph"/>
        <w:numPr>
          <w:ilvl w:val="1"/>
          <w:numId w:val="1"/>
        </w:numPr>
        <w:rPr>
          <w:sz w:val="22"/>
          <w:szCs w:val="22"/>
        </w:rPr>
      </w:pPr>
      <w:r w:rsidRPr="0036232E">
        <w:rPr>
          <w:sz w:val="22"/>
          <w:szCs w:val="22"/>
        </w:rPr>
        <w:t xml:space="preserve"> </w:t>
      </w:r>
      <w:r w:rsidR="002431B4" w:rsidRPr="0036232E">
        <w:rPr>
          <w:sz w:val="22"/>
          <w:szCs w:val="22"/>
        </w:rPr>
        <w:t>The nationwide 2010–2017 modeling development dataset includes 5,996,631 earned exposures representing $683,316,712 in total losses</w:t>
      </w:r>
      <w:r w:rsidR="00732DA2" w:rsidRPr="0036232E">
        <w:rPr>
          <w:sz w:val="22"/>
          <w:szCs w:val="22"/>
        </w:rPr>
        <w:t xml:space="preserve"> (Seen below</w:t>
      </w:r>
      <w:r w:rsidR="005E59F3" w:rsidRPr="0036232E">
        <w:rPr>
          <w:sz w:val="22"/>
          <w:szCs w:val="22"/>
        </w:rPr>
        <w:t xml:space="preserve">). </w:t>
      </w:r>
      <w:r w:rsidR="002431B4" w:rsidRPr="0036232E">
        <w:rPr>
          <w:sz w:val="22"/>
          <w:szCs w:val="22"/>
        </w:rPr>
        <w:t>While the specific isolated claim count for this historical training snapshot is unavailable due to legacy data aggregation practices, the model’s statistical credibility is extensively documented and proven through our validation datasets.</w:t>
      </w:r>
    </w:p>
    <w:p w14:paraId="34CACB64" w14:textId="6AFA0465" w:rsidR="00BD688E" w:rsidRPr="0036232E" w:rsidRDefault="002431B4" w:rsidP="005E59F3">
      <w:pPr>
        <w:pStyle w:val="ListParagraph"/>
        <w:numPr>
          <w:ilvl w:val="1"/>
          <w:numId w:val="1"/>
        </w:numPr>
        <w:rPr>
          <w:sz w:val="22"/>
          <w:szCs w:val="22"/>
        </w:rPr>
      </w:pPr>
      <w:r w:rsidRPr="0036232E">
        <w:rPr>
          <w:sz w:val="22"/>
          <w:szCs w:val="22"/>
        </w:rPr>
        <w:t xml:space="preserve">Specifically, the model has been cumulatively validated on 107,285 closed water claims (from 2008–2018) as well as our recent out-of-time dataset containing 188,000 non-weather water claims (from 2015–current). A table detailing the exact earned exposures and losses by year and by training/holdout split for the development dataset </w:t>
      </w:r>
      <w:r w:rsidR="005E59F3" w:rsidRPr="0036232E">
        <w:rPr>
          <w:sz w:val="22"/>
          <w:szCs w:val="22"/>
        </w:rPr>
        <w:t>can be seen below.</w:t>
      </w:r>
    </w:p>
    <w:p w14:paraId="75F83335" w14:textId="77777777" w:rsidR="00E25DEE" w:rsidRPr="0036232E" w:rsidRDefault="00E25DEE" w:rsidP="00E25DEE">
      <w:pPr>
        <w:rPr>
          <w:sz w:val="22"/>
          <w:szCs w:val="22"/>
        </w:rPr>
      </w:pPr>
    </w:p>
    <w:p w14:paraId="7E321742" w14:textId="77777777" w:rsidR="00F945E5" w:rsidRPr="0036232E" w:rsidRDefault="00F945E5" w:rsidP="00E25DEE">
      <w:pPr>
        <w:rPr>
          <w:sz w:val="22"/>
          <w:szCs w:val="22"/>
        </w:rPr>
      </w:pPr>
    </w:p>
    <w:p w14:paraId="0EBCF9CB" w14:textId="77777777" w:rsidR="00F945E5" w:rsidRPr="0036232E" w:rsidRDefault="00F945E5" w:rsidP="00E25DEE">
      <w:pPr>
        <w:rPr>
          <w:sz w:val="22"/>
          <w:szCs w:val="22"/>
        </w:rPr>
      </w:pPr>
    </w:p>
    <w:p w14:paraId="5A922D05" w14:textId="77777777" w:rsidR="00E25DEE" w:rsidRPr="0036232E" w:rsidRDefault="00E25DEE" w:rsidP="00E25DEE">
      <w:pPr>
        <w:rPr>
          <w:sz w:val="22"/>
          <w:szCs w:val="22"/>
        </w:rPr>
      </w:pPr>
    </w:p>
    <w:p w14:paraId="0ED0A873" w14:textId="77777777" w:rsidR="00E25DEE" w:rsidRPr="0036232E" w:rsidRDefault="00E25DEE" w:rsidP="00E25DEE">
      <w:pPr>
        <w:rPr>
          <w:sz w:val="22"/>
          <w:szCs w:val="22"/>
        </w:rPr>
      </w:pPr>
    </w:p>
    <w:tbl>
      <w:tblPr>
        <w:tblW w:w="9740" w:type="dxa"/>
        <w:tblLook w:val="04A0" w:firstRow="1" w:lastRow="0" w:firstColumn="1" w:lastColumn="0" w:noHBand="0" w:noVBand="1"/>
      </w:tblPr>
      <w:tblGrid>
        <w:gridCol w:w="1340"/>
        <w:gridCol w:w="1360"/>
        <w:gridCol w:w="1360"/>
        <w:gridCol w:w="1350"/>
        <w:gridCol w:w="1350"/>
        <w:gridCol w:w="1447"/>
        <w:gridCol w:w="1533"/>
      </w:tblGrid>
      <w:tr w:rsidR="00BD688E" w:rsidRPr="0036232E" w14:paraId="0B79A91A" w14:textId="77777777" w:rsidTr="00BD688E">
        <w:trPr>
          <w:trHeight w:val="300"/>
        </w:trPr>
        <w:tc>
          <w:tcPr>
            <w:tcW w:w="1340" w:type="dxa"/>
            <w:tcBorders>
              <w:top w:val="single" w:sz="4" w:space="0" w:color="auto"/>
              <w:left w:val="single" w:sz="4" w:space="0" w:color="auto"/>
              <w:bottom w:val="single" w:sz="4" w:space="0" w:color="auto"/>
              <w:right w:val="single" w:sz="4" w:space="0" w:color="auto"/>
            </w:tcBorders>
            <w:noWrap/>
            <w:vAlign w:val="bottom"/>
            <w:hideMark/>
          </w:tcPr>
          <w:p w14:paraId="62E99949" w14:textId="77777777" w:rsidR="00BD688E" w:rsidRPr="0036232E" w:rsidRDefault="00BD688E" w:rsidP="00BD688E">
            <w:pPr>
              <w:spacing w:after="0" w:line="240" w:lineRule="auto"/>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 </w:t>
            </w:r>
          </w:p>
        </w:tc>
        <w:tc>
          <w:tcPr>
            <w:tcW w:w="2720" w:type="dxa"/>
            <w:gridSpan w:val="2"/>
            <w:tcBorders>
              <w:top w:val="single" w:sz="4" w:space="0" w:color="auto"/>
              <w:left w:val="nil"/>
              <w:bottom w:val="single" w:sz="4" w:space="0" w:color="auto"/>
              <w:right w:val="single" w:sz="4" w:space="0" w:color="auto"/>
            </w:tcBorders>
            <w:noWrap/>
            <w:vAlign w:val="bottom"/>
            <w:hideMark/>
          </w:tcPr>
          <w:p w14:paraId="36AA7D2E" w14:textId="77777777" w:rsidR="00BD688E" w:rsidRPr="0036232E" w:rsidRDefault="00BD688E" w:rsidP="00BD688E">
            <w:pPr>
              <w:spacing w:after="0" w:line="240" w:lineRule="auto"/>
              <w:jc w:val="center"/>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policy count</w:t>
            </w:r>
          </w:p>
        </w:tc>
        <w:tc>
          <w:tcPr>
            <w:tcW w:w="2700" w:type="dxa"/>
            <w:gridSpan w:val="2"/>
            <w:tcBorders>
              <w:top w:val="single" w:sz="4" w:space="0" w:color="auto"/>
              <w:left w:val="nil"/>
              <w:bottom w:val="single" w:sz="4" w:space="0" w:color="auto"/>
              <w:right w:val="single" w:sz="4" w:space="0" w:color="auto"/>
            </w:tcBorders>
            <w:noWrap/>
            <w:vAlign w:val="bottom"/>
            <w:hideMark/>
          </w:tcPr>
          <w:p w14:paraId="45912A9F" w14:textId="77777777" w:rsidR="00BD688E" w:rsidRPr="0036232E" w:rsidRDefault="00BD688E" w:rsidP="00BD688E">
            <w:pPr>
              <w:spacing w:after="0" w:line="240" w:lineRule="auto"/>
              <w:jc w:val="center"/>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 xml:space="preserve"> earned exposures </w:t>
            </w:r>
          </w:p>
        </w:tc>
        <w:tc>
          <w:tcPr>
            <w:tcW w:w="2980" w:type="dxa"/>
            <w:gridSpan w:val="2"/>
            <w:tcBorders>
              <w:top w:val="single" w:sz="4" w:space="0" w:color="auto"/>
              <w:left w:val="nil"/>
              <w:bottom w:val="single" w:sz="4" w:space="0" w:color="auto"/>
              <w:right w:val="single" w:sz="4" w:space="0" w:color="auto"/>
            </w:tcBorders>
            <w:noWrap/>
            <w:vAlign w:val="bottom"/>
            <w:hideMark/>
          </w:tcPr>
          <w:p w14:paraId="6D1CF897" w14:textId="77777777" w:rsidR="00BD688E" w:rsidRPr="0036232E" w:rsidRDefault="00BD688E" w:rsidP="00BD688E">
            <w:pPr>
              <w:spacing w:after="0" w:line="240" w:lineRule="auto"/>
              <w:jc w:val="center"/>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 xml:space="preserve"> losses </w:t>
            </w:r>
          </w:p>
        </w:tc>
      </w:tr>
      <w:tr w:rsidR="00BD688E" w:rsidRPr="0036232E" w14:paraId="70FF040C" w14:textId="77777777" w:rsidTr="00BD688E">
        <w:trPr>
          <w:trHeight w:val="300"/>
        </w:trPr>
        <w:tc>
          <w:tcPr>
            <w:tcW w:w="1340" w:type="dxa"/>
            <w:tcBorders>
              <w:top w:val="nil"/>
              <w:left w:val="single" w:sz="4" w:space="0" w:color="auto"/>
              <w:bottom w:val="single" w:sz="4" w:space="0" w:color="auto"/>
              <w:right w:val="single" w:sz="4" w:space="0" w:color="auto"/>
            </w:tcBorders>
            <w:noWrap/>
            <w:vAlign w:val="bottom"/>
            <w:hideMark/>
          </w:tcPr>
          <w:p w14:paraId="555901D1" w14:textId="77777777" w:rsidR="00BD688E" w:rsidRPr="0036232E" w:rsidRDefault="00BD688E" w:rsidP="00BD688E">
            <w:pPr>
              <w:spacing w:after="0" w:line="240" w:lineRule="auto"/>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year</w:t>
            </w:r>
          </w:p>
        </w:tc>
        <w:tc>
          <w:tcPr>
            <w:tcW w:w="1360" w:type="dxa"/>
            <w:tcBorders>
              <w:top w:val="nil"/>
              <w:left w:val="nil"/>
              <w:bottom w:val="single" w:sz="4" w:space="0" w:color="auto"/>
              <w:right w:val="single" w:sz="4" w:space="0" w:color="auto"/>
            </w:tcBorders>
            <w:noWrap/>
            <w:vAlign w:val="bottom"/>
            <w:hideMark/>
          </w:tcPr>
          <w:p w14:paraId="52A791AE" w14:textId="77777777" w:rsidR="00BD688E" w:rsidRPr="0036232E" w:rsidRDefault="00BD688E" w:rsidP="00BD688E">
            <w:pPr>
              <w:spacing w:after="0" w:line="240" w:lineRule="auto"/>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 xml:space="preserve"> training </w:t>
            </w:r>
          </w:p>
        </w:tc>
        <w:tc>
          <w:tcPr>
            <w:tcW w:w="1360" w:type="dxa"/>
            <w:tcBorders>
              <w:top w:val="nil"/>
              <w:left w:val="nil"/>
              <w:bottom w:val="single" w:sz="4" w:space="0" w:color="auto"/>
              <w:right w:val="single" w:sz="4" w:space="0" w:color="auto"/>
            </w:tcBorders>
            <w:noWrap/>
            <w:vAlign w:val="bottom"/>
            <w:hideMark/>
          </w:tcPr>
          <w:p w14:paraId="018CA97D" w14:textId="77777777" w:rsidR="00BD688E" w:rsidRPr="0036232E" w:rsidRDefault="00BD688E" w:rsidP="00BD688E">
            <w:pPr>
              <w:spacing w:after="0" w:line="240" w:lineRule="auto"/>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 xml:space="preserve"> holdout </w:t>
            </w:r>
          </w:p>
        </w:tc>
        <w:tc>
          <w:tcPr>
            <w:tcW w:w="1350" w:type="dxa"/>
            <w:tcBorders>
              <w:top w:val="nil"/>
              <w:left w:val="nil"/>
              <w:bottom w:val="single" w:sz="4" w:space="0" w:color="auto"/>
              <w:right w:val="single" w:sz="4" w:space="0" w:color="auto"/>
            </w:tcBorders>
            <w:noWrap/>
            <w:vAlign w:val="bottom"/>
            <w:hideMark/>
          </w:tcPr>
          <w:p w14:paraId="0C4EDBC2" w14:textId="77777777" w:rsidR="00BD688E" w:rsidRPr="0036232E" w:rsidRDefault="00BD688E" w:rsidP="00BD688E">
            <w:pPr>
              <w:spacing w:after="0" w:line="240" w:lineRule="auto"/>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 xml:space="preserve"> training </w:t>
            </w:r>
          </w:p>
        </w:tc>
        <w:tc>
          <w:tcPr>
            <w:tcW w:w="1350" w:type="dxa"/>
            <w:tcBorders>
              <w:top w:val="nil"/>
              <w:left w:val="nil"/>
              <w:bottom w:val="single" w:sz="4" w:space="0" w:color="auto"/>
              <w:right w:val="single" w:sz="4" w:space="0" w:color="auto"/>
            </w:tcBorders>
            <w:noWrap/>
            <w:vAlign w:val="bottom"/>
            <w:hideMark/>
          </w:tcPr>
          <w:p w14:paraId="48514F8F" w14:textId="77777777" w:rsidR="00BD688E" w:rsidRPr="0036232E" w:rsidRDefault="00BD688E" w:rsidP="00BD688E">
            <w:pPr>
              <w:spacing w:after="0" w:line="240" w:lineRule="auto"/>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 xml:space="preserve"> holdout </w:t>
            </w:r>
          </w:p>
        </w:tc>
        <w:tc>
          <w:tcPr>
            <w:tcW w:w="1447" w:type="dxa"/>
            <w:tcBorders>
              <w:top w:val="nil"/>
              <w:left w:val="nil"/>
              <w:bottom w:val="single" w:sz="4" w:space="0" w:color="auto"/>
              <w:right w:val="single" w:sz="4" w:space="0" w:color="auto"/>
            </w:tcBorders>
            <w:noWrap/>
            <w:vAlign w:val="bottom"/>
            <w:hideMark/>
          </w:tcPr>
          <w:p w14:paraId="7265FB1F" w14:textId="77777777" w:rsidR="00BD688E" w:rsidRPr="0036232E" w:rsidRDefault="00BD688E" w:rsidP="00BD688E">
            <w:pPr>
              <w:spacing w:after="0" w:line="240" w:lineRule="auto"/>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 xml:space="preserve"> training </w:t>
            </w:r>
          </w:p>
        </w:tc>
        <w:tc>
          <w:tcPr>
            <w:tcW w:w="1533" w:type="dxa"/>
            <w:tcBorders>
              <w:top w:val="nil"/>
              <w:left w:val="nil"/>
              <w:bottom w:val="single" w:sz="4" w:space="0" w:color="auto"/>
              <w:right w:val="single" w:sz="4" w:space="0" w:color="auto"/>
            </w:tcBorders>
            <w:noWrap/>
            <w:vAlign w:val="bottom"/>
            <w:hideMark/>
          </w:tcPr>
          <w:p w14:paraId="4D5FD86F" w14:textId="77777777" w:rsidR="00BD688E" w:rsidRPr="0036232E" w:rsidRDefault="00BD688E" w:rsidP="00BD688E">
            <w:pPr>
              <w:spacing w:after="0" w:line="240" w:lineRule="auto"/>
              <w:rPr>
                <w:rFonts w:ascii="Aptos Narrow" w:eastAsia="Times New Roman" w:hAnsi="Aptos Narrow" w:cs="Times New Roman"/>
                <w:b/>
                <w:bCs/>
                <w:color w:val="000000"/>
                <w:kern w:val="0"/>
                <w:sz w:val="22"/>
                <w:szCs w:val="22"/>
                <w14:ligatures w14:val="none"/>
              </w:rPr>
            </w:pPr>
            <w:r w:rsidRPr="0036232E">
              <w:rPr>
                <w:rFonts w:ascii="Aptos Narrow" w:eastAsia="Times New Roman" w:hAnsi="Aptos Narrow" w:cs="Times New Roman"/>
                <w:b/>
                <w:bCs/>
                <w:color w:val="000000"/>
                <w:kern w:val="0"/>
                <w:sz w:val="22"/>
                <w:szCs w:val="22"/>
                <w14:ligatures w14:val="none"/>
              </w:rPr>
              <w:t xml:space="preserve"> holdout </w:t>
            </w:r>
          </w:p>
        </w:tc>
      </w:tr>
      <w:tr w:rsidR="00BD688E" w:rsidRPr="0036232E" w14:paraId="2AF9D692" w14:textId="77777777" w:rsidTr="00BD688E">
        <w:trPr>
          <w:trHeight w:val="300"/>
        </w:trPr>
        <w:tc>
          <w:tcPr>
            <w:tcW w:w="1340" w:type="dxa"/>
            <w:tcBorders>
              <w:top w:val="nil"/>
              <w:left w:val="single" w:sz="4" w:space="0" w:color="auto"/>
              <w:bottom w:val="single" w:sz="4" w:space="0" w:color="auto"/>
              <w:right w:val="single" w:sz="4" w:space="0" w:color="auto"/>
            </w:tcBorders>
            <w:noWrap/>
            <w:vAlign w:val="bottom"/>
            <w:hideMark/>
          </w:tcPr>
          <w:p w14:paraId="024B2584" w14:textId="77777777" w:rsidR="00BD688E" w:rsidRPr="0036232E" w:rsidRDefault="00BD688E" w:rsidP="00BD688E">
            <w:pPr>
              <w:spacing w:after="0" w:line="240" w:lineRule="auto"/>
              <w:jc w:val="right"/>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2010</w:t>
            </w:r>
          </w:p>
        </w:tc>
        <w:tc>
          <w:tcPr>
            <w:tcW w:w="1360" w:type="dxa"/>
            <w:tcBorders>
              <w:top w:val="nil"/>
              <w:left w:val="nil"/>
              <w:bottom w:val="single" w:sz="4" w:space="0" w:color="auto"/>
              <w:right w:val="single" w:sz="4" w:space="0" w:color="auto"/>
            </w:tcBorders>
            <w:noWrap/>
            <w:vAlign w:val="bottom"/>
            <w:hideMark/>
          </w:tcPr>
          <w:p w14:paraId="17EAF4D3"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39,984 </w:t>
            </w:r>
          </w:p>
        </w:tc>
        <w:tc>
          <w:tcPr>
            <w:tcW w:w="1360" w:type="dxa"/>
            <w:tcBorders>
              <w:top w:val="nil"/>
              <w:left w:val="nil"/>
              <w:bottom w:val="single" w:sz="4" w:space="0" w:color="auto"/>
              <w:right w:val="single" w:sz="4" w:space="0" w:color="auto"/>
            </w:tcBorders>
            <w:noWrap/>
            <w:vAlign w:val="bottom"/>
            <w:hideMark/>
          </w:tcPr>
          <w:p w14:paraId="2BBEFB27"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39,873 </w:t>
            </w:r>
          </w:p>
        </w:tc>
        <w:tc>
          <w:tcPr>
            <w:tcW w:w="1350" w:type="dxa"/>
            <w:tcBorders>
              <w:top w:val="nil"/>
              <w:left w:val="nil"/>
              <w:bottom w:val="single" w:sz="4" w:space="0" w:color="auto"/>
              <w:right w:val="single" w:sz="4" w:space="0" w:color="auto"/>
            </w:tcBorders>
            <w:noWrap/>
            <w:vAlign w:val="bottom"/>
            <w:hideMark/>
          </w:tcPr>
          <w:p w14:paraId="58B5CFFF"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134,954 </w:t>
            </w:r>
          </w:p>
        </w:tc>
        <w:tc>
          <w:tcPr>
            <w:tcW w:w="1350" w:type="dxa"/>
            <w:tcBorders>
              <w:top w:val="nil"/>
              <w:left w:val="nil"/>
              <w:bottom w:val="single" w:sz="4" w:space="0" w:color="auto"/>
              <w:right w:val="single" w:sz="4" w:space="0" w:color="auto"/>
            </w:tcBorders>
            <w:noWrap/>
            <w:vAlign w:val="bottom"/>
            <w:hideMark/>
          </w:tcPr>
          <w:p w14:paraId="51F958C1"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133,693 </w:t>
            </w:r>
          </w:p>
        </w:tc>
        <w:tc>
          <w:tcPr>
            <w:tcW w:w="1447" w:type="dxa"/>
            <w:tcBorders>
              <w:top w:val="nil"/>
              <w:left w:val="nil"/>
              <w:bottom w:val="single" w:sz="4" w:space="0" w:color="auto"/>
              <w:right w:val="single" w:sz="4" w:space="0" w:color="auto"/>
            </w:tcBorders>
            <w:noWrap/>
            <w:vAlign w:val="bottom"/>
            <w:hideMark/>
          </w:tcPr>
          <w:p w14:paraId="65CECC43"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10,218,396 </w:t>
            </w:r>
          </w:p>
        </w:tc>
        <w:tc>
          <w:tcPr>
            <w:tcW w:w="1533" w:type="dxa"/>
            <w:tcBorders>
              <w:top w:val="nil"/>
              <w:left w:val="nil"/>
              <w:bottom w:val="single" w:sz="4" w:space="0" w:color="auto"/>
              <w:right w:val="single" w:sz="4" w:space="0" w:color="auto"/>
            </w:tcBorders>
            <w:noWrap/>
            <w:vAlign w:val="bottom"/>
            <w:hideMark/>
          </w:tcPr>
          <w:p w14:paraId="497F129C"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10,124,459 </w:t>
            </w:r>
          </w:p>
        </w:tc>
      </w:tr>
      <w:tr w:rsidR="00BD688E" w:rsidRPr="0036232E" w14:paraId="578E0F75" w14:textId="77777777" w:rsidTr="00BD688E">
        <w:trPr>
          <w:trHeight w:val="300"/>
        </w:trPr>
        <w:tc>
          <w:tcPr>
            <w:tcW w:w="1340" w:type="dxa"/>
            <w:tcBorders>
              <w:top w:val="nil"/>
              <w:left w:val="single" w:sz="4" w:space="0" w:color="auto"/>
              <w:bottom w:val="single" w:sz="4" w:space="0" w:color="auto"/>
              <w:right w:val="single" w:sz="4" w:space="0" w:color="auto"/>
            </w:tcBorders>
            <w:noWrap/>
            <w:vAlign w:val="bottom"/>
            <w:hideMark/>
          </w:tcPr>
          <w:p w14:paraId="4DA96818" w14:textId="77777777" w:rsidR="00BD688E" w:rsidRPr="0036232E" w:rsidRDefault="00BD688E" w:rsidP="00BD688E">
            <w:pPr>
              <w:spacing w:after="0" w:line="240" w:lineRule="auto"/>
              <w:jc w:val="right"/>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2011</w:t>
            </w:r>
          </w:p>
        </w:tc>
        <w:tc>
          <w:tcPr>
            <w:tcW w:w="1360" w:type="dxa"/>
            <w:tcBorders>
              <w:top w:val="nil"/>
              <w:left w:val="nil"/>
              <w:bottom w:val="single" w:sz="4" w:space="0" w:color="auto"/>
              <w:right w:val="single" w:sz="4" w:space="0" w:color="auto"/>
            </w:tcBorders>
            <w:noWrap/>
            <w:vAlign w:val="bottom"/>
            <w:hideMark/>
          </w:tcPr>
          <w:p w14:paraId="770B3E60"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38,788 </w:t>
            </w:r>
          </w:p>
        </w:tc>
        <w:tc>
          <w:tcPr>
            <w:tcW w:w="1360" w:type="dxa"/>
            <w:tcBorders>
              <w:top w:val="nil"/>
              <w:left w:val="nil"/>
              <w:bottom w:val="single" w:sz="4" w:space="0" w:color="auto"/>
              <w:right w:val="single" w:sz="4" w:space="0" w:color="auto"/>
            </w:tcBorders>
            <w:noWrap/>
            <w:vAlign w:val="bottom"/>
            <w:hideMark/>
          </w:tcPr>
          <w:p w14:paraId="0564EB08"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38,717 </w:t>
            </w:r>
          </w:p>
        </w:tc>
        <w:tc>
          <w:tcPr>
            <w:tcW w:w="1350" w:type="dxa"/>
            <w:tcBorders>
              <w:top w:val="nil"/>
              <w:left w:val="nil"/>
              <w:bottom w:val="single" w:sz="4" w:space="0" w:color="auto"/>
              <w:right w:val="single" w:sz="4" w:space="0" w:color="auto"/>
            </w:tcBorders>
            <w:noWrap/>
            <w:vAlign w:val="bottom"/>
            <w:hideMark/>
          </w:tcPr>
          <w:p w14:paraId="0B9932A7"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129,682 </w:t>
            </w:r>
          </w:p>
        </w:tc>
        <w:tc>
          <w:tcPr>
            <w:tcW w:w="1350" w:type="dxa"/>
            <w:tcBorders>
              <w:top w:val="nil"/>
              <w:left w:val="nil"/>
              <w:bottom w:val="single" w:sz="4" w:space="0" w:color="auto"/>
              <w:right w:val="single" w:sz="4" w:space="0" w:color="auto"/>
            </w:tcBorders>
            <w:noWrap/>
            <w:vAlign w:val="bottom"/>
            <w:hideMark/>
          </w:tcPr>
          <w:p w14:paraId="0F38F29C"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129,015 </w:t>
            </w:r>
          </w:p>
        </w:tc>
        <w:tc>
          <w:tcPr>
            <w:tcW w:w="1447" w:type="dxa"/>
            <w:tcBorders>
              <w:top w:val="nil"/>
              <w:left w:val="nil"/>
              <w:bottom w:val="single" w:sz="4" w:space="0" w:color="auto"/>
              <w:right w:val="single" w:sz="4" w:space="0" w:color="auto"/>
            </w:tcBorders>
            <w:noWrap/>
            <w:vAlign w:val="bottom"/>
            <w:hideMark/>
          </w:tcPr>
          <w:p w14:paraId="16BFF828"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10,667,738 </w:t>
            </w:r>
          </w:p>
        </w:tc>
        <w:tc>
          <w:tcPr>
            <w:tcW w:w="1533" w:type="dxa"/>
            <w:tcBorders>
              <w:top w:val="nil"/>
              <w:left w:val="nil"/>
              <w:bottom w:val="single" w:sz="4" w:space="0" w:color="auto"/>
              <w:right w:val="single" w:sz="4" w:space="0" w:color="auto"/>
            </w:tcBorders>
            <w:noWrap/>
            <w:vAlign w:val="bottom"/>
            <w:hideMark/>
          </w:tcPr>
          <w:p w14:paraId="5D9FD3D2"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11,016,662 </w:t>
            </w:r>
          </w:p>
        </w:tc>
      </w:tr>
      <w:tr w:rsidR="00BD688E" w:rsidRPr="0036232E" w14:paraId="088B0CD7" w14:textId="77777777" w:rsidTr="00BD688E">
        <w:trPr>
          <w:trHeight w:val="300"/>
        </w:trPr>
        <w:tc>
          <w:tcPr>
            <w:tcW w:w="1340" w:type="dxa"/>
            <w:tcBorders>
              <w:top w:val="nil"/>
              <w:left w:val="single" w:sz="4" w:space="0" w:color="auto"/>
              <w:bottom w:val="single" w:sz="4" w:space="0" w:color="auto"/>
              <w:right w:val="single" w:sz="4" w:space="0" w:color="auto"/>
            </w:tcBorders>
            <w:noWrap/>
            <w:vAlign w:val="bottom"/>
            <w:hideMark/>
          </w:tcPr>
          <w:p w14:paraId="7FF3D21E" w14:textId="77777777" w:rsidR="00BD688E" w:rsidRPr="0036232E" w:rsidRDefault="00BD688E" w:rsidP="00BD688E">
            <w:pPr>
              <w:spacing w:after="0" w:line="240" w:lineRule="auto"/>
              <w:jc w:val="right"/>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2012</w:t>
            </w:r>
          </w:p>
        </w:tc>
        <w:tc>
          <w:tcPr>
            <w:tcW w:w="1360" w:type="dxa"/>
            <w:tcBorders>
              <w:top w:val="nil"/>
              <w:left w:val="nil"/>
              <w:bottom w:val="single" w:sz="4" w:space="0" w:color="auto"/>
              <w:right w:val="single" w:sz="4" w:space="0" w:color="auto"/>
            </w:tcBorders>
            <w:noWrap/>
            <w:vAlign w:val="bottom"/>
            <w:hideMark/>
          </w:tcPr>
          <w:p w14:paraId="47D0C834"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81,897 </w:t>
            </w:r>
          </w:p>
        </w:tc>
        <w:tc>
          <w:tcPr>
            <w:tcW w:w="1360" w:type="dxa"/>
            <w:tcBorders>
              <w:top w:val="nil"/>
              <w:left w:val="nil"/>
              <w:bottom w:val="single" w:sz="4" w:space="0" w:color="auto"/>
              <w:right w:val="single" w:sz="4" w:space="0" w:color="auto"/>
            </w:tcBorders>
            <w:noWrap/>
            <w:vAlign w:val="bottom"/>
            <w:hideMark/>
          </w:tcPr>
          <w:p w14:paraId="2F9D3DBF"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81,886 </w:t>
            </w:r>
          </w:p>
        </w:tc>
        <w:tc>
          <w:tcPr>
            <w:tcW w:w="1350" w:type="dxa"/>
            <w:tcBorders>
              <w:top w:val="nil"/>
              <w:left w:val="nil"/>
              <w:bottom w:val="single" w:sz="4" w:space="0" w:color="auto"/>
              <w:right w:val="single" w:sz="4" w:space="0" w:color="auto"/>
            </w:tcBorders>
            <w:noWrap/>
            <w:vAlign w:val="bottom"/>
            <w:hideMark/>
          </w:tcPr>
          <w:p w14:paraId="3E568D79"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374,199 </w:t>
            </w:r>
          </w:p>
        </w:tc>
        <w:tc>
          <w:tcPr>
            <w:tcW w:w="1350" w:type="dxa"/>
            <w:tcBorders>
              <w:top w:val="nil"/>
              <w:left w:val="nil"/>
              <w:bottom w:val="single" w:sz="4" w:space="0" w:color="auto"/>
              <w:right w:val="single" w:sz="4" w:space="0" w:color="auto"/>
            </w:tcBorders>
            <w:noWrap/>
            <w:vAlign w:val="bottom"/>
            <w:hideMark/>
          </w:tcPr>
          <w:p w14:paraId="197E2091"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370,962 </w:t>
            </w:r>
          </w:p>
        </w:tc>
        <w:tc>
          <w:tcPr>
            <w:tcW w:w="1447" w:type="dxa"/>
            <w:tcBorders>
              <w:top w:val="nil"/>
              <w:left w:val="nil"/>
              <w:bottom w:val="single" w:sz="4" w:space="0" w:color="auto"/>
              <w:right w:val="single" w:sz="4" w:space="0" w:color="auto"/>
            </w:tcBorders>
            <w:noWrap/>
            <w:vAlign w:val="bottom"/>
            <w:hideMark/>
          </w:tcPr>
          <w:p w14:paraId="16B42AB4"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40,664,175 </w:t>
            </w:r>
          </w:p>
        </w:tc>
        <w:tc>
          <w:tcPr>
            <w:tcW w:w="1533" w:type="dxa"/>
            <w:tcBorders>
              <w:top w:val="nil"/>
              <w:left w:val="nil"/>
              <w:bottom w:val="single" w:sz="4" w:space="0" w:color="auto"/>
              <w:right w:val="single" w:sz="4" w:space="0" w:color="auto"/>
            </w:tcBorders>
            <w:noWrap/>
            <w:vAlign w:val="bottom"/>
            <w:hideMark/>
          </w:tcPr>
          <w:p w14:paraId="18D6EE92"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39,454,478 </w:t>
            </w:r>
          </w:p>
        </w:tc>
      </w:tr>
      <w:tr w:rsidR="00BD688E" w:rsidRPr="0036232E" w14:paraId="3C206C8B" w14:textId="77777777" w:rsidTr="00BD688E">
        <w:trPr>
          <w:trHeight w:val="300"/>
        </w:trPr>
        <w:tc>
          <w:tcPr>
            <w:tcW w:w="1340" w:type="dxa"/>
            <w:tcBorders>
              <w:top w:val="nil"/>
              <w:left w:val="single" w:sz="4" w:space="0" w:color="auto"/>
              <w:bottom w:val="single" w:sz="4" w:space="0" w:color="auto"/>
              <w:right w:val="single" w:sz="4" w:space="0" w:color="auto"/>
            </w:tcBorders>
            <w:noWrap/>
            <w:vAlign w:val="bottom"/>
            <w:hideMark/>
          </w:tcPr>
          <w:p w14:paraId="5978579D" w14:textId="77777777" w:rsidR="00BD688E" w:rsidRPr="0036232E" w:rsidRDefault="00BD688E" w:rsidP="00BD688E">
            <w:pPr>
              <w:spacing w:after="0" w:line="240" w:lineRule="auto"/>
              <w:jc w:val="right"/>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2013</w:t>
            </w:r>
          </w:p>
        </w:tc>
        <w:tc>
          <w:tcPr>
            <w:tcW w:w="1360" w:type="dxa"/>
            <w:tcBorders>
              <w:top w:val="nil"/>
              <w:left w:val="nil"/>
              <w:bottom w:val="single" w:sz="4" w:space="0" w:color="auto"/>
              <w:right w:val="single" w:sz="4" w:space="0" w:color="auto"/>
            </w:tcBorders>
            <w:noWrap/>
            <w:vAlign w:val="bottom"/>
            <w:hideMark/>
          </w:tcPr>
          <w:p w14:paraId="78C6151F"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90,364 </w:t>
            </w:r>
          </w:p>
        </w:tc>
        <w:tc>
          <w:tcPr>
            <w:tcW w:w="1360" w:type="dxa"/>
            <w:tcBorders>
              <w:top w:val="nil"/>
              <w:left w:val="nil"/>
              <w:bottom w:val="single" w:sz="4" w:space="0" w:color="auto"/>
              <w:right w:val="single" w:sz="4" w:space="0" w:color="auto"/>
            </w:tcBorders>
            <w:noWrap/>
            <w:vAlign w:val="bottom"/>
            <w:hideMark/>
          </w:tcPr>
          <w:p w14:paraId="62254676"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90,482 </w:t>
            </w:r>
          </w:p>
        </w:tc>
        <w:tc>
          <w:tcPr>
            <w:tcW w:w="1350" w:type="dxa"/>
            <w:tcBorders>
              <w:top w:val="nil"/>
              <w:left w:val="nil"/>
              <w:bottom w:val="single" w:sz="4" w:space="0" w:color="auto"/>
              <w:right w:val="single" w:sz="4" w:space="0" w:color="auto"/>
            </w:tcBorders>
            <w:noWrap/>
            <w:vAlign w:val="bottom"/>
            <w:hideMark/>
          </w:tcPr>
          <w:p w14:paraId="4B0D14FA"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412,724 </w:t>
            </w:r>
          </w:p>
        </w:tc>
        <w:tc>
          <w:tcPr>
            <w:tcW w:w="1350" w:type="dxa"/>
            <w:tcBorders>
              <w:top w:val="nil"/>
              <w:left w:val="nil"/>
              <w:bottom w:val="single" w:sz="4" w:space="0" w:color="auto"/>
              <w:right w:val="single" w:sz="4" w:space="0" w:color="auto"/>
            </w:tcBorders>
            <w:noWrap/>
            <w:vAlign w:val="bottom"/>
            <w:hideMark/>
          </w:tcPr>
          <w:p w14:paraId="4FEA9B2D"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410,345 </w:t>
            </w:r>
          </w:p>
        </w:tc>
        <w:tc>
          <w:tcPr>
            <w:tcW w:w="1447" w:type="dxa"/>
            <w:tcBorders>
              <w:top w:val="nil"/>
              <w:left w:val="nil"/>
              <w:bottom w:val="single" w:sz="4" w:space="0" w:color="auto"/>
              <w:right w:val="single" w:sz="4" w:space="0" w:color="auto"/>
            </w:tcBorders>
            <w:noWrap/>
            <w:vAlign w:val="bottom"/>
            <w:hideMark/>
          </w:tcPr>
          <w:p w14:paraId="764FFDD0"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48,413,117 </w:t>
            </w:r>
          </w:p>
        </w:tc>
        <w:tc>
          <w:tcPr>
            <w:tcW w:w="1533" w:type="dxa"/>
            <w:tcBorders>
              <w:top w:val="nil"/>
              <w:left w:val="nil"/>
              <w:bottom w:val="single" w:sz="4" w:space="0" w:color="auto"/>
              <w:right w:val="single" w:sz="4" w:space="0" w:color="auto"/>
            </w:tcBorders>
            <w:noWrap/>
            <w:vAlign w:val="bottom"/>
            <w:hideMark/>
          </w:tcPr>
          <w:p w14:paraId="75C9070D"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49,001,305 </w:t>
            </w:r>
          </w:p>
        </w:tc>
      </w:tr>
      <w:tr w:rsidR="00BD688E" w:rsidRPr="0036232E" w14:paraId="59FE5A60" w14:textId="77777777" w:rsidTr="00BD688E">
        <w:trPr>
          <w:trHeight w:val="300"/>
        </w:trPr>
        <w:tc>
          <w:tcPr>
            <w:tcW w:w="1340" w:type="dxa"/>
            <w:tcBorders>
              <w:top w:val="nil"/>
              <w:left w:val="single" w:sz="4" w:space="0" w:color="auto"/>
              <w:bottom w:val="single" w:sz="4" w:space="0" w:color="auto"/>
              <w:right w:val="single" w:sz="4" w:space="0" w:color="auto"/>
            </w:tcBorders>
            <w:noWrap/>
            <w:vAlign w:val="bottom"/>
            <w:hideMark/>
          </w:tcPr>
          <w:p w14:paraId="42F0DCD9" w14:textId="77777777" w:rsidR="00BD688E" w:rsidRPr="0036232E" w:rsidRDefault="00BD688E" w:rsidP="00BD688E">
            <w:pPr>
              <w:spacing w:after="0" w:line="240" w:lineRule="auto"/>
              <w:jc w:val="right"/>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2014</w:t>
            </w:r>
          </w:p>
        </w:tc>
        <w:tc>
          <w:tcPr>
            <w:tcW w:w="1360" w:type="dxa"/>
            <w:tcBorders>
              <w:top w:val="nil"/>
              <w:left w:val="nil"/>
              <w:bottom w:val="single" w:sz="4" w:space="0" w:color="auto"/>
              <w:right w:val="single" w:sz="4" w:space="0" w:color="auto"/>
            </w:tcBorders>
            <w:noWrap/>
            <w:vAlign w:val="bottom"/>
            <w:hideMark/>
          </w:tcPr>
          <w:p w14:paraId="2D554E32"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164,074 </w:t>
            </w:r>
          </w:p>
        </w:tc>
        <w:tc>
          <w:tcPr>
            <w:tcW w:w="1360" w:type="dxa"/>
            <w:tcBorders>
              <w:top w:val="nil"/>
              <w:left w:val="nil"/>
              <w:bottom w:val="single" w:sz="4" w:space="0" w:color="auto"/>
              <w:right w:val="single" w:sz="4" w:space="0" w:color="auto"/>
            </w:tcBorders>
            <w:noWrap/>
            <w:vAlign w:val="bottom"/>
            <w:hideMark/>
          </w:tcPr>
          <w:p w14:paraId="3CA59414"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164,382 </w:t>
            </w:r>
          </w:p>
        </w:tc>
        <w:tc>
          <w:tcPr>
            <w:tcW w:w="1350" w:type="dxa"/>
            <w:tcBorders>
              <w:top w:val="nil"/>
              <w:left w:val="nil"/>
              <w:bottom w:val="single" w:sz="4" w:space="0" w:color="auto"/>
              <w:right w:val="single" w:sz="4" w:space="0" w:color="auto"/>
            </w:tcBorders>
            <w:noWrap/>
            <w:vAlign w:val="bottom"/>
            <w:hideMark/>
          </w:tcPr>
          <w:p w14:paraId="372E9AC8"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1,292,096 </w:t>
            </w:r>
          </w:p>
        </w:tc>
        <w:tc>
          <w:tcPr>
            <w:tcW w:w="1350" w:type="dxa"/>
            <w:tcBorders>
              <w:top w:val="nil"/>
              <w:left w:val="nil"/>
              <w:bottom w:val="single" w:sz="4" w:space="0" w:color="auto"/>
              <w:right w:val="single" w:sz="4" w:space="0" w:color="auto"/>
            </w:tcBorders>
            <w:noWrap/>
            <w:vAlign w:val="bottom"/>
            <w:hideMark/>
          </w:tcPr>
          <w:p w14:paraId="11F4CA7E"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1,297,090 </w:t>
            </w:r>
          </w:p>
        </w:tc>
        <w:tc>
          <w:tcPr>
            <w:tcW w:w="1447" w:type="dxa"/>
            <w:tcBorders>
              <w:top w:val="nil"/>
              <w:left w:val="nil"/>
              <w:bottom w:val="single" w:sz="4" w:space="0" w:color="auto"/>
              <w:right w:val="single" w:sz="4" w:space="0" w:color="auto"/>
            </w:tcBorders>
            <w:noWrap/>
            <w:vAlign w:val="bottom"/>
            <w:hideMark/>
          </w:tcPr>
          <w:p w14:paraId="77090376"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w:t>
            </w:r>
            <w:proofErr w:type="gramStart"/>
            <w:r w:rsidRPr="0036232E">
              <w:rPr>
                <w:rFonts w:ascii="Aptos Narrow" w:eastAsia="Times New Roman" w:hAnsi="Aptos Narrow" w:cs="Times New Roman"/>
                <w:color w:val="000000"/>
                <w:kern w:val="0"/>
                <w:sz w:val="22"/>
                <w:szCs w:val="22"/>
                <w14:ligatures w14:val="none"/>
              </w:rPr>
              <w:t>$  106,504,255</w:t>
            </w:r>
            <w:proofErr w:type="gramEnd"/>
            <w:r w:rsidRPr="0036232E">
              <w:rPr>
                <w:rFonts w:ascii="Aptos Narrow" w:eastAsia="Times New Roman" w:hAnsi="Aptos Narrow" w:cs="Times New Roman"/>
                <w:color w:val="000000"/>
                <w:kern w:val="0"/>
                <w:sz w:val="22"/>
                <w:szCs w:val="22"/>
                <w14:ligatures w14:val="none"/>
              </w:rPr>
              <w:t xml:space="preserve"> </w:t>
            </w:r>
          </w:p>
        </w:tc>
        <w:tc>
          <w:tcPr>
            <w:tcW w:w="1533" w:type="dxa"/>
            <w:tcBorders>
              <w:top w:val="nil"/>
              <w:left w:val="nil"/>
              <w:bottom w:val="single" w:sz="4" w:space="0" w:color="auto"/>
              <w:right w:val="single" w:sz="4" w:space="0" w:color="auto"/>
            </w:tcBorders>
            <w:noWrap/>
            <w:vAlign w:val="bottom"/>
            <w:hideMark/>
          </w:tcPr>
          <w:p w14:paraId="2FD6AED8"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101,301,473 </w:t>
            </w:r>
          </w:p>
        </w:tc>
      </w:tr>
      <w:tr w:rsidR="00BD688E" w:rsidRPr="0036232E" w14:paraId="4E1105E3" w14:textId="77777777" w:rsidTr="00BD688E">
        <w:trPr>
          <w:trHeight w:val="300"/>
        </w:trPr>
        <w:tc>
          <w:tcPr>
            <w:tcW w:w="1340" w:type="dxa"/>
            <w:tcBorders>
              <w:top w:val="nil"/>
              <w:left w:val="single" w:sz="4" w:space="0" w:color="auto"/>
              <w:bottom w:val="single" w:sz="4" w:space="0" w:color="auto"/>
              <w:right w:val="single" w:sz="4" w:space="0" w:color="auto"/>
            </w:tcBorders>
            <w:noWrap/>
            <w:vAlign w:val="bottom"/>
            <w:hideMark/>
          </w:tcPr>
          <w:p w14:paraId="0DDE00C6" w14:textId="77777777" w:rsidR="00BD688E" w:rsidRPr="0036232E" w:rsidRDefault="00BD688E" w:rsidP="00BD688E">
            <w:pPr>
              <w:spacing w:after="0" w:line="240" w:lineRule="auto"/>
              <w:jc w:val="right"/>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2015</w:t>
            </w:r>
          </w:p>
        </w:tc>
        <w:tc>
          <w:tcPr>
            <w:tcW w:w="1360" w:type="dxa"/>
            <w:tcBorders>
              <w:top w:val="nil"/>
              <w:left w:val="nil"/>
              <w:bottom w:val="single" w:sz="4" w:space="0" w:color="auto"/>
              <w:right w:val="single" w:sz="4" w:space="0" w:color="auto"/>
            </w:tcBorders>
            <w:noWrap/>
            <w:vAlign w:val="bottom"/>
            <w:hideMark/>
          </w:tcPr>
          <w:p w14:paraId="18D074FD"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61,520 </w:t>
            </w:r>
          </w:p>
        </w:tc>
        <w:tc>
          <w:tcPr>
            <w:tcW w:w="1360" w:type="dxa"/>
            <w:tcBorders>
              <w:top w:val="nil"/>
              <w:left w:val="nil"/>
              <w:bottom w:val="single" w:sz="4" w:space="0" w:color="auto"/>
              <w:right w:val="single" w:sz="4" w:space="0" w:color="auto"/>
            </w:tcBorders>
            <w:noWrap/>
            <w:vAlign w:val="bottom"/>
            <w:hideMark/>
          </w:tcPr>
          <w:p w14:paraId="1024C536"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61,565 </w:t>
            </w:r>
          </w:p>
        </w:tc>
        <w:tc>
          <w:tcPr>
            <w:tcW w:w="1350" w:type="dxa"/>
            <w:tcBorders>
              <w:top w:val="nil"/>
              <w:left w:val="nil"/>
              <w:bottom w:val="single" w:sz="4" w:space="0" w:color="auto"/>
              <w:right w:val="single" w:sz="4" w:space="0" w:color="auto"/>
            </w:tcBorders>
            <w:noWrap/>
            <w:vAlign w:val="bottom"/>
            <w:hideMark/>
          </w:tcPr>
          <w:p w14:paraId="6DAE5E0A"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322,895 </w:t>
            </w:r>
          </w:p>
        </w:tc>
        <w:tc>
          <w:tcPr>
            <w:tcW w:w="1350" w:type="dxa"/>
            <w:tcBorders>
              <w:top w:val="nil"/>
              <w:left w:val="nil"/>
              <w:bottom w:val="single" w:sz="4" w:space="0" w:color="auto"/>
              <w:right w:val="single" w:sz="4" w:space="0" w:color="auto"/>
            </w:tcBorders>
            <w:noWrap/>
            <w:vAlign w:val="bottom"/>
            <w:hideMark/>
          </w:tcPr>
          <w:p w14:paraId="555A9307"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322,645 </w:t>
            </w:r>
          </w:p>
        </w:tc>
        <w:tc>
          <w:tcPr>
            <w:tcW w:w="1447" w:type="dxa"/>
            <w:tcBorders>
              <w:top w:val="nil"/>
              <w:left w:val="nil"/>
              <w:bottom w:val="single" w:sz="4" w:space="0" w:color="auto"/>
              <w:right w:val="single" w:sz="4" w:space="0" w:color="auto"/>
            </w:tcBorders>
            <w:noWrap/>
            <w:vAlign w:val="bottom"/>
            <w:hideMark/>
          </w:tcPr>
          <w:p w14:paraId="0EC754E1"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50,549,642 </w:t>
            </w:r>
          </w:p>
        </w:tc>
        <w:tc>
          <w:tcPr>
            <w:tcW w:w="1533" w:type="dxa"/>
            <w:tcBorders>
              <w:top w:val="nil"/>
              <w:left w:val="nil"/>
              <w:bottom w:val="single" w:sz="4" w:space="0" w:color="auto"/>
              <w:right w:val="single" w:sz="4" w:space="0" w:color="auto"/>
            </w:tcBorders>
            <w:noWrap/>
            <w:vAlign w:val="bottom"/>
            <w:hideMark/>
          </w:tcPr>
          <w:p w14:paraId="100FED58"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48,182,135 </w:t>
            </w:r>
          </w:p>
        </w:tc>
      </w:tr>
      <w:tr w:rsidR="00BD688E" w:rsidRPr="0036232E" w14:paraId="21C17F72" w14:textId="77777777" w:rsidTr="00BD688E">
        <w:trPr>
          <w:trHeight w:val="300"/>
        </w:trPr>
        <w:tc>
          <w:tcPr>
            <w:tcW w:w="1340" w:type="dxa"/>
            <w:tcBorders>
              <w:top w:val="nil"/>
              <w:left w:val="single" w:sz="4" w:space="0" w:color="auto"/>
              <w:bottom w:val="single" w:sz="4" w:space="0" w:color="auto"/>
              <w:right w:val="single" w:sz="4" w:space="0" w:color="auto"/>
            </w:tcBorders>
            <w:noWrap/>
            <w:vAlign w:val="bottom"/>
            <w:hideMark/>
          </w:tcPr>
          <w:p w14:paraId="7E1BA2CA" w14:textId="77777777" w:rsidR="00BD688E" w:rsidRPr="0036232E" w:rsidRDefault="00BD688E" w:rsidP="00BD688E">
            <w:pPr>
              <w:spacing w:after="0" w:line="240" w:lineRule="auto"/>
              <w:jc w:val="right"/>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2016</w:t>
            </w:r>
          </w:p>
        </w:tc>
        <w:tc>
          <w:tcPr>
            <w:tcW w:w="1360" w:type="dxa"/>
            <w:tcBorders>
              <w:top w:val="nil"/>
              <w:left w:val="nil"/>
              <w:bottom w:val="single" w:sz="4" w:space="0" w:color="auto"/>
              <w:right w:val="single" w:sz="4" w:space="0" w:color="auto"/>
            </w:tcBorders>
            <w:noWrap/>
            <w:vAlign w:val="bottom"/>
            <w:hideMark/>
          </w:tcPr>
          <w:p w14:paraId="05410A9C"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83,769 </w:t>
            </w:r>
          </w:p>
        </w:tc>
        <w:tc>
          <w:tcPr>
            <w:tcW w:w="1360" w:type="dxa"/>
            <w:tcBorders>
              <w:top w:val="nil"/>
              <w:left w:val="nil"/>
              <w:bottom w:val="single" w:sz="4" w:space="0" w:color="auto"/>
              <w:right w:val="single" w:sz="4" w:space="0" w:color="auto"/>
            </w:tcBorders>
            <w:noWrap/>
            <w:vAlign w:val="bottom"/>
            <w:hideMark/>
          </w:tcPr>
          <w:p w14:paraId="2B40B374"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83,685 </w:t>
            </w:r>
          </w:p>
        </w:tc>
        <w:tc>
          <w:tcPr>
            <w:tcW w:w="1350" w:type="dxa"/>
            <w:tcBorders>
              <w:top w:val="nil"/>
              <w:left w:val="nil"/>
              <w:bottom w:val="single" w:sz="4" w:space="0" w:color="auto"/>
              <w:right w:val="single" w:sz="4" w:space="0" w:color="auto"/>
            </w:tcBorders>
            <w:noWrap/>
            <w:vAlign w:val="bottom"/>
            <w:hideMark/>
          </w:tcPr>
          <w:p w14:paraId="6C312621"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309,661 </w:t>
            </w:r>
          </w:p>
        </w:tc>
        <w:tc>
          <w:tcPr>
            <w:tcW w:w="1350" w:type="dxa"/>
            <w:tcBorders>
              <w:top w:val="nil"/>
              <w:left w:val="nil"/>
              <w:bottom w:val="single" w:sz="4" w:space="0" w:color="auto"/>
              <w:right w:val="single" w:sz="4" w:space="0" w:color="auto"/>
            </w:tcBorders>
            <w:noWrap/>
            <w:vAlign w:val="bottom"/>
            <w:hideMark/>
          </w:tcPr>
          <w:p w14:paraId="3490BAA6"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308,320 </w:t>
            </w:r>
          </w:p>
        </w:tc>
        <w:tc>
          <w:tcPr>
            <w:tcW w:w="1447" w:type="dxa"/>
            <w:tcBorders>
              <w:top w:val="nil"/>
              <w:left w:val="nil"/>
              <w:bottom w:val="single" w:sz="4" w:space="0" w:color="auto"/>
              <w:right w:val="single" w:sz="4" w:space="0" w:color="auto"/>
            </w:tcBorders>
            <w:noWrap/>
            <w:vAlign w:val="bottom"/>
            <w:hideMark/>
          </w:tcPr>
          <w:p w14:paraId="2F55331E"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76,155,734 </w:t>
            </w:r>
          </w:p>
        </w:tc>
        <w:tc>
          <w:tcPr>
            <w:tcW w:w="1533" w:type="dxa"/>
            <w:tcBorders>
              <w:top w:val="nil"/>
              <w:left w:val="nil"/>
              <w:bottom w:val="single" w:sz="4" w:space="0" w:color="auto"/>
              <w:right w:val="single" w:sz="4" w:space="0" w:color="auto"/>
            </w:tcBorders>
            <w:noWrap/>
            <w:vAlign w:val="bottom"/>
            <w:hideMark/>
          </w:tcPr>
          <w:p w14:paraId="7296E44E"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79,816,773 </w:t>
            </w:r>
          </w:p>
        </w:tc>
      </w:tr>
      <w:tr w:rsidR="00BD688E" w:rsidRPr="0036232E" w14:paraId="16DD5975" w14:textId="77777777" w:rsidTr="00BD688E">
        <w:trPr>
          <w:trHeight w:val="300"/>
        </w:trPr>
        <w:tc>
          <w:tcPr>
            <w:tcW w:w="1340" w:type="dxa"/>
            <w:tcBorders>
              <w:top w:val="nil"/>
              <w:left w:val="single" w:sz="4" w:space="0" w:color="auto"/>
              <w:bottom w:val="single" w:sz="4" w:space="0" w:color="auto"/>
              <w:right w:val="single" w:sz="4" w:space="0" w:color="auto"/>
            </w:tcBorders>
            <w:noWrap/>
            <w:vAlign w:val="bottom"/>
            <w:hideMark/>
          </w:tcPr>
          <w:p w14:paraId="1742FCAD" w14:textId="77777777" w:rsidR="00BD688E" w:rsidRPr="0036232E" w:rsidRDefault="00BD688E" w:rsidP="00BD688E">
            <w:pPr>
              <w:spacing w:after="0" w:line="240" w:lineRule="auto"/>
              <w:jc w:val="right"/>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2017</w:t>
            </w:r>
          </w:p>
        </w:tc>
        <w:tc>
          <w:tcPr>
            <w:tcW w:w="1360" w:type="dxa"/>
            <w:tcBorders>
              <w:top w:val="nil"/>
              <w:left w:val="nil"/>
              <w:bottom w:val="single" w:sz="4" w:space="0" w:color="auto"/>
              <w:right w:val="single" w:sz="4" w:space="0" w:color="auto"/>
            </w:tcBorders>
            <w:noWrap/>
            <w:vAlign w:val="bottom"/>
            <w:hideMark/>
          </w:tcPr>
          <w:p w14:paraId="7FE43E87"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6,714 </w:t>
            </w:r>
          </w:p>
        </w:tc>
        <w:tc>
          <w:tcPr>
            <w:tcW w:w="1360" w:type="dxa"/>
            <w:tcBorders>
              <w:top w:val="nil"/>
              <w:left w:val="nil"/>
              <w:bottom w:val="single" w:sz="4" w:space="0" w:color="auto"/>
              <w:right w:val="single" w:sz="4" w:space="0" w:color="auto"/>
            </w:tcBorders>
            <w:noWrap/>
            <w:vAlign w:val="bottom"/>
            <w:hideMark/>
          </w:tcPr>
          <w:p w14:paraId="723FBE65"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6,756 </w:t>
            </w:r>
          </w:p>
        </w:tc>
        <w:tc>
          <w:tcPr>
            <w:tcW w:w="1350" w:type="dxa"/>
            <w:tcBorders>
              <w:top w:val="nil"/>
              <w:left w:val="nil"/>
              <w:bottom w:val="single" w:sz="4" w:space="0" w:color="auto"/>
              <w:right w:val="single" w:sz="4" w:space="0" w:color="auto"/>
            </w:tcBorders>
            <w:noWrap/>
            <w:vAlign w:val="bottom"/>
            <w:hideMark/>
          </w:tcPr>
          <w:p w14:paraId="1278248D"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24,158 </w:t>
            </w:r>
          </w:p>
        </w:tc>
        <w:tc>
          <w:tcPr>
            <w:tcW w:w="1350" w:type="dxa"/>
            <w:tcBorders>
              <w:top w:val="nil"/>
              <w:left w:val="nil"/>
              <w:bottom w:val="single" w:sz="4" w:space="0" w:color="auto"/>
              <w:right w:val="single" w:sz="4" w:space="0" w:color="auto"/>
            </w:tcBorders>
            <w:noWrap/>
            <w:vAlign w:val="bottom"/>
            <w:hideMark/>
          </w:tcPr>
          <w:p w14:paraId="261EF271"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24,192 </w:t>
            </w:r>
          </w:p>
        </w:tc>
        <w:tc>
          <w:tcPr>
            <w:tcW w:w="1447" w:type="dxa"/>
            <w:tcBorders>
              <w:top w:val="nil"/>
              <w:left w:val="nil"/>
              <w:bottom w:val="single" w:sz="4" w:space="0" w:color="auto"/>
              <w:right w:val="single" w:sz="4" w:space="0" w:color="auto"/>
            </w:tcBorders>
            <w:noWrap/>
            <w:vAlign w:val="bottom"/>
            <w:hideMark/>
          </w:tcPr>
          <w:p w14:paraId="0C479BE4"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591,948 </w:t>
            </w:r>
          </w:p>
        </w:tc>
        <w:tc>
          <w:tcPr>
            <w:tcW w:w="1533" w:type="dxa"/>
            <w:tcBorders>
              <w:top w:val="nil"/>
              <w:left w:val="nil"/>
              <w:bottom w:val="single" w:sz="4" w:space="0" w:color="auto"/>
              <w:right w:val="single" w:sz="4" w:space="0" w:color="auto"/>
            </w:tcBorders>
            <w:noWrap/>
            <w:vAlign w:val="bottom"/>
            <w:hideMark/>
          </w:tcPr>
          <w:p w14:paraId="32342E34" w14:textId="77777777" w:rsidR="00BD688E" w:rsidRPr="0036232E" w:rsidRDefault="00BD688E" w:rsidP="00BD688E">
            <w:pPr>
              <w:spacing w:after="0" w:line="240" w:lineRule="auto"/>
              <w:rPr>
                <w:rFonts w:ascii="Aptos Narrow" w:eastAsia="Times New Roman" w:hAnsi="Aptos Narrow" w:cs="Times New Roman"/>
                <w:color w:val="000000"/>
                <w:kern w:val="0"/>
                <w:sz w:val="22"/>
                <w:szCs w:val="22"/>
                <w14:ligatures w14:val="none"/>
              </w:rPr>
            </w:pPr>
            <w:r w:rsidRPr="0036232E">
              <w:rPr>
                <w:rFonts w:ascii="Aptos Narrow" w:eastAsia="Times New Roman" w:hAnsi="Aptos Narrow" w:cs="Times New Roman"/>
                <w:color w:val="000000"/>
                <w:kern w:val="0"/>
                <w:sz w:val="22"/>
                <w:szCs w:val="22"/>
                <w14:ligatures w14:val="none"/>
              </w:rPr>
              <w:t xml:space="preserve"> $            654,422 </w:t>
            </w:r>
          </w:p>
        </w:tc>
      </w:tr>
    </w:tbl>
    <w:p w14:paraId="091B9941" w14:textId="271A3E0A" w:rsidR="001D022F" w:rsidRPr="0036232E" w:rsidRDefault="001D022F" w:rsidP="00281816">
      <w:pPr>
        <w:pStyle w:val="ListParagraph"/>
        <w:numPr>
          <w:ilvl w:val="1"/>
          <w:numId w:val="1"/>
        </w:numPr>
        <w:rPr>
          <w:sz w:val="22"/>
          <w:szCs w:val="22"/>
        </w:rPr>
      </w:pPr>
    </w:p>
    <w:p w14:paraId="4779F7A7" w14:textId="77777777" w:rsidR="001D022F" w:rsidRPr="0036232E" w:rsidRDefault="00281816" w:rsidP="001D022F">
      <w:pPr>
        <w:pStyle w:val="ListParagraph"/>
        <w:numPr>
          <w:ilvl w:val="0"/>
          <w:numId w:val="1"/>
        </w:numPr>
        <w:rPr>
          <w:sz w:val="22"/>
          <w:szCs w:val="22"/>
        </w:rPr>
      </w:pPr>
      <w:r w:rsidRPr="0036232E">
        <w:rPr>
          <w:b/>
          <w:bCs/>
          <w:sz w:val="22"/>
          <w:szCs w:val="22"/>
        </w:rPr>
        <w:t>Please provide the split of the model development data between the training, testing, and holdout datasets.</w:t>
      </w:r>
      <w:r w:rsidRPr="0036232E">
        <w:rPr>
          <w:sz w:val="22"/>
          <w:szCs w:val="22"/>
        </w:rPr>
        <w:t> </w:t>
      </w:r>
    </w:p>
    <w:p w14:paraId="1478DA78" w14:textId="77777777" w:rsidR="001D022F" w:rsidRPr="0036232E" w:rsidRDefault="001D022F" w:rsidP="00281816">
      <w:pPr>
        <w:pStyle w:val="ListParagraph"/>
        <w:numPr>
          <w:ilvl w:val="1"/>
          <w:numId w:val="1"/>
        </w:numPr>
        <w:rPr>
          <w:sz w:val="22"/>
          <w:szCs w:val="22"/>
        </w:rPr>
      </w:pPr>
      <w:r w:rsidRPr="0036232E">
        <w:rPr>
          <w:sz w:val="22"/>
          <w:szCs w:val="22"/>
        </w:rPr>
        <w:t xml:space="preserve"> </w:t>
      </w:r>
      <w:r w:rsidR="00281816" w:rsidRPr="0036232E">
        <w:rPr>
          <w:sz w:val="22"/>
          <w:szCs w:val="22"/>
        </w:rPr>
        <w:t>Data was aggregated at the Census Block level, and for each model, a 50/50 split was employed, where 50% of the blocks were randomly selected for training and the remaining 50% were reserved for testing. The model was further validated using a holdout sample of carrier evaluation data consisting of claims and losses from 2015 to the present.</w:t>
      </w:r>
    </w:p>
    <w:p w14:paraId="43F0D321" w14:textId="77777777" w:rsidR="001D022F" w:rsidRPr="0036232E" w:rsidRDefault="00281816" w:rsidP="001D022F">
      <w:pPr>
        <w:pStyle w:val="ListParagraph"/>
        <w:numPr>
          <w:ilvl w:val="0"/>
          <w:numId w:val="1"/>
        </w:numPr>
        <w:rPr>
          <w:sz w:val="22"/>
          <w:szCs w:val="22"/>
        </w:rPr>
      </w:pPr>
      <w:r w:rsidRPr="0036232E">
        <w:rPr>
          <w:b/>
          <w:bCs/>
          <w:sz w:val="22"/>
          <w:szCs w:val="22"/>
        </w:rPr>
        <w:t>Please provide a list of all external datasets/variables used in the modeling process, including the data provider and a brief description of each dataset. In addition, please describe how each dataset was validated for accuracy and completeness prior to being used in the model.</w:t>
      </w:r>
      <w:r w:rsidRPr="0036232E">
        <w:rPr>
          <w:sz w:val="22"/>
          <w:szCs w:val="22"/>
        </w:rPr>
        <w:t> </w:t>
      </w:r>
    </w:p>
    <w:p w14:paraId="321B730A" w14:textId="77777777" w:rsidR="001D022F" w:rsidRPr="0036232E" w:rsidRDefault="001D022F" w:rsidP="00281816">
      <w:pPr>
        <w:pStyle w:val="ListParagraph"/>
        <w:numPr>
          <w:ilvl w:val="1"/>
          <w:numId w:val="1"/>
        </w:numPr>
        <w:rPr>
          <w:sz w:val="22"/>
          <w:szCs w:val="22"/>
        </w:rPr>
      </w:pPr>
      <w:r w:rsidRPr="0036232E">
        <w:rPr>
          <w:sz w:val="22"/>
          <w:szCs w:val="22"/>
        </w:rPr>
        <w:t xml:space="preserve"> </w:t>
      </w:r>
      <w:r w:rsidR="00281816" w:rsidRPr="0036232E">
        <w:rPr>
          <w:sz w:val="22"/>
          <w:szCs w:val="22"/>
        </w:rPr>
        <w:t xml:space="preserve">The external datasets used </w:t>
      </w:r>
      <w:proofErr w:type="gramStart"/>
      <w:r w:rsidR="00281816" w:rsidRPr="0036232E">
        <w:rPr>
          <w:sz w:val="22"/>
          <w:szCs w:val="22"/>
        </w:rPr>
        <w:t>include:</w:t>
      </w:r>
      <w:proofErr w:type="gramEnd"/>
      <w:r w:rsidR="00281816" w:rsidRPr="0036232E">
        <w:rPr>
          <w:sz w:val="22"/>
          <w:szCs w:val="22"/>
        </w:rPr>
        <w:t xml:space="preserve"> National Oceanic and Atmospheric Administration (Climate data), Environmental Protection Agency (Environmental data), US Census Bureau (Boundaries, Census surveys of housing and population), US Bureau of Labor Statistics (labor cost data), and OpenStreetMap (Points of interest, road network). Cotality validates the accuracy and completeness of these data sources through its robust Data Governance Program, which provides strict oversight over the acquisition, production, definition, distribution, and use of company data.</w:t>
      </w:r>
    </w:p>
    <w:p w14:paraId="0F5922AB" w14:textId="77777777" w:rsidR="001D022F" w:rsidRPr="0036232E" w:rsidRDefault="00281816" w:rsidP="001D022F">
      <w:pPr>
        <w:pStyle w:val="ListParagraph"/>
        <w:numPr>
          <w:ilvl w:val="0"/>
          <w:numId w:val="1"/>
        </w:numPr>
        <w:rPr>
          <w:sz w:val="22"/>
          <w:szCs w:val="22"/>
        </w:rPr>
      </w:pPr>
      <w:r w:rsidRPr="0036232E">
        <w:rPr>
          <w:b/>
          <w:bCs/>
          <w:sz w:val="22"/>
          <w:szCs w:val="22"/>
        </w:rPr>
        <w:t>Please describe the modeling technique used and provide all key assumptions and modeling decisions, including model specification, variable selection, transformations, hyperparameter tuning, model weights, and any constraints or adjustments applied.</w:t>
      </w:r>
      <w:r w:rsidRPr="0036232E">
        <w:rPr>
          <w:sz w:val="22"/>
          <w:szCs w:val="22"/>
        </w:rPr>
        <w:t> </w:t>
      </w:r>
    </w:p>
    <w:p w14:paraId="19C91042" w14:textId="77777777" w:rsidR="001D022F" w:rsidRPr="0036232E" w:rsidRDefault="001D022F" w:rsidP="00281816">
      <w:pPr>
        <w:pStyle w:val="ListParagraph"/>
        <w:numPr>
          <w:ilvl w:val="1"/>
          <w:numId w:val="1"/>
        </w:numPr>
        <w:rPr>
          <w:sz w:val="22"/>
          <w:szCs w:val="22"/>
        </w:rPr>
      </w:pPr>
      <w:r w:rsidRPr="0036232E">
        <w:rPr>
          <w:sz w:val="22"/>
          <w:szCs w:val="22"/>
        </w:rPr>
        <w:lastRenderedPageBreak/>
        <w:t xml:space="preserve"> </w:t>
      </w:r>
      <w:r w:rsidR="00281816" w:rsidRPr="0036232E">
        <w:rPr>
          <w:sz w:val="22"/>
          <w:szCs w:val="22"/>
        </w:rPr>
        <w:t>The final rating algorithm is derived from a multivariate frequency-severity approach utilizing linear regression models with a log link function, assuming normally distributed errors. The model is weighted by the sum of earned exposure in the block. To ensure stability and prevent overfitting, a stepwise selection method was used; this process enters variables one-by-one based on their correlation with risk, utilizing rigorous F-tests to ensure only the most statistically significant predictors are retained. For variable transformations, categorical values are binary (0 for "no" and 1 for "yes"), numeric data was standardized using Z-scores, square root transformations were applied, and zero values for log transformations were filled with -2.</w:t>
      </w:r>
    </w:p>
    <w:p w14:paraId="5F13E1C5" w14:textId="77777777" w:rsidR="001D022F" w:rsidRPr="0036232E" w:rsidRDefault="00281816" w:rsidP="001D022F">
      <w:pPr>
        <w:pStyle w:val="ListParagraph"/>
        <w:numPr>
          <w:ilvl w:val="0"/>
          <w:numId w:val="1"/>
        </w:numPr>
        <w:rPr>
          <w:sz w:val="22"/>
          <w:szCs w:val="22"/>
        </w:rPr>
      </w:pPr>
      <w:r w:rsidRPr="0036232E">
        <w:rPr>
          <w:b/>
          <w:bCs/>
          <w:sz w:val="22"/>
          <w:szCs w:val="22"/>
        </w:rPr>
        <w:t>Please confirm whether any control variables were included in the model. If so, please identify these variables and describe the rationale for their inclusion as control variables.</w:t>
      </w:r>
      <w:r w:rsidRPr="0036232E">
        <w:rPr>
          <w:sz w:val="22"/>
          <w:szCs w:val="22"/>
        </w:rPr>
        <w:t> </w:t>
      </w:r>
    </w:p>
    <w:p w14:paraId="4F0C464C" w14:textId="77777777" w:rsidR="001D022F" w:rsidRPr="0036232E" w:rsidRDefault="001D022F" w:rsidP="00281816">
      <w:pPr>
        <w:pStyle w:val="ListParagraph"/>
        <w:numPr>
          <w:ilvl w:val="1"/>
          <w:numId w:val="1"/>
        </w:numPr>
        <w:rPr>
          <w:sz w:val="22"/>
          <w:szCs w:val="22"/>
        </w:rPr>
      </w:pPr>
      <w:r w:rsidRPr="0036232E">
        <w:rPr>
          <w:sz w:val="22"/>
          <w:szCs w:val="22"/>
        </w:rPr>
        <w:t xml:space="preserve"> </w:t>
      </w:r>
      <w:r w:rsidR="00281816" w:rsidRPr="0036232E">
        <w:rPr>
          <w:sz w:val="22"/>
          <w:szCs w:val="22"/>
        </w:rPr>
        <w:t>No control variables are included in the model.</w:t>
      </w:r>
    </w:p>
    <w:p w14:paraId="2E240602" w14:textId="77777777" w:rsidR="001D022F" w:rsidRPr="0036232E" w:rsidRDefault="00281816" w:rsidP="001D022F">
      <w:pPr>
        <w:pStyle w:val="ListParagraph"/>
        <w:numPr>
          <w:ilvl w:val="0"/>
          <w:numId w:val="1"/>
        </w:numPr>
        <w:rPr>
          <w:sz w:val="22"/>
          <w:szCs w:val="22"/>
        </w:rPr>
      </w:pPr>
      <w:r w:rsidRPr="0036232E">
        <w:rPr>
          <w:b/>
          <w:bCs/>
          <w:sz w:val="22"/>
          <w:szCs w:val="22"/>
        </w:rPr>
        <w:t xml:space="preserve">Please confirm whether any offset variables </w:t>
      </w:r>
      <w:proofErr w:type="gramStart"/>
      <w:r w:rsidRPr="0036232E">
        <w:rPr>
          <w:b/>
          <w:bCs/>
          <w:sz w:val="22"/>
          <w:szCs w:val="22"/>
        </w:rPr>
        <w:t>were</w:t>
      </w:r>
      <w:proofErr w:type="gramEnd"/>
      <w:r w:rsidRPr="0036232E">
        <w:rPr>
          <w:b/>
          <w:bCs/>
          <w:sz w:val="22"/>
          <w:szCs w:val="22"/>
        </w:rPr>
        <w:t xml:space="preserve"> included in the model. If so, please identify these variables and describe the rationale for their inclusion as offset variables.</w:t>
      </w:r>
      <w:r w:rsidRPr="0036232E">
        <w:rPr>
          <w:sz w:val="22"/>
          <w:szCs w:val="22"/>
        </w:rPr>
        <w:t> </w:t>
      </w:r>
    </w:p>
    <w:p w14:paraId="37F42545" w14:textId="77777777" w:rsidR="001D022F" w:rsidRPr="0036232E" w:rsidRDefault="001D022F" w:rsidP="00281816">
      <w:pPr>
        <w:pStyle w:val="ListParagraph"/>
        <w:numPr>
          <w:ilvl w:val="1"/>
          <w:numId w:val="1"/>
        </w:numPr>
        <w:rPr>
          <w:sz w:val="22"/>
          <w:szCs w:val="22"/>
        </w:rPr>
      </w:pPr>
      <w:r w:rsidRPr="0036232E">
        <w:rPr>
          <w:sz w:val="22"/>
          <w:szCs w:val="22"/>
        </w:rPr>
        <w:t xml:space="preserve"> </w:t>
      </w:r>
      <w:r w:rsidR="00281816" w:rsidRPr="0036232E">
        <w:rPr>
          <w:sz w:val="22"/>
          <w:szCs w:val="22"/>
        </w:rPr>
        <w:t>No offset variables are included in the model.</w:t>
      </w:r>
    </w:p>
    <w:p w14:paraId="21BC5F12" w14:textId="238EBDCA" w:rsidR="001D022F" w:rsidRPr="0036232E" w:rsidRDefault="00281816" w:rsidP="0049118F">
      <w:pPr>
        <w:pStyle w:val="ListParagraph"/>
        <w:numPr>
          <w:ilvl w:val="0"/>
          <w:numId w:val="1"/>
        </w:numPr>
        <w:rPr>
          <w:sz w:val="22"/>
          <w:szCs w:val="22"/>
        </w:rPr>
      </w:pPr>
      <w:r w:rsidRPr="0036232E">
        <w:rPr>
          <w:b/>
          <w:bCs/>
          <w:sz w:val="22"/>
          <w:szCs w:val="22"/>
        </w:rPr>
        <w:t>Please indicate whether any variables were excluded from the variable because they are not allowed in Georgia.</w:t>
      </w:r>
      <w:r w:rsidRPr="0036232E">
        <w:rPr>
          <w:sz w:val="22"/>
          <w:szCs w:val="22"/>
        </w:rPr>
        <w:t> </w:t>
      </w:r>
    </w:p>
    <w:p w14:paraId="3616AD01" w14:textId="5AD2F9E9" w:rsidR="00D42823" w:rsidRPr="0036232E" w:rsidRDefault="00A30017" w:rsidP="00281816">
      <w:pPr>
        <w:pStyle w:val="ListParagraph"/>
        <w:numPr>
          <w:ilvl w:val="1"/>
          <w:numId w:val="1"/>
        </w:numPr>
        <w:rPr>
          <w:sz w:val="22"/>
          <w:szCs w:val="22"/>
        </w:rPr>
      </w:pPr>
      <w:r w:rsidRPr="0036232E">
        <w:rPr>
          <w:sz w:val="22"/>
          <w:szCs w:val="22"/>
        </w:rPr>
        <w:t>No exclusions were made specifically for the state of Georgia</w:t>
      </w:r>
    </w:p>
    <w:p w14:paraId="61FCC84F" w14:textId="77777777" w:rsidR="001D022F" w:rsidRPr="00E46729" w:rsidRDefault="00281816" w:rsidP="001D022F">
      <w:pPr>
        <w:pStyle w:val="ListParagraph"/>
        <w:numPr>
          <w:ilvl w:val="0"/>
          <w:numId w:val="1"/>
        </w:numPr>
        <w:rPr>
          <w:sz w:val="22"/>
          <w:szCs w:val="22"/>
          <w:highlight w:val="yellow"/>
        </w:rPr>
      </w:pPr>
      <w:r w:rsidRPr="00E46729">
        <w:rPr>
          <w:b/>
          <w:bCs/>
          <w:sz w:val="22"/>
          <w:szCs w:val="22"/>
          <w:highlight w:val="yellow"/>
        </w:rPr>
        <w:t>The Company indicated that a stepwise selection approach based on the probability of F was used to determine variable inclusion. Please provide the final probability of F for all variables included in the model.</w:t>
      </w:r>
      <w:r w:rsidRPr="00E46729">
        <w:rPr>
          <w:sz w:val="22"/>
          <w:szCs w:val="22"/>
          <w:highlight w:val="yellow"/>
        </w:rPr>
        <w:t> </w:t>
      </w:r>
    </w:p>
    <w:p w14:paraId="78FC7FF9" w14:textId="77777777" w:rsidR="001D022F" w:rsidRPr="0036232E" w:rsidRDefault="001D022F" w:rsidP="00281816">
      <w:pPr>
        <w:pStyle w:val="ListParagraph"/>
        <w:numPr>
          <w:ilvl w:val="1"/>
          <w:numId w:val="1"/>
        </w:numPr>
        <w:rPr>
          <w:sz w:val="22"/>
          <w:szCs w:val="22"/>
        </w:rPr>
      </w:pPr>
      <w:r w:rsidRPr="00E46729">
        <w:rPr>
          <w:sz w:val="22"/>
          <w:szCs w:val="22"/>
          <w:highlight w:val="yellow"/>
        </w:rPr>
        <w:t xml:space="preserve"> </w:t>
      </w:r>
      <w:r w:rsidR="00281816" w:rsidRPr="00E46729">
        <w:rPr>
          <w:sz w:val="22"/>
          <w:szCs w:val="22"/>
          <w:highlight w:val="yellow"/>
        </w:rPr>
        <w:t>The stepwise selection algorithm evaluates the addition of each variable with an F-test, and the variable is only added if the F test returns a p-value of &lt;= .001. A variable is removed if the F test returns a p-value of &gt; .002. The final p-values for all variables retained in both the Water Claim Frequency Model and Water Claim Severity Model were &lt; .001</w:t>
      </w:r>
      <w:r w:rsidR="00281816" w:rsidRPr="0036232E">
        <w:rPr>
          <w:sz w:val="22"/>
          <w:szCs w:val="22"/>
        </w:rPr>
        <w:t>.</w:t>
      </w:r>
    </w:p>
    <w:p w14:paraId="26FFABEE" w14:textId="77777777" w:rsidR="001D022F" w:rsidRPr="004666B2" w:rsidRDefault="00281816" w:rsidP="001D022F">
      <w:pPr>
        <w:pStyle w:val="ListParagraph"/>
        <w:numPr>
          <w:ilvl w:val="0"/>
          <w:numId w:val="1"/>
        </w:numPr>
        <w:rPr>
          <w:sz w:val="22"/>
          <w:szCs w:val="22"/>
          <w:highlight w:val="yellow"/>
        </w:rPr>
      </w:pPr>
      <w:r w:rsidRPr="004666B2">
        <w:rPr>
          <w:b/>
          <w:bCs/>
          <w:sz w:val="22"/>
          <w:szCs w:val="22"/>
          <w:highlight w:val="yellow"/>
        </w:rPr>
        <w:t>Please indicate which (if any) variables were included in the model despite not being statistically significant.</w:t>
      </w:r>
      <w:r w:rsidRPr="004666B2">
        <w:rPr>
          <w:sz w:val="22"/>
          <w:szCs w:val="22"/>
          <w:highlight w:val="yellow"/>
        </w:rPr>
        <w:t> </w:t>
      </w:r>
    </w:p>
    <w:p w14:paraId="41B2AF4B" w14:textId="77777777" w:rsidR="001D022F" w:rsidRPr="004666B2" w:rsidRDefault="001D022F" w:rsidP="00281816">
      <w:pPr>
        <w:pStyle w:val="ListParagraph"/>
        <w:numPr>
          <w:ilvl w:val="1"/>
          <w:numId w:val="1"/>
        </w:numPr>
        <w:rPr>
          <w:sz w:val="22"/>
          <w:szCs w:val="22"/>
          <w:highlight w:val="yellow"/>
        </w:rPr>
      </w:pPr>
      <w:r w:rsidRPr="004666B2">
        <w:rPr>
          <w:sz w:val="22"/>
          <w:szCs w:val="22"/>
          <w:highlight w:val="yellow"/>
        </w:rPr>
        <w:t xml:space="preserve"> </w:t>
      </w:r>
      <w:r w:rsidR="00281816" w:rsidRPr="004666B2">
        <w:rPr>
          <w:sz w:val="22"/>
          <w:szCs w:val="22"/>
          <w:highlight w:val="yellow"/>
        </w:rPr>
        <w:t>No variables were included in the model despite not being statistically significant. The stepwise selection process ensures only the most statistically significant predictors (p-value &lt;= .001) are retained.</w:t>
      </w:r>
    </w:p>
    <w:p w14:paraId="04570B4E" w14:textId="77777777" w:rsidR="001D022F" w:rsidRPr="0036232E" w:rsidRDefault="00281816" w:rsidP="001D022F">
      <w:pPr>
        <w:pStyle w:val="ListParagraph"/>
        <w:numPr>
          <w:ilvl w:val="0"/>
          <w:numId w:val="1"/>
        </w:numPr>
        <w:rPr>
          <w:sz w:val="22"/>
          <w:szCs w:val="22"/>
        </w:rPr>
      </w:pPr>
      <w:r w:rsidRPr="0036232E">
        <w:rPr>
          <w:b/>
          <w:bCs/>
          <w:sz w:val="22"/>
          <w:szCs w:val="22"/>
        </w:rPr>
        <w:t>Please confirm that all the variables used in the models conform to Georgia regulations and Actuarial Standard of Practice (ASOP) 56.</w:t>
      </w:r>
      <w:r w:rsidRPr="0036232E">
        <w:rPr>
          <w:sz w:val="22"/>
          <w:szCs w:val="22"/>
        </w:rPr>
        <w:t> </w:t>
      </w:r>
    </w:p>
    <w:p w14:paraId="77960454" w14:textId="20B580AA" w:rsidR="0051363A" w:rsidRPr="0036232E" w:rsidRDefault="001D022F" w:rsidP="0051363A">
      <w:pPr>
        <w:pStyle w:val="ListParagraph"/>
        <w:numPr>
          <w:ilvl w:val="1"/>
          <w:numId w:val="1"/>
        </w:numPr>
        <w:rPr>
          <w:sz w:val="22"/>
          <w:szCs w:val="22"/>
        </w:rPr>
      </w:pPr>
      <w:r w:rsidRPr="0036232E">
        <w:rPr>
          <w:sz w:val="22"/>
          <w:szCs w:val="22"/>
        </w:rPr>
        <w:t xml:space="preserve"> </w:t>
      </w:r>
      <w:r w:rsidR="00281816" w:rsidRPr="0036232E">
        <w:rPr>
          <w:sz w:val="22"/>
          <w:szCs w:val="22"/>
        </w:rPr>
        <w:t xml:space="preserve">ASOP 56 was considered in building the models, as it provides guidance with respect to designing, developing, selecting, modifying, reviewing, or evaluating models. </w:t>
      </w:r>
      <w:r w:rsidR="008B7130" w:rsidRPr="0036232E">
        <w:rPr>
          <w:sz w:val="22"/>
          <w:szCs w:val="22"/>
        </w:rPr>
        <w:t>Cotality confirms that</w:t>
      </w:r>
      <w:r w:rsidR="0051363A" w:rsidRPr="0036232E">
        <w:rPr>
          <w:sz w:val="22"/>
          <w:szCs w:val="22"/>
        </w:rPr>
        <w:t xml:space="preserve"> all variables conform to Georgia regulations and Actuarial Sta</w:t>
      </w:r>
      <w:r w:rsidR="008B7130" w:rsidRPr="0036232E">
        <w:rPr>
          <w:sz w:val="22"/>
          <w:szCs w:val="22"/>
        </w:rPr>
        <w:t>n</w:t>
      </w:r>
      <w:r w:rsidR="0051363A" w:rsidRPr="0036232E">
        <w:rPr>
          <w:sz w:val="22"/>
          <w:szCs w:val="22"/>
        </w:rPr>
        <w:t>dard of Practice (ASOP) 56.</w:t>
      </w:r>
    </w:p>
    <w:p w14:paraId="28A01CA2" w14:textId="77777777" w:rsidR="0051363A" w:rsidRPr="0036232E" w:rsidRDefault="00281816" w:rsidP="0051363A">
      <w:pPr>
        <w:pStyle w:val="ListParagraph"/>
        <w:numPr>
          <w:ilvl w:val="0"/>
          <w:numId w:val="1"/>
        </w:numPr>
        <w:rPr>
          <w:sz w:val="22"/>
          <w:szCs w:val="22"/>
        </w:rPr>
      </w:pPr>
      <w:r w:rsidRPr="0036232E">
        <w:rPr>
          <w:b/>
          <w:bCs/>
          <w:sz w:val="22"/>
          <w:szCs w:val="22"/>
        </w:rPr>
        <w:lastRenderedPageBreak/>
        <w:t>Please provide the model validation results (lift charts, Gini index, etc.) that were used to determine that the model is a valid predictor of risk.</w:t>
      </w:r>
      <w:r w:rsidRPr="0036232E">
        <w:rPr>
          <w:sz w:val="22"/>
          <w:szCs w:val="22"/>
        </w:rPr>
        <w:t> </w:t>
      </w:r>
    </w:p>
    <w:p w14:paraId="68A28DB0" w14:textId="79FEC21E" w:rsidR="00281816" w:rsidRPr="0036232E" w:rsidRDefault="0051363A" w:rsidP="0051363A">
      <w:pPr>
        <w:pStyle w:val="ListParagraph"/>
        <w:numPr>
          <w:ilvl w:val="1"/>
          <w:numId w:val="1"/>
        </w:numPr>
        <w:rPr>
          <w:sz w:val="22"/>
          <w:szCs w:val="22"/>
        </w:rPr>
      </w:pPr>
      <w:r w:rsidRPr="0036232E">
        <w:rPr>
          <w:sz w:val="22"/>
          <w:szCs w:val="22"/>
        </w:rPr>
        <w:t xml:space="preserve"> </w:t>
      </w:r>
      <w:r w:rsidR="00281816" w:rsidRPr="0036232E">
        <w:rPr>
          <w:sz w:val="22"/>
          <w:szCs w:val="22"/>
        </w:rPr>
        <w:t xml:space="preserve">The model was evaluated using Lift Curves, which demonstrate how the </w:t>
      </w:r>
      <w:proofErr w:type="spellStart"/>
      <w:r w:rsidR="00281816" w:rsidRPr="0036232E">
        <w:rPr>
          <w:sz w:val="22"/>
          <w:szCs w:val="22"/>
        </w:rPr>
        <w:t>WaterRisk</w:t>
      </w:r>
      <w:proofErr w:type="spellEnd"/>
      <w:r w:rsidR="00281816" w:rsidRPr="0036232E">
        <w:rPr>
          <w:sz w:val="22"/>
          <w:szCs w:val="22"/>
        </w:rPr>
        <w:t xml:space="preserve"> score distribution predicts water claims per 1,000 exposures and water loss per exposure. The </w:t>
      </w:r>
      <w:r w:rsidR="00B950F4" w:rsidRPr="0036232E">
        <w:rPr>
          <w:sz w:val="22"/>
          <w:szCs w:val="22"/>
        </w:rPr>
        <w:t xml:space="preserve">previously provided </w:t>
      </w:r>
      <w:r w:rsidR="00281816" w:rsidRPr="0036232E">
        <w:rPr>
          <w:sz w:val="22"/>
          <w:szCs w:val="22"/>
        </w:rPr>
        <w:t xml:space="preserve">lift curves illustrate monotonically rank-ordered risk groups for both nationwide and state-specific datasets. </w:t>
      </w:r>
    </w:p>
    <w:p w14:paraId="3F228BF4" w14:textId="288E95A4" w:rsidR="00281816" w:rsidRPr="0036232E" w:rsidRDefault="00281816" w:rsidP="0049118F">
      <w:pPr>
        <w:pStyle w:val="ListParagraph"/>
        <w:numPr>
          <w:ilvl w:val="0"/>
          <w:numId w:val="1"/>
        </w:numPr>
        <w:rPr>
          <w:b/>
          <w:bCs/>
          <w:sz w:val="22"/>
          <w:szCs w:val="22"/>
        </w:rPr>
      </w:pPr>
      <w:r w:rsidRPr="0036232E">
        <w:rPr>
          <w:b/>
          <w:bCs/>
          <w:sz w:val="22"/>
          <w:szCs w:val="22"/>
        </w:rPr>
        <w:t>Please describe adjustments made, if any, to the model-indicated factors in developing the selected factors, including but not limited to smoothing, extrapolation, mapping to scores, tempering, capping, or other post-modeling adjustments. For each adjustment, if applicable, please describe the methodology used, assumptions made, and rationale for the final selected factors.</w:t>
      </w:r>
      <w:r w:rsidRPr="0036232E">
        <w:rPr>
          <w:sz w:val="22"/>
          <w:szCs w:val="22"/>
        </w:rPr>
        <w:t> </w:t>
      </w:r>
    </w:p>
    <w:p w14:paraId="4E55A810" w14:textId="5423D3DC" w:rsidR="006010A7" w:rsidRPr="0036232E" w:rsidRDefault="006010A7" w:rsidP="0051363A">
      <w:pPr>
        <w:pStyle w:val="ListParagraph"/>
        <w:numPr>
          <w:ilvl w:val="1"/>
          <w:numId w:val="1"/>
        </w:numPr>
        <w:rPr>
          <w:sz w:val="22"/>
          <w:szCs w:val="22"/>
        </w:rPr>
      </w:pPr>
      <w:r w:rsidRPr="0036232E">
        <w:rPr>
          <w:sz w:val="22"/>
          <w:szCs w:val="22"/>
        </w:rPr>
        <w:t>No post-modelling adjustments are made to factors.</w:t>
      </w:r>
    </w:p>
    <w:p w14:paraId="068E6D12" w14:textId="20FAF3ED" w:rsidR="0051363A" w:rsidRPr="0036232E" w:rsidRDefault="00281816" w:rsidP="0051363A">
      <w:pPr>
        <w:pStyle w:val="ListParagraph"/>
        <w:numPr>
          <w:ilvl w:val="0"/>
          <w:numId w:val="1"/>
        </w:numPr>
        <w:rPr>
          <w:b/>
          <w:bCs/>
          <w:sz w:val="22"/>
          <w:szCs w:val="22"/>
        </w:rPr>
      </w:pPr>
      <w:r w:rsidRPr="0036232E">
        <w:rPr>
          <w:b/>
          <w:bCs/>
          <w:sz w:val="22"/>
          <w:szCs w:val="22"/>
        </w:rPr>
        <w:t xml:space="preserve">The Company indicated that the data feeding the model </w:t>
      </w:r>
      <w:proofErr w:type="gramStart"/>
      <w:r w:rsidRPr="0036232E">
        <w:rPr>
          <w:b/>
          <w:bCs/>
          <w:sz w:val="22"/>
          <w:szCs w:val="22"/>
        </w:rPr>
        <w:t>are</w:t>
      </w:r>
      <w:proofErr w:type="gramEnd"/>
      <w:r w:rsidRPr="0036232E">
        <w:rPr>
          <w:b/>
          <w:bCs/>
          <w:sz w:val="22"/>
          <w:szCs w:val="22"/>
        </w:rPr>
        <w:t xml:space="preserve"> updated annually to ensure accuracy. Please describe the ongoing model monitoring and validation procedures performed in...</w:t>
      </w:r>
      <w:r w:rsidRPr="0036232E">
        <w:rPr>
          <w:sz w:val="22"/>
          <w:szCs w:val="22"/>
        </w:rPr>
        <w:t> </w:t>
      </w:r>
    </w:p>
    <w:p w14:paraId="293FBA1A" w14:textId="1D8EA959" w:rsidR="002C2144" w:rsidRPr="0036232E" w:rsidRDefault="0051363A" w:rsidP="002C2144">
      <w:pPr>
        <w:pStyle w:val="ListParagraph"/>
        <w:numPr>
          <w:ilvl w:val="1"/>
          <w:numId w:val="1"/>
        </w:numPr>
        <w:rPr>
          <w:sz w:val="22"/>
          <w:szCs w:val="22"/>
        </w:rPr>
      </w:pPr>
      <w:r w:rsidRPr="0036232E">
        <w:rPr>
          <w:sz w:val="22"/>
          <w:szCs w:val="22"/>
        </w:rPr>
        <w:t xml:space="preserve"> </w:t>
      </w:r>
      <w:r w:rsidR="00281816" w:rsidRPr="0036232E">
        <w:rPr>
          <w:sz w:val="22"/>
          <w:szCs w:val="22"/>
        </w:rPr>
        <w:t xml:space="preserve">While the structure of the model will not change, the </w:t>
      </w:r>
      <w:r w:rsidR="00327666">
        <w:rPr>
          <w:sz w:val="22"/>
          <w:szCs w:val="22"/>
        </w:rPr>
        <w:t>underlying</w:t>
      </w:r>
      <w:r w:rsidR="00281816" w:rsidRPr="0036232E">
        <w:rPr>
          <w:sz w:val="22"/>
          <w:szCs w:val="22"/>
        </w:rPr>
        <w:t xml:space="preserve"> data feeding the model is updated annually to pull in the most recent underlying data and ensure accuracy. The model itself is not retrained during this annual data refresh. Furthermore, the model will be validated against new data "as needed". </w:t>
      </w:r>
    </w:p>
    <w:p w14:paraId="6188D2E6" w14:textId="77777777" w:rsidR="00FC0A33" w:rsidRPr="0036232E" w:rsidRDefault="00FC0A33">
      <w:pPr>
        <w:rPr>
          <w:sz w:val="22"/>
          <w:szCs w:val="22"/>
        </w:rPr>
      </w:pPr>
    </w:p>
    <w:sectPr w:rsidR="00FC0A33" w:rsidRPr="003623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051AB"/>
    <w:multiLevelType w:val="hybridMultilevel"/>
    <w:tmpl w:val="236679D4"/>
    <w:lvl w:ilvl="0" w:tplc="DF6CD94E">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4839B7"/>
    <w:multiLevelType w:val="multilevel"/>
    <w:tmpl w:val="A15C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6A150D"/>
    <w:multiLevelType w:val="hybridMultilevel"/>
    <w:tmpl w:val="B146370C"/>
    <w:lvl w:ilvl="0" w:tplc="1DE437A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E474E57"/>
    <w:multiLevelType w:val="hybridMultilevel"/>
    <w:tmpl w:val="58C602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795695">
    <w:abstractNumId w:val="2"/>
  </w:num>
  <w:num w:numId="2" w16cid:durableId="588390481">
    <w:abstractNumId w:val="0"/>
  </w:num>
  <w:num w:numId="3" w16cid:durableId="215702628">
    <w:abstractNumId w:val="1"/>
  </w:num>
  <w:num w:numId="4" w16cid:durableId="1598951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B26"/>
    <w:rsid w:val="00007277"/>
    <w:rsid w:val="000A3F94"/>
    <w:rsid w:val="000F4B26"/>
    <w:rsid w:val="00107C7F"/>
    <w:rsid w:val="00113B61"/>
    <w:rsid w:val="00154397"/>
    <w:rsid w:val="00194E92"/>
    <w:rsid w:val="001D022F"/>
    <w:rsid w:val="001F5159"/>
    <w:rsid w:val="002431B4"/>
    <w:rsid w:val="00281816"/>
    <w:rsid w:val="002B1280"/>
    <w:rsid w:val="002C2144"/>
    <w:rsid w:val="002F6131"/>
    <w:rsid w:val="00327666"/>
    <w:rsid w:val="0033561A"/>
    <w:rsid w:val="00344377"/>
    <w:rsid w:val="00352B5A"/>
    <w:rsid w:val="0036232E"/>
    <w:rsid w:val="00375371"/>
    <w:rsid w:val="003E03A7"/>
    <w:rsid w:val="004666B2"/>
    <w:rsid w:val="00471C86"/>
    <w:rsid w:val="0049118F"/>
    <w:rsid w:val="0051363A"/>
    <w:rsid w:val="005B14F7"/>
    <w:rsid w:val="005E59F3"/>
    <w:rsid w:val="006010A7"/>
    <w:rsid w:val="00604CDC"/>
    <w:rsid w:val="006073BB"/>
    <w:rsid w:val="006E14BF"/>
    <w:rsid w:val="006E3F0E"/>
    <w:rsid w:val="00707158"/>
    <w:rsid w:val="00732DA2"/>
    <w:rsid w:val="007963EF"/>
    <w:rsid w:val="00804675"/>
    <w:rsid w:val="008647A5"/>
    <w:rsid w:val="0088544A"/>
    <w:rsid w:val="008B7130"/>
    <w:rsid w:val="009115B1"/>
    <w:rsid w:val="00913D12"/>
    <w:rsid w:val="00945A24"/>
    <w:rsid w:val="00947401"/>
    <w:rsid w:val="009E41EF"/>
    <w:rsid w:val="00A30017"/>
    <w:rsid w:val="00A96FE6"/>
    <w:rsid w:val="00AE6511"/>
    <w:rsid w:val="00B94673"/>
    <w:rsid w:val="00B950F4"/>
    <w:rsid w:val="00BD688E"/>
    <w:rsid w:val="00C7338A"/>
    <w:rsid w:val="00C773D4"/>
    <w:rsid w:val="00CA775F"/>
    <w:rsid w:val="00D22ABA"/>
    <w:rsid w:val="00D3003F"/>
    <w:rsid w:val="00D42823"/>
    <w:rsid w:val="00DE1EF1"/>
    <w:rsid w:val="00E1616B"/>
    <w:rsid w:val="00E25DEE"/>
    <w:rsid w:val="00E46729"/>
    <w:rsid w:val="00EB7E53"/>
    <w:rsid w:val="00F272BB"/>
    <w:rsid w:val="00F54B56"/>
    <w:rsid w:val="00F945E5"/>
    <w:rsid w:val="00FB33EE"/>
    <w:rsid w:val="00FB68A9"/>
    <w:rsid w:val="00FC0A33"/>
    <w:rsid w:val="00FD7C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F11B2"/>
  <w15:chartTrackingRefBased/>
  <w15:docId w15:val="{2C699BED-75FF-49C1-8DC7-D58E11E49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4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4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4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4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B26"/>
    <w:rPr>
      <w:rFonts w:eastAsiaTheme="majorEastAsia" w:cstheme="majorBidi"/>
      <w:color w:val="272727" w:themeColor="text1" w:themeTint="D8"/>
    </w:rPr>
  </w:style>
  <w:style w:type="paragraph" w:styleId="Title">
    <w:name w:val="Title"/>
    <w:basedOn w:val="Normal"/>
    <w:next w:val="Normal"/>
    <w:link w:val="TitleChar"/>
    <w:uiPriority w:val="10"/>
    <w:qFormat/>
    <w:rsid w:val="000F4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B26"/>
    <w:pPr>
      <w:spacing w:before="160"/>
      <w:jc w:val="center"/>
    </w:pPr>
    <w:rPr>
      <w:i/>
      <w:iCs/>
      <w:color w:val="404040" w:themeColor="text1" w:themeTint="BF"/>
    </w:rPr>
  </w:style>
  <w:style w:type="character" w:customStyle="1" w:styleId="QuoteChar">
    <w:name w:val="Quote Char"/>
    <w:basedOn w:val="DefaultParagraphFont"/>
    <w:link w:val="Quote"/>
    <w:uiPriority w:val="29"/>
    <w:rsid w:val="000F4B26"/>
    <w:rPr>
      <w:i/>
      <w:iCs/>
      <w:color w:val="404040" w:themeColor="text1" w:themeTint="BF"/>
    </w:rPr>
  </w:style>
  <w:style w:type="paragraph" w:styleId="ListParagraph">
    <w:name w:val="List Paragraph"/>
    <w:basedOn w:val="Normal"/>
    <w:uiPriority w:val="34"/>
    <w:qFormat/>
    <w:rsid w:val="000F4B26"/>
    <w:pPr>
      <w:ind w:left="720"/>
      <w:contextualSpacing/>
    </w:pPr>
  </w:style>
  <w:style w:type="character" w:styleId="IntenseEmphasis">
    <w:name w:val="Intense Emphasis"/>
    <w:basedOn w:val="DefaultParagraphFont"/>
    <w:uiPriority w:val="21"/>
    <w:qFormat/>
    <w:rsid w:val="000F4B26"/>
    <w:rPr>
      <w:i/>
      <w:iCs/>
      <w:color w:val="0F4761" w:themeColor="accent1" w:themeShade="BF"/>
    </w:rPr>
  </w:style>
  <w:style w:type="paragraph" w:styleId="IntenseQuote">
    <w:name w:val="Intense Quote"/>
    <w:basedOn w:val="Normal"/>
    <w:next w:val="Normal"/>
    <w:link w:val="IntenseQuoteChar"/>
    <w:uiPriority w:val="30"/>
    <w:qFormat/>
    <w:rsid w:val="000F4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B26"/>
    <w:rPr>
      <w:i/>
      <w:iCs/>
      <w:color w:val="0F4761" w:themeColor="accent1" w:themeShade="BF"/>
    </w:rPr>
  </w:style>
  <w:style w:type="character" w:styleId="IntenseReference">
    <w:name w:val="Intense Reference"/>
    <w:basedOn w:val="DefaultParagraphFont"/>
    <w:uiPriority w:val="32"/>
    <w:qFormat/>
    <w:rsid w:val="000F4B26"/>
    <w:rPr>
      <w:b/>
      <w:bCs/>
      <w:smallCaps/>
      <w:color w:val="0F4761" w:themeColor="accent1" w:themeShade="BF"/>
      <w:spacing w:val="5"/>
    </w:rPr>
  </w:style>
  <w:style w:type="paragraph" w:styleId="Revision">
    <w:name w:val="Revision"/>
    <w:hidden/>
    <w:uiPriority w:val="99"/>
    <w:semiHidden/>
    <w:rsid w:val="00FB33EE"/>
    <w:pPr>
      <w:spacing w:after="0" w:line="240" w:lineRule="auto"/>
    </w:pPr>
  </w:style>
  <w:style w:type="character" w:styleId="CommentReference">
    <w:name w:val="annotation reference"/>
    <w:basedOn w:val="DefaultParagraphFont"/>
    <w:uiPriority w:val="99"/>
    <w:semiHidden/>
    <w:unhideWhenUsed/>
    <w:rsid w:val="00F54B56"/>
    <w:rPr>
      <w:sz w:val="16"/>
      <w:szCs w:val="16"/>
    </w:rPr>
  </w:style>
  <w:style w:type="paragraph" w:styleId="CommentText">
    <w:name w:val="annotation text"/>
    <w:basedOn w:val="Normal"/>
    <w:link w:val="CommentTextChar"/>
    <w:uiPriority w:val="99"/>
    <w:unhideWhenUsed/>
    <w:rsid w:val="00F54B56"/>
    <w:pPr>
      <w:spacing w:line="240" w:lineRule="auto"/>
    </w:pPr>
    <w:rPr>
      <w:sz w:val="20"/>
      <w:szCs w:val="20"/>
    </w:rPr>
  </w:style>
  <w:style w:type="character" w:customStyle="1" w:styleId="CommentTextChar">
    <w:name w:val="Comment Text Char"/>
    <w:basedOn w:val="DefaultParagraphFont"/>
    <w:link w:val="CommentText"/>
    <w:uiPriority w:val="99"/>
    <w:rsid w:val="00F54B56"/>
    <w:rPr>
      <w:sz w:val="20"/>
      <w:szCs w:val="20"/>
    </w:rPr>
  </w:style>
  <w:style w:type="paragraph" w:styleId="CommentSubject">
    <w:name w:val="annotation subject"/>
    <w:basedOn w:val="CommentText"/>
    <w:next w:val="CommentText"/>
    <w:link w:val="CommentSubjectChar"/>
    <w:uiPriority w:val="99"/>
    <w:semiHidden/>
    <w:unhideWhenUsed/>
    <w:rsid w:val="00F54B56"/>
    <w:rPr>
      <w:b/>
      <w:bCs/>
    </w:rPr>
  </w:style>
  <w:style w:type="character" w:customStyle="1" w:styleId="CommentSubjectChar">
    <w:name w:val="Comment Subject Char"/>
    <w:basedOn w:val="CommentTextChar"/>
    <w:link w:val="CommentSubject"/>
    <w:uiPriority w:val="99"/>
    <w:semiHidden/>
    <w:rsid w:val="00F54B56"/>
    <w:rPr>
      <w:b/>
      <w:bCs/>
      <w:sz w:val="20"/>
      <w:szCs w:val="20"/>
    </w:rPr>
  </w:style>
  <w:style w:type="character" w:styleId="Mention">
    <w:name w:val="Mention"/>
    <w:basedOn w:val="DefaultParagraphFont"/>
    <w:uiPriority w:val="99"/>
    <w:unhideWhenUsed/>
    <w:rsid w:val="00F54B5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5874</TotalTime>
  <Pages>7</Pages>
  <Words>2653</Words>
  <Characters>15286</Characters>
  <Application>Microsoft Office Word</Application>
  <DocSecurity>0</DocSecurity>
  <Lines>363</Lines>
  <Paragraphs>152</Paragraphs>
  <ScaleCrop>false</ScaleCrop>
  <Company/>
  <LinksUpToDate>false</LinksUpToDate>
  <CharactersWithSpaces>17787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Sullivan</dc:creator>
  <cp:keywords/>
  <dc:description/>
  <cp:lastModifiedBy>Eshan Prashar</cp:lastModifiedBy>
  <cp:revision>53</cp:revision>
  <dcterms:created xsi:type="dcterms:W3CDTF">2026-04-28T13:22:00Z</dcterms:created>
  <dcterms:modified xsi:type="dcterms:W3CDTF">2026-07-01T18:22:00Z</dcterms:modified>
</cp:coreProperties>
</file>