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013" w:rsidRDefault="00A81013" w:rsidP="00A81013">
      <w:pPr>
        <w:pStyle w:val="Heading1"/>
      </w:pPr>
      <w:r>
        <w:t>Description</w:t>
      </w:r>
    </w:p>
    <w:p w:rsidR="00A81013" w:rsidRDefault="00A81013" w:rsidP="00A81013">
      <w:r>
        <w:t xml:space="preserve">During the period from 1990 through 2002, EPRI funded the development of a Lightning Protection Design Workstation (LPDW), which was used by many utilities to assess the lightning performance of distribution lines. Since about 2002, this program has not been available. EPRI decided to release the simulation kernel of LPDW under </w:t>
      </w:r>
      <w:r w:rsidR="003A3B75">
        <w:t xml:space="preserve">the name </w:t>
      </w:r>
      <w:proofErr w:type="spellStart"/>
      <w:r w:rsidR="00B637AA">
        <w:rPr>
          <w:b/>
          <w:i/>
        </w:rPr>
        <w:t>OpenETran</w:t>
      </w:r>
      <w:proofErr w:type="spellEnd"/>
      <w:r w:rsidR="003A3B75">
        <w:t xml:space="preserve">, with </w:t>
      </w:r>
      <w:r>
        <w:t>an open-source license (GPL v3), so it may be incorporated into IEEE Flash and other projects.</w:t>
      </w:r>
    </w:p>
    <w:p w:rsidR="00A81013" w:rsidRDefault="00B637AA" w:rsidP="00A81013">
      <w:proofErr w:type="spellStart"/>
      <w:r>
        <w:t>OpenETran</w:t>
      </w:r>
      <w:proofErr w:type="spellEnd"/>
      <w:r w:rsidR="00A81013">
        <w:t xml:space="preserve"> can presently simulate multi-conductor power lines, insulators, surge arresters, non-linear grounds, and lightning strokes. It efficiently calculates energy and charge duty on surge arresters, and iterates to find the critical lightning current causing flashover on one or more phases. It is also suitable for use in substation insulation coordination. Capacitor switching, TRV, and other applications may be added.</w:t>
      </w:r>
    </w:p>
    <w:p w:rsidR="00A81013" w:rsidRDefault="00A81013" w:rsidP="00A81013">
      <w:r>
        <w:t xml:space="preserve">EPRI originally had permission to use code from the Numerical Recipes book in LPDW. These routines have been removed in favor of </w:t>
      </w:r>
      <w:r w:rsidR="003A3B75">
        <w:t xml:space="preserve">the </w:t>
      </w:r>
      <w:r>
        <w:t>G</w:t>
      </w:r>
      <w:r w:rsidR="003A3B75">
        <w:t xml:space="preserve">NU </w:t>
      </w:r>
      <w:r>
        <w:t>S</w:t>
      </w:r>
      <w:r w:rsidR="003A3B75">
        <w:t xml:space="preserve">cientific </w:t>
      </w:r>
      <w:r>
        <w:t>L</w:t>
      </w:r>
      <w:r w:rsidR="003A3B75">
        <w:t>ibrary (GSL), which also uses the GPL v3 license</w:t>
      </w:r>
      <w:r>
        <w:t>.</w:t>
      </w:r>
      <w:r w:rsidR="00B637AA">
        <w:t xml:space="preserve"> As a result, the </w:t>
      </w:r>
      <w:proofErr w:type="spellStart"/>
      <w:r w:rsidR="00B637AA">
        <w:t>OpenETran</w:t>
      </w:r>
      <w:proofErr w:type="spellEnd"/>
      <w:r w:rsidR="003A3B75">
        <w:t xml:space="preserve"> package can be freely used and modified, but not commercialized.</w:t>
      </w:r>
    </w:p>
    <w:p w:rsidR="00B25E54" w:rsidRDefault="00B25E54" w:rsidP="00B25E54">
      <w:pPr>
        <w:pStyle w:val="Heading1"/>
      </w:pPr>
      <w:r>
        <w:t>Models</w:t>
      </w:r>
    </w:p>
    <w:p w:rsidR="00AE0DCF" w:rsidRDefault="00AE0DCF" w:rsidP="00AE0DCF">
      <w:r>
        <w:t>Figure 1 shows the circuit structure analyzed for overhead lines.  It includes a series of one or more poles, with each pole connected by a section of line with one or more conductors.  One conductor, typically the neutral, may be grounded at selected poles or at all poles.  Each line section must have the same span lengt</w:t>
      </w:r>
      <w:r>
        <w:t xml:space="preserve">h and conductor configuration. </w:t>
      </w:r>
      <w:r>
        <w:t>Figure 1 also shows optional features, connected to some of the poles.  These include:</w:t>
      </w:r>
    </w:p>
    <w:p w:rsidR="00AE0DCF" w:rsidRDefault="00AE0DCF" w:rsidP="00AE0DCF">
      <w:pPr>
        <w:pStyle w:val="ListParagraph"/>
        <w:numPr>
          <w:ilvl w:val="0"/>
          <w:numId w:val="2"/>
        </w:numPr>
      </w:pPr>
      <w:r>
        <w:t>Insulators</w:t>
      </w:r>
    </w:p>
    <w:p w:rsidR="00AE0DCF" w:rsidRDefault="00AE0DCF" w:rsidP="00AE0DCF">
      <w:pPr>
        <w:pStyle w:val="ListParagraph"/>
        <w:numPr>
          <w:ilvl w:val="0"/>
          <w:numId w:val="2"/>
        </w:numPr>
      </w:pPr>
      <w:r>
        <w:t>Surge arresters</w:t>
      </w:r>
    </w:p>
    <w:p w:rsidR="00AE0DCF" w:rsidRDefault="00AE0DCF" w:rsidP="00AE0DCF">
      <w:pPr>
        <w:pStyle w:val="ListParagraph"/>
        <w:numPr>
          <w:ilvl w:val="0"/>
          <w:numId w:val="2"/>
        </w:numPr>
      </w:pPr>
      <w:r>
        <w:t>Terminations, with optional D.C. voltage bias</w:t>
      </w:r>
    </w:p>
    <w:p w:rsidR="00AE0DCF" w:rsidRDefault="00AE0DCF" w:rsidP="00AE0DCF">
      <w:pPr>
        <w:pStyle w:val="ListParagraph"/>
        <w:numPr>
          <w:ilvl w:val="0"/>
          <w:numId w:val="2"/>
        </w:numPr>
      </w:pPr>
      <w:r>
        <w:t>Meters for plotted voltage output</w:t>
      </w:r>
    </w:p>
    <w:p w:rsidR="00AE0DCF" w:rsidRDefault="00AE0DCF" w:rsidP="00AE0DCF">
      <w:pPr>
        <w:pStyle w:val="ListParagraph"/>
        <w:numPr>
          <w:ilvl w:val="0"/>
          <w:numId w:val="2"/>
        </w:numPr>
      </w:pPr>
      <w:r>
        <w:t>Meters for arrester, pole ground, and service drop currents</w:t>
      </w:r>
    </w:p>
    <w:p w:rsidR="00AE0DCF" w:rsidRDefault="00AE0DCF" w:rsidP="00AE0DCF">
      <w:pPr>
        <w:pStyle w:val="ListParagraph"/>
        <w:numPr>
          <w:ilvl w:val="0"/>
          <w:numId w:val="2"/>
        </w:numPr>
      </w:pPr>
      <w:r>
        <w:t>Surge current to represent a direct flash to a conductor</w:t>
      </w:r>
    </w:p>
    <w:p w:rsidR="00AE0DCF" w:rsidRDefault="00AE0DCF" w:rsidP="00AE0DCF">
      <w:pPr>
        <w:pStyle w:val="ListParagraph"/>
        <w:numPr>
          <w:ilvl w:val="0"/>
          <w:numId w:val="2"/>
        </w:numPr>
      </w:pPr>
      <w:r>
        <w:t>The program can also simulate lumped resistors, inductors, and capacitors.</w:t>
      </w:r>
    </w:p>
    <w:p w:rsidR="00AE0DCF" w:rsidRDefault="00AE0DCF" w:rsidP="00AE0DCF">
      <w:r>
        <w:t xml:space="preserve">Figure 2 illustrates the performance of a non-linear and frequency-dependent surge arrester model, using Bezier splines for the discharge characteristic, and </w:t>
      </w:r>
      <w:proofErr w:type="spellStart"/>
      <w:r>
        <w:t>Cigre’s</w:t>
      </w:r>
      <w:proofErr w:type="spellEnd"/>
      <w:r>
        <w:t xml:space="preserve"> conductance model for turn-on delay and inductive effects. </w:t>
      </w:r>
      <w:proofErr w:type="spellStart"/>
      <w:r w:rsidR="00B637AA">
        <w:t>OpenETran</w:t>
      </w:r>
      <w:proofErr w:type="spellEnd"/>
      <w:r>
        <w:t xml:space="preserve"> also includes time-dependent insulator models. All of the model and engineering assumptions are documented in the user manual.</w:t>
      </w:r>
    </w:p>
    <w:p w:rsidR="00AE0DCF" w:rsidRPr="00AE0DCF" w:rsidRDefault="00AE0DCF" w:rsidP="00AE0DCF">
      <w:r>
        <w:t xml:space="preserve">For lightning analysis, </w:t>
      </w:r>
      <w:proofErr w:type="spellStart"/>
      <w:r w:rsidR="00B637AA">
        <w:t>OpenETran</w:t>
      </w:r>
      <w:proofErr w:type="spellEnd"/>
      <w:r>
        <w:t xml:space="preserve"> is more efficient than other electromagn</w:t>
      </w:r>
      <w:r>
        <w:t xml:space="preserve">etic transient (EMT) programs. Each pole is considered to be a separate subsystem, so the system admittance matrix is inherently </w:t>
      </w:r>
      <w:proofErr w:type="gramStart"/>
      <w:r>
        <w:t>block</w:t>
      </w:r>
      <w:proofErr w:type="gramEnd"/>
      <w:r>
        <w:t xml:space="preserve"> diagonal (i.e. sparse). For efficient arrester duty calculations, the time step automatically increases after the time window of interest for flashover evaluations.</w:t>
      </w:r>
    </w:p>
    <w:p w:rsidR="00CE3309" w:rsidRDefault="00AE0DCF" w:rsidP="000F699E">
      <w:r w:rsidRPr="00AE0DCF">
        <w:lastRenderedPageBreak/>
        <w:drawing>
          <wp:inline distT="0" distB="0" distL="0" distR="0" wp14:anchorId="51B8A0B4" wp14:editId="32FA037D">
            <wp:extent cx="3152775" cy="78196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2775" cy="7819647"/>
                    </a:xfrm>
                    <a:prstGeom prst="rect">
                      <a:avLst/>
                    </a:prstGeom>
                    <a:noFill/>
                    <a:ln>
                      <a:noFill/>
                    </a:ln>
                  </pic:spPr>
                </pic:pic>
              </a:graphicData>
            </a:graphic>
          </wp:inline>
        </w:drawing>
      </w:r>
      <w:bookmarkStart w:id="0" w:name="_GoBack"/>
      <w:bookmarkEnd w:id="0"/>
    </w:p>
    <w:p w:rsidR="000F699E" w:rsidRPr="000F699E" w:rsidRDefault="00CE3309" w:rsidP="00CE3309">
      <w:pPr>
        <w:pStyle w:val="Caption"/>
      </w:pPr>
      <w:r>
        <w:t xml:space="preserve">Figure </w:t>
      </w:r>
      <w:fldSimple w:instr=" SEQ Figure \* ARABIC ">
        <w:r w:rsidR="009E07CD">
          <w:rPr>
            <w:noProof/>
          </w:rPr>
          <w:t>1</w:t>
        </w:r>
      </w:fldSimple>
      <w:r>
        <w:t xml:space="preserve"> - Distribution line model components in </w:t>
      </w:r>
      <w:proofErr w:type="spellStart"/>
      <w:r w:rsidR="00B637AA">
        <w:t>OpenETran</w:t>
      </w:r>
      <w:proofErr w:type="spellEnd"/>
    </w:p>
    <w:p w:rsidR="000F699E" w:rsidRPr="000F699E" w:rsidRDefault="000F699E" w:rsidP="000F699E"/>
    <w:p w:rsidR="00B25E54" w:rsidRDefault="00B25E54" w:rsidP="00B25E54">
      <w:r>
        <w:rPr>
          <w:noProof/>
        </w:rPr>
        <w:drawing>
          <wp:inline distT="0" distB="0" distL="0" distR="0" wp14:anchorId="44592607" wp14:editId="2B14B68E">
            <wp:extent cx="5824728" cy="3191256"/>
            <wp:effectExtent l="0" t="0" r="508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24728" cy="3191256"/>
                    </a:xfrm>
                    <a:prstGeom prst="rect">
                      <a:avLst/>
                    </a:prstGeom>
                    <a:noFill/>
                    <a:ln>
                      <a:noFill/>
                    </a:ln>
                  </pic:spPr>
                </pic:pic>
              </a:graphicData>
            </a:graphic>
          </wp:inline>
        </w:drawing>
      </w:r>
    </w:p>
    <w:p w:rsidR="00CE3309" w:rsidRPr="00B25E54" w:rsidRDefault="00CE3309" w:rsidP="00CE3309">
      <w:pPr>
        <w:pStyle w:val="Caption"/>
      </w:pPr>
      <w:r>
        <w:t xml:space="preserve">Figure </w:t>
      </w:r>
      <w:fldSimple w:instr=" SEQ Figure \* ARABIC ">
        <w:r w:rsidR="009E07CD">
          <w:rPr>
            <w:noProof/>
          </w:rPr>
          <w:t>2</w:t>
        </w:r>
      </w:fldSimple>
      <w:r>
        <w:t xml:space="preserve"> - Frequency-dependent arrester characteristics using the </w:t>
      </w:r>
      <w:proofErr w:type="spellStart"/>
      <w:r>
        <w:t>Cigre</w:t>
      </w:r>
      <w:proofErr w:type="spellEnd"/>
      <w:r>
        <w:t xml:space="preserve"> model</w:t>
      </w:r>
    </w:p>
    <w:p w:rsidR="009E07CD" w:rsidRDefault="00B25E54" w:rsidP="00B25E54">
      <w:pPr>
        <w:pStyle w:val="Heading1"/>
      </w:pPr>
      <w:r>
        <w:t>Examples</w:t>
      </w:r>
    </w:p>
    <w:p w:rsidR="0094192D" w:rsidRDefault="0094192D" w:rsidP="0094192D">
      <w:r>
        <w:t>Figure 3 illustrates the simplified program input for simulating a direct stroke to one conductor of a four-wire multi-grounded neutral feeder. Thirty pole spans are included in the model. Figure 4 shows a sample resulting voltage waveform from this case. Figures 4 and 5 illustrate other program applications for cable and substation lightning protection, based on use in earlier EPRI projects (</w:t>
      </w:r>
      <w:proofErr w:type="spellStart"/>
      <w:r>
        <w:t>CFlash</w:t>
      </w:r>
      <w:proofErr w:type="spellEnd"/>
      <w:r>
        <w:t xml:space="preserve"> and </w:t>
      </w:r>
      <w:proofErr w:type="spellStart"/>
      <w:r>
        <w:t>SDWorkstation</w:t>
      </w:r>
      <w:proofErr w:type="spellEnd"/>
      <w:r>
        <w:t>).</w:t>
      </w:r>
    </w:p>
    <w:p w:rsidR="0094192D" w:rsidRDefault="0094192D" w:rsidP="0094192D">
      <w:r>
        <w:t xml:space="preserve">The test cases distributed with </w:t>
      </w:r>
      <w:proofErr w:type="spellStart"/>
      <w:r w:rsidR="00B637AA">
        <w:t>OpenETran</w:t>
      </w:r>
      <w:proofErr w:type="spellEnd"/>
      <w:r>
        <w:t xml:space="preserve"> include:</w:t>
      </w:r>
    </w:p>
    <w:p w:rsidR="0094192D" w:rsidRDefault="0094192D" w:rsidP="0094192D">
      <w:pPr>
        <w:spacing w:after="120"/>
        <w:ind w:left="1800" w:hanging="1440"/>
      </w:pPr>
      <w:r>
        <w:t>ABCIGLD</w:t>
      </w:r>
      <w:r>
        <w:tab/>
        <w:t>discharge test for Bezier spline arrester with turn-on conductance and lead inductance</w:t>
      </w:r>
    </w:p>
    <w:p w:rsidR="0094192D" w:rsidRDefault="0094192D" w:rsidP="0094192D">
      <w:pPr>
        <w:spacing w:after="120"/>
        <w:ind w:left="1800" w:hanging="1440"/>
      </w:pPr>
      <w:r>
        <w:t>ABCIGRE</w:t>
      </w:r>
      <w:r>
        <w:tab/>
        <w:t>discharge test for Bezier spline arrester with turn-on conductance</w:t>
      </w:r>
    </w:p>
    <w:p w:rsidR="0094192D" w:rsidRDefault="0094192D" w:rsidP="0094192D">
      <w:pPr>
        <w:spacing w:after="120"/>
        <w:ind w:left="1800" w:hanging="1440"/>
      </w:pPr>
      <w:r>
        <w:t>ABEZGAP</w:t>
      </w:r>
      <w:r>
        <w:tab/>
        <w:t>discharge test for Bezier spline arrester with series gap</w:t>
      </w:r>
    </w:p>
    <w:p w:rsidR="0094192D" w:rsidRDefault="0094192D" w:rsidP="0094192D">
      <w:pPr>
        <w:spacing w:after="120"/>
        <w:ind w:left="1800" w:hanging="1440"/>
      </w:pPr>
      <w:r>
        <w:t>ABEZLEAD</w:t>
      </w:r>
      <w:r>
        <w:tab/>
        <w:t>discharge test for Bezier spline arrester with lead inductance</w:t>
      </w:r>
    </w:p>
    <w:p w:rsidR="0094192D" w:rsidRDefault="0094192D" w:rsidP="0094192D">
      <w:pPr>
        <w:spacing w:after="120"/>
        <w:ind w:left="1800" w:hanging="1440"/>
      </w:pPr>
      <w:r>
        <w:t>ABGAPLD</w:t>
      </w:r>
      <w:r>
        <w:tab/>
        <w:t>discharge test for Bezier spline arrester with series gap and inductance</w:t>
      </w:r>
    </w:p>
    <w:p w:rsidR="0094192D" w:rsidRDefault="0094192D" w:rsidP="0094192D">
      <w:pPr>
        <w:spacing w:after="120"/>
        <w:ind w:left="1800" w:hanging="1440"/>
      </w:pPr>
      <w:r>
        <w:t>ARRBEZ</w:t>
      </w:r>
      <w:r>
        <w:tab/>
        <w:t>discharge test for Bezier spline arrester model</w:t>
      </w:r>
    </w:p>
    <w:p w:rsidR="0094192D" w:rsidRDefault="0094192D" w:rsidP="0094192D">
      <w:pPr>
        <w:spacing w:after="120"/>
        <w:ind w:left="1800" w:hanging="1440"/>
      </w:pPr>
      <w:r>
        <w:t>ARRESTER</w:t>
      </w:r>
      <w:r>
        <w:tab/>
        <w:t>discharge test for arrester switch model</w:t>
      </w:r>
    </w:p>
    <w:p w:rsidR="0094192D" w:rsidRDefault="0094192D" w:rsidP="0094192D">
      <w:pPr>
        <w:spacing w:after="120"/>
        <w:ind w:left="1800" w:hanging="1440"/>
      </w:pPr>
      <w:r>
        <w:t>ARRLIN</w:t>
      </w:r>
      <w:r>
        <w:tab/>
        <w:t>discharge test for piecewise linear arrester model</w:t>
      </w:r>
    </w:p>
    <w:p w:rsidR="0094192D" w:rsidRDefault="0094192D" w:rsidP="0094192D">
      <w:pPr>
        <w:spacing w:after="120"/>
        <w:ind w:left="1800" w:hanging="1440"/>
      </w:pPr>
      <w:r>
        <w:lastRenderedPageBreak/>
        <w:t>ARRLEAD</w:t>
      </w:r>
      <w:r>
        <w:tab/>
        <w:t>discharge test for arrester switch model with lead inductance</w:t>
      </w:r>
    </w:p>
    <w:p w:rsidR="0094192D" w:rsidRDefault="0094192D" w:rsidP="0094192D">
      <w:pPr>
        <w:spacing w:after="120"/>
        <w:ind w:left="1800" w:hanging="1440"/>
      </w:pPr>
      <w:r>
        <w:t>DESTEEP</w:t>
      </w:r>
      <w:r>
        <w:tab/>
        <w:t>destructive effect insulator model, 100 kV CFO, concave surge front</w:t>
      </w:r>
    </w:p>
    <w:p w:rsidR="0094192D" w:rsidRDefault="0094192D" w:rsidP="0094192D">
      <w:pPr>
        <w:spacing w:after="120"/>
        <w:ind w:left="1800" w:hanging="1440"/>
      </w:pPr>
      <w:r>
        <w:t>DESURGE</w:t>
      </w:r>
      <w:r>
        <w:tab/>
        <w:t>destructive effect insulator model, 100 kV CFO, 1-cosine surge front</w:t>
      </w:r>
    </w:p>
    <w:p w:rsidR="0094192D" w:rsidRDefault="0094192D" w:rsidP="0094192D">
      <w:pPr>
        <w:spacing w:after="120"/>
        <w:ind w:left="1800" w:hanging="1440"/>
      </w:pPr>
      <w:r>
        <w:t>EPRI138</w:t>
      </w:r>
      <w:r>
        <w:tab/>
        <w:t xml:space="preserve">incoming surge for the 138-kV substation example from the </w:t>
      </w:r>
      <w:proofErr w:type="spellStart"/>
      <w:r>
        <w:t>ICWorkstation</w:t>
      </w:r>
      <w:proofErr w:type="spellEnd"/>
      <w:r>
        <w:t xml:space="preserve"> training course (see Figure 13 and Table 7)</w:t>
      </w:r>
    </w:p>
    <w:p w:rsidR="0094192D" w:rsidRDefault="0094192D" w:rsidP="0094192D">
      <w:pPr>
        <w:spacing w:after="120"/>
        <w:ind w:left="1800" w:hanging="1440"/>
      </w:pPr>
      <w:r>
        <w:t>EPRI500</w:t>
      </w:r>
      <w:r>
        <w:tab/>
        <w:t xml:space="preserve">incoming surge for the 500-kV substation example from the </w:t>
      </w:r>
      <w:proofErr w:type="spellStart"/>
      <w:r>
        <w:t>ICWorkstation</w:t>
      </w:r>
      <w:proofErr w:type="spellEnd"/>
      <w:r>
        <w:t xml:space="preserve"> training course</w:t>
      </w:r>
    </w:p>
    <w:p w:rsidR="0094192D" w:rsidRDefault="0094192D" w:rsidP="0094192D">
      <w:pPr>
        <w:spacing w:after="120"/>
        <w:ind w:left="1800" w:hanging="1440"/>
      </w:pPr>
      <w:r>
        <w:t>HOUSE</w:t>
      </w:r>
      <w:r>
        <w:tab/>
        <w:t>single-phase overhead with transformer secondary model</w:t>
      </w:r>
    </w:p>
    <w:p w:rsidR="0094192D" w:rsidRDefault="0094192D" w:rsidP="0094192D">
      <w:pPr>
        <w:spacing w:after="120"/>
        <w:ind w:left="1800" w:hanging="1440"/>
      </w:pPr>
      <w:r>
        <w:t>LPMSTEEP</w:t>
      </w:r>
      <w:r>
        <w:tab/>
        <w:t>leader progression insulator model, 100 kV CFO, concave surge front</w:t>
      </w:r>
    </w:p>
    <w:p w:rsidR="0094192D" w:rsidRDefault="0094192D" w:rsidP="0094192D">
      <w:pPr>
        <w:spacing w:after="120"/>
        <w:ind w:left="1800" w:hanging="1440"/>
      </w:pPr>
      <w:r>
        <w:t>LPMSURGE</w:t>
      </w:r>
      <w:r>
        <w:tab/>
        <w:t>leader progression insulator model, 100 kV CFO, 1-cosine surge front</w:t>
      </w:r>
    </w:p>
    <w:p w:rsidR="0094192D" w:rsidRDefault="0094192D" w:rsidP="0094192D">
      <w:pPr>
        <w:spacing w:after="120"/>
        <w:ind w:left="1800" w:hanging="1440"/>
      </w:pPr>
      <w:r>
        <w:t>NO_FLASH</w:t>
      </w:r>
      <w:r>
        <w:tab/>
        <w:t>leader progression insulator model, 100 kV CFO, flashover disabled and severity index greater than one</w:t>
      </w:r>
    </w:p>
    <w:p w:rsidR="0094192D" w:rsidRDefault="0094192D" w:rsidP="0094192D">
      <w:pPr>
        <w:spacing w:after="120"/>
        <w:ind w:left="1800" w:hanging="1440"/>
      </w:pPr>
      <w:r>
        <w:t>OVERBEZ</w:t>
      </w:r>
      <w:r>
        <w:tab/>
        <w:t>4-conductor overhead line with Bezier spline arresters</w:t>
      </w:r>
    </w:p>
    <w:p w:rsidR="0094192D" w:rsidRDefault="0094192D" w:rsidP="0094192D">
      <w:pPr>
        <w:spacing w:after="120"/>
        <w:ind w:left="1800" w:hanging="1440"/>
      </w:pPr>
      <w:r>
        <w:t>OVERHEAD</w:t>
      </w:r>
      <w:r>
        <w:tab/>
        <w:t>4-conductor overhead line with arrester switch models (see Figure 1 and Table 5)</w:t>
      </w:r>
    </w:p>
    <w:p w:rsidR="0094192D" w:rsidRDefault="0094192D" w:rsidP="0094192D">
      <w:pPr>
        <w:spacing w:after="120"/>
        <w:ind w:left="1800" w:hanging="1440"/>
      </w:pPr>
      <w:r>
        <w:t>PIPEGAPS</w:t>
      </w:r>
      <w:r>
        <w:tab/>
        <w:t xml:space="preserve">single-phase lateral with </w:t>
      </w:r>
      <w:proofErr w:type="spellStart"/>
      <w:r>
        <w:t>predischarge</w:t>
      </w:r>
      <w:proofErr w:type="spellEnd"/>
      <w:r>
        <w:t xml:space="preserve"> currents</w:t>
      </w:r>
    </w:p>
    <w:p w:rsidR="0094192D" w:rsidRDefault="0094192D" w:rsidP="0094192D">
      <w:pPr>
        <w:spacing w:after="120"/>
        <w:ind w:left="1800" w:hanging="1440"/>
      </w:pPr>
      <w:r>
        <w:t>PAPERGAP</w:t>
      </w:r>
      <w:r>
        <w:tab/>
        <w:t xml:space="preserve">three-phase line with </w:t>
      </w:r>
      <w:proofErr w:type="spellStart"/>
      <w:r>
        <w:t>predischarge</w:t>
      </w:r>
      <w:proofErr w:type="spellEnd"/>
      <w:r>
        <w:t xml:space="preserve"> currents</w:t>
      </w:r>
    </w:p>
    <w:p w:rsidR="0094192D" w:rsidRDefault="0094192D" w:rsidP="0094192D">
      <w:pPr>
        <w:spacing w:after="120"/>
        <w:ind w:left="1800" w:hanging="1440"/>
      </w:pPr>
      <w:r>
        <w:t>PAPERARR</w:t>
      </w:r>
      <w:r>
        <w:tab/>
        <w:t>add arresters and insulators to a three-phase line</w:t>
      </w:r>
    </w:p>
    <w:p w:rsidR="0094192D" w:rsidRDefault="0094192D" w:rsidP="0094192D">
      <w:pPr>
        <w:spacing w:after="120"/>
        <w:ind w:left="1800" w:hanging="1440"/>
      </w:pPr>
      <w:r>
        <w:t>RISER</w:t>
      </w:r>
      <w:r>
        <w:tab/>
        <w:t>single-phase cable with riser pole arrester</w:t>
      </w:r>
    </w:p>
    <w:p w:rsidR="0094192D" w:rsidRDefault="0094192D" w:rsidP="0094192D">
      <w:pPr>
        <w:spacing w:after="120"/>
        <w:ind w:left="1800" w:hanging="1440"/>
      </w:pPr>
      <w:r>
        <w:t>SCOUT</w:t>
      </w:r>
      <w:r>
        <w:tab/>
        <w:t>4-conductor line with arresters feeding a single-phase cable with open-point arrester (see Figure 12 and Table 6)</w:t>
      </w:r>
    </w:p>
    <w:p w:rsidR="0094192D" w:rsidRDefault="0094192D" w:rsidP="0094192D">
      <w:pPr>
        <w:spacing w:after="120"/>
        <w:ind w:left="1800" w:hanging="1440"/>
      </w:pPr>
      <w:r>
        <w:t>STEEP</w:t>
      </w:r>
      <w:r>
        <w:tab/>
        <w:t>typical first-stroke current parameters, concave surge front</w:t>
      </w:r>
    </w:p>
    <w:p w:rsidR="0094192D" w:rsidRDefault="0094192D" w:rsidP="0094192D">
      <w:pPr>
        <w:spacing w:after="120"/>
        <w:ind w:left="1800" w:hanging="1440"/>
      </w:pPr>
      <w:r>
        <w:t>SURGE</w:t>
      </w:r>
      <w:r>
        <w:tab/>
        <w:t>typical first-stroke current parameters, 1-cosine surge front</w:t>
      </w:r>
    </w:p>
    <w:p w:rsidR="0094192D" w:rsidRDefault="0094192D" w:rsidP="0094192D">
      <w:pPr>
        <w:spacing w:after="120"/>
        <w:ind w:left="1800" w:hanging="1440"/>
      </w:pPr>
      <w:r>
        <w:t>THREEWIRE</w:t>
      </w:r>
      <w:r>
        <w:tab/>
        <w:t>three-wire line with top-phase arrester, using a pole node for ground</w:t>
      </w:r>
    </w:p>
    <w:p w:rsidR="0094192D" w:rsidRPr="00E31343" w:rsidRDefault="0094192D" w:rsidP="0094192D">
      <w:pPr>
        <w:spacing w:after="120"/>
      </w:pPr>
      <w:r>
        <w:t xml:space="preserve">All of these test cases have been verified to produce the same results in </w:t>
      </w:r>
      <w:proofErr w:type="spellStart"/>
      <w:r w:rsidR="00B637AA">
        <w:t>OpenETran</w:t>
      </w:r>
      <w:proofErr w:type="spellEnd"/>
      <w:r>
        <w:t>, as in the EPRI LPDW version, which was previously validated through EPRI’s SQA process.</w:t>
      </w:r>
    </w:p>
    <w:p w:rsidR="0094192D" w:rsidRPr="0094192D" w:rsidRDefault="0094192D" w:rsidP="0094192D"/>
    <w:p w:rsidR="009E07CD" w:rsidRDefault="009E07CD" w:rsidP="009E07CD"/>
    <w:p w:rsidR="00394FA1" w:rsidRDefault="00394FA1" w:rsidP="009E07CD">
      <w:r w:rsidRPr="00394FA1">
        <w:lastRenderedPageBreak/>
        <w:drawing>
          <wp:inline distT="0" distB="0" distL="0" distR="0" wp14:anchorId="601A7278" wp14:editId="71A648A5">
            <wp:extent cx="5943600" cy="47390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739005"/>
                    </a:xfrm>
                    <a:prstGeom prst="rect">
                      <a:avLst/>
                    </a:prstGeom>
                  </pic:spPr>
                </pic:pic>
              </a:graphicData>
            </a:graphic>
          </wp:inline>
        </w:drawing>
      </w:r>
    </w:p>
    <w:p w:rsidR="009E07CD" w:rsidRDefault="009E07CD" w:rsidP="009E07CD">
      <w:pPr>
        <w:pStyle w:val="Caption"/>
      </w:pPr>
      <w:r>
        <w:t xml:space="preserve">Figure </w:t>
      </w:r>
      <w:fldSimple w:instr=" SEQ Figure \* ARABIC ">
        <w:r>
          <w:rPr>
            <w:noProof/>
          </w:rPr>
          <w:t>3</w:t>
        </w:r>
      </w:fldSimple>
      <w:r>
        <w:t xml:space="preserve"> - Spreadsheet Interface to </w:t>
      </w:r>
      <w:proofErr w:type="spellStart"/>
      <w:r w:rsidR="00B637AA">
        <w:t>OpenETran</w:t>
      </w:r>
      <w:proofErr w:type="spellEnd"/>
    </w:p>
    <w:p w:rsidR="009E07CD" w:rsidRDefault="009E07CD" w:rsidP="009E07CD">
      <w:r w:rsidRPr="009E07CD">
        <w:drawing>
          <wp:inline distT="0" distB="0" distL="0" distR="0" wp14:anchorId="55049363" wp14:editId="2B970D11">
            <wp:extent cx="3295650" cy="2190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5650" cy="2190750"/>
                    </a:xfrm>
                    <a:prstGeom prst="rect">
                      <a:avLst/>
                    </a:prstGeom>
                    <a:noFill/>
                    <a:ln>
                      <a:noFill/>
                    </a:ln>
                  </pic:spPr>
                </pic:pic>
              </a:graphicData>
            </a:graphic>
          </wp:inline>
        </w:drawing>
      </w:r>
    </w:p>
    <w:p w:rsidR="009E07CD" w:rsidRPr="009E07CD" w:rsidRDefault="009E07CD" w:rsidP="009E07CD">
      <w:pPr>
        <w:pStyle w:val="Caption"/>
      </w:pPr>
      <w:r>
        <w:t xml:space="preserve">Figure </w:t>
      </w:r>
      <w:fldSimple w:instr=" SEQ Figure \* ARABIC ">
        <w:r>
          <w:rPr>
            <w:noProof/>
          </w:rPr>
          <w:t>4</w:t>
        </w:r>
      </w:fldSimple>
      <w:r w:rsidR="00394FA1">
        <w:t xml:space="preserve"> - Adjacent</w:t>
      </w:r>
      <w:r>
        <w:t xml:space="preserve"> Pole Voltages with Surge Arresters</w:t>
      </w:r>
    </w:p>
    <w:p w:rsidR="00B25E54" w:rsidRDefault="009E07CD" w:rsidP="00B25E54">
      <w:pPr>
        <w:pStyle w:val="Heading1"/>
        <w:rPr>
          <w:noProof/>
        </w:rPr>
      </w:pPr>
      <w:r>
        <w:rPr>
          <w:noProof/>
        </w:rPr>
        <w:lastRenderedPageBreak/>
        <w:drawing>
          <wp:inline distT="0" distB="0" distL="0" distR="0" wp14:anchorId="5CDCFF52" wp14:editId="253BC4D5">
            <wp:extent cx="2843784" cy="1783080"/>
            <wp:effectExtent l="19050" t="19050" r="13970" b="26670"/>
            <wp:docPr id="7" name="Picture 7" descr="scou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out.b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43784" cy="1783080"/>
                    </a:xfrm>
                    <a:prstGeom prst="rect">
                      <a:avLst/>
                    </a:prstGeom>
                    <a:noFill/>
                    <a:ln w="9525">
                      <a:solidFill>
                        <a:srgbClr val="000000"/>
                      </a:solidFill>
                      <a:miter lim="800000"/>
                      <a:headEnd/>
                      <a:tailEnd/>
                    </a:ln>
                  </pic:spPr>
                </pic:pic>
              </a:graphicData>
            </a:graphic>
          </wp:inline>
        </w:drawing>
      </w:r>
      <w:r w:rsidR="00926345" w:rsidRPr="00926345">
        <w:rPr>
          <w:noProof/>
        </w:rPr>
        <w:t xml:space="preserve"> </w:t>
      </w:r>
      <w:r>
        <w:rPr>
          <w:noProof/>
        </w:rPr>
        <w:drawing>
          <wp:inline distT="0" distB="0" distL="0" distR="0" wp14:anchorId="00FAE345" wp14:editId="33ED70E9">
            <wp:extent cx="2838450" cy="1892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7879" cy="1898586"/>
                    </a:xfrm>
                    <a:prstGeom prst="rect">
                      <a:avLst/>
                    </a:prstGeom>
                    <a:noFill/>
                    <a:ln>
                      <a:noFill/>
                    </a:ln>
                  </pic:spPr>
                </pic:pic>
              </a:graphicData>
            </a:graphic>
          </wp:inline>
        </w:drawing>
      </w:r>
    </w:p>
    <w:p w:rsidR="009E07CD" w:rsidRPr="009E07CD" w:rsidRDefault="009E07CD" w:rsidP="009E07CD"/>
    <w:p w:rsidR="001C45AC" w:rsidRDefault="00926345" w:rsidP="00CE3309">
      <w:pPr>
        <w:pStyle w:val="Caption"/>
      </w:pPr>
      <w:r>
        <w:t xml:space="preserve">Figure </w:t>
      </w:r>
      <w:fldSimple w:instr=" SEQ Figure \* ARABIC ">
        <w:r w:rsidR="009E07CD">
          <w:rPr>
            <w:noProof/>
          </w:rPr>
          <w:t>5</w:t>
        </w:r>
      </w:fldSimple>
      <w:r>
        <w:t xml:space="preserve"> - Riser pole and scout arresters protecting a distribution cable in </w:t>
      </w:r>
      <w:proofErr w:type="spellStart"/>
      <w:r w:rsidR="00B637AA">
        <w:t>OpenETran</w:t>
      </w:r>
      <w:proofErr w:type="spellEnd"/>
    </w:p>
    <w:p w:rsidR="00CE3309" w:rsidRDefault="001C45AC" w:rsidP="00CE3309">
      <w:pPr>
        <w:pStyle w:val="Caption"/>
      </w:pPr>
      <w:r>
        <w:rPr>
          <w:noProof/>
        </w:rPr>
        <w:drawing>
          <wp:inline distT="0" distB="0" distL="0" distR="0" wp14:anchorId="72F92869" wp14:editId="5B903D87">
            <wp:extent cx="2798064" cy="2340864"/>
            <wp:effectExtent l="19050" t="19050" r="21590" b="21590"/>
            <wp:docPr id="8" name="Picture 8" descr="epri13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ri138.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8064" cy="2340864"/>
                    </a:xfrm>
                    <a:prstGeom prst="rect">
                      <a:avLst/>
                    </a:prstGeom>
                    <a:noFill/>
                    <a:ln w="9525">
                      <a:solidFill>
                        <a:srgbClr val="000000"/>
                      </a:solidFill>
                      <a:miter lim="800000"/>
                      <a:headEnd/>
                      <a:tailEnd/>
                    </a:ln>
                  </pic:spPr>
                </pic:pic>
              </a:graphicData>
            </a:graphic>
          </wp:inline>
        </w:drawing>
      </w:r>
      <w:r w:rsidRPr="001C45AC">
        <w:rPr>
          <w:noProof/>
        </w:rPr>
        <w:drawing>
          <wp:inline distT="0" distB="0" distL="0" distR="0" wp14:anchorId="479547C6" wp14:editId="44EF47B4">
            <wp:extent cx="3095625" cy="20637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1008" cy="2067340"/>
                    </a:xfrm>
                    <a:prstGeom prst="rect">
                      <a:avLst/>
                    </a:prstGeom>
                    <a:noFill/>
                    <a:ln>
                      <a:noFill/>
                    </a:ln>
                  </pic:spPr>
                </pic:pic>
              </a:graphicData>
            </a:graphic>
          </wp:inline>
        </w:drawing>
      </w:r>
    </w:p>
    <w:p w:rsidR="00CE3309" w:rsidRPr="00CE3309" w:rsidRDefault="001C45AC" w:rsidP="001C45AC">
      <w:pPr>
        <w:pStyle w:val="Caption"/>
      </w:pPr>
      <w:r>
        <w:t xml:space="preserve">Figure </w:t>
      </w:r>
      <w:fldSimple w:instr=" SEQ Figure \* ARABIC ">
        <w:r w:rsidR="009E07CD">
          <w:rPr>
            <w:noProof/>
          </w:rPr>
          <w:t>6</w:t>
        </w:r>
      </w:fldSimple>
      <w:r>
        <w:t xml:space="preserve"> - Incoming surge modeled in </w:t>
      </w:r>
      <w:proofErr w:type="spellStart"/>
      <w:r w:rsidR="00B637AA">
        <w:t>OpenETran</w:t>
      </w:r>
      <w:proofErr w:type="spellEnd"/>
    </w:p>
    <w:p w:rsidR="009E0D39" w:rsidRDefault="00E07C18" w:rsidP="00E07C18">
      <w:pPr>
        <w:pStyle w:val="Heading1"/>
      </w:pPr>
      <w:r>
        <w:t xml:space="preserve">Software </w:t>
      </w:r>
      <w:r w:rsidR="000F5637">
        <w:t xml:space="preserve">Quality Assurance </w:t>
      </w:r>
      <w:r>
        <w:t>Requirements</w:t>
      </w:r>
    </w:p>
    <w:p w:rsidR="00C139FC" w:rsidRDefault="00C139FC" w:rsidP="004274E3">
      <w:r>
        <w:t>This effort falls under EPRI’s Software Quality Assurance (SQA) process, with requirements listed below. To date, requirements 1-8 and 11 have been completed. The remainder will be finished by the end of 2011.</w:t>
      </w:r>
    </w:p>
    <w:p w:rsidR="00E07C18" w:rsidRDefault="00E07C18" w:rsidP="004274E3">
      <w:r w:rsidRPr="00C139FC">
        <w:rPr>
          <w:b/>
          <w:u w:val="single"/>
        </w:rPr>
        <w:t>Objectives</w:t>
      </w:r>
      <w:r>
        <w:t xml:space="preserve">: </w:t>
      </w:r>
      <w:r w:rsidR="004274E3">
        <w:t xml:space="preserve">Prepare the </w:t>
      </w:r>
      <w:proofErr w:type="spellStart"/>
      <w:r w:rsidR="00B637AA">
        <w:t>OpenETran</w:t>
      </w:r>
      <w:proofErr w:type="spellEnd"/>
      <w:r w:rsidR="004274E3">
        <w:t xml:space="preserve"> program for release under an open-source license, archived in a public source code repository. Update </w:t>
      </w:r>
      <w:proofErr w:type="spellStart"/>
      <w:r w:rsidR="00B637AA">
        <w:t>OpenETran</w:t>
      </w:r>
      <w:proofErr w:type="spellEnd"/>
      <w:r w:rsidR="004274E3">
        <w:t xml:space="preserve"> and interface it with IEEE</w:t>
      </w:r>
      <w:r w:rsidR="006A0A75">
        <w:t xml:space="preserve"> </w:t>
      </w:r>
      <w:r w:rsidR="004274E3">
        <w:t>Flash, so that other developers may contribute and anyone may use the program.</w:t>
      </w:r>
    </w:p>
    <w:p w:rsidR="00E07C18" w:rsidRDefault="004274E3" w:rsidP="00E07C18">
      <w:pPr>
        <w:pStyle w:val="ListParagraph"/>
        <w:numPr>
          <w:ilvl w:val="0"/>
          <w:numId w:val="1"/>
        </w:numPr>
      </w:pPr>
      <w:r>
        <w:t xml:space="preserve">The </w:t>
      </w:r>
      <w:proofErr w:type="spellStart"/>
      <w:r w:rsidR="00B637AA">
        <w:t>OpenETran</w:t>
      </w:r>
      <w:proofErr w:type="spellEnd"/>
      <w:r w:rsidR="000505CA">
        <w:t xml:space="preserve"> </w:t>
      </w:r>
      <w:r>
        <w:t>s</w:t>
      </w:r>
      <w:r w:rsidR="00E07C18">
        <w:t xml:space="preserve">oftware shall run in both 32-bit and 64-bit versions on </w:t>
      </w:r>
      <w:r>
        <w:t>Windows XP or later.</w:t>
      </w:r>
    </w:p>
    <w:p w:rsidR="00E57D85" w:rsidRDefault="00E57D85" w:rsidP="00E07C18">
      <w:pPr>
        <w:pStyle w:val="ListParagraph"/>
        <w:numPr>
          <w:ilvl w:val="0"/>
          <w:numId w:val="1"/>
        </w:numPr>
      </w:pPr>
      <w:r>
        <w:t xml:space="preserve">The </w:t>
      </w:r>
      <w:proofErr w:type="spellStart"/>
      <w:r w:rsidR="00B637AA">
        <w:t>OpenETran</w:t>
      </w:r>
      <w:proofErr w:type="spellEnd"/>
      <w:r w:rsidR="000505CA">
        <w:t xml:space="preserve"> </w:t>
      </w:r>
      <w:r>
        <w:t>software shall not use any commercial third-party components.</w:t>
      </w:r>
    </w:p>
    <w:p w:rsidR="000F2C5C" w:rsidRDefault="00D047CF" w:rsidP="004274E3">
      <w:pPr>
        <w:pStyle w:val="ListParagraph"/>
        <w:numPr>
          <w:ilvl w:val="0"/>
          <w:numId w:val="1"/>
        </w:numPr>
      </w:pPr>
      <w:r>
        <w:t>Microsoft Visual Studio 2010</w:t>
      </w:r>
      <w:r w:rsidR="000F2C5C">
        <w:t xml:space="preserve"> shall be used </w:t>
      </w:r>
      <w:r w:rsidR="004274E3">
        <w:t>for development</w:t>
      </w:r>
      <w:r w:rsidR="000F2C5C">
        <w:t>.</w:t>
      </w:r>
    </w:p>
    <w:p w:rsidR="000F2C5C" w:rsidRDefault="001E4E1A" w:rsidP="004274E3">
      <w:pPr>
        <w:pStyle w:val="ListParagraph"/>
        <w:numPr>
          <w:ilvl w:val="0"/>
          <w:numId w:val="1"/>
        </w:numPr>
      </w:pPr>
      <w:r>
        <w:t xml:space="preserve">The open source license type shall be </w:t>
      </w:r>
      <w:r w:rsidR="00D047CF">
        <w:t>GPL version 3</w:t>
      </w:r>
      <w:r w:rsidR="000F2C5C">
        <w:t>.</w:t>
      </w:r>
    </w:p>
    <w:p w:rsidR="00CB6104" w:rsidRDefault="00CB6104" w:rsidP="004274E3">
      <w:pPr>
        <w:pStyle w:val="ListParagraph"/>
        <w:numPr>
          <w:ilvl w:val="0"/>
          <w:numId w:val="1"/>
        </w:numPr>
      </w:pPr>
      <w:r>
        <w:lastRenderedPageBreak/>
        <w:t xml:space="preserve">The open source </w:t>
      </w:r>
      <w:r w:rsidR="00D047CF">
        <w:t xml:space="preserve">GNU Scientific Library (GSL) version 1.15 shall be used for linear matrix solutions and </w:t>
      </w:r>
      <w:proofErr w:type="spellStart"/>
      <w:r w:rsidR="00D047CF">
        <w:t>eigensystem</w:t>
      </w:r>
      <w:proofErr w:type="spellEnd"/>
      <w:r w:rsidR="00D047CF">
        <w:t xml:space="preserve"> solutions.</w:t>
      </w:r>
    </w:p>
    <w:p w:rsidR="00FE1C2F" w:rsidRDefault="00FE1C2F" w:rsidP="00FE1C2F">
      <w:pPr>
        <w:pStyle w:val="ListParagraph"/>
        <w:numPr>
          <w:ilvl w:val="0"/>
          <w:numId w:val="1"/>
        </w:numPr>
      </w:pPr>
      <w:r>
        <w:t xml:space="preserve">The software shall write waveforms in comma-delimited text, tab-delimited text, and the existing binary ELT formats.  </w:t>
      </w:r>
    </w:p>
    <w:p w:rsidR="00CB6104" w:rsidRDefault="000505CA" w:rsidP="004274E3">
      <w:pPr>
        <w:pStyle w:val="ListParagraph"/>
        <w:numPr>
          <w:ilvl w:val="0"/>
          <w:numId w:val="1"/>
        </w:numPr>
      </w:pPr>
      <w:r>
        <w:t>The software shall support a text-based console execution mode.</w:t>
      </w:r>
      <w:r w:rsidR="00CB6104">
        <w:t xml:space="preserve"> </w:t>
      </w:r>
    </w:p>
    <w:p w:rsidR="000505CA" w:rsidRDefault="000505CA" w:rsidP="004274E3">
      <w:pPr>
        <w:pStyle w:val="ListParagraph"/>
        <w:numPr>
          <w:ilvl w:val="0"/>
          <w:numId w:val="1"/>
        </w:numPr>
      </w:pPr>
      <w:r>
        <w:t>The software shall support execution from Microsoft Excel Visual Basic for Applications, version 2007 or later.</w:t>
      </w:r>
      <w:r w:rsidR="006A0A75">
        <w:t xml:space="preserve"> In particular, IEEE Flash shall be modified to invoke </w:t>
      </w:r>
      <w:proofErr w:type="spellStart"/>
      <w:r w:rsidR="00B637AA">
        <w:t>OpenETran</w:t>
      </w:r>
      <w:proofErr w:type="spellEnd"/>
      <w:r w:rsidR="006A0A75">
        <w:t xml:space="preserve"> simulations.</w:t>
      </w:r>
    </w:p>
    <w:p w:rsidR="000505CA" w:rsidRDefault="000505CA" w:rsidP="004274E3">
      <w:pPr>
        <w:pStyle w:val="ListParagraph"/>
        <w:numPr>
          <w:ilvl w:val="0"/>
          <w:numId w:val="1"/>
        </w:numPr>
      </w:pPr>
      <w:r>
        <w:t xml:space="preserve">IEEE Flash shall be modified to produce </w:t>
      </w:r>
      <w:proofErr w:type="spellStart"/>
      <w:r w:rsidR="00B637AA">
        <w:t>OpenETran</w:t>
      </w:r>
      <w:proofErr w:type="spellEnd"/>
      <w:r>
        <w:t xml:space="preserve"> models from user inputs on pole/tower, surge arrester, grounding, conductor, span, and environment worksheets in Excel.</w:t>
      </w:r>
    </w:p>
    <w:p w:rsidR="000505CA" w:rsidRDefault="000505CA" w:rsidP="004274E3">
      <w:pPr>
        <w:pStyle w:val="ListParagraph"/>
        <w:numPr>
          <w:ilvl w:val="0"/>
          <w:numId w:val="1"/>
        </w:numPr>
      </w:pPr>
      <w:r>
        <w:t xml:space="preserve">IEEE Flash shall be modified to accept critical current, arrester duty, phases flashing over, and other numerical outputs from </w:t>
      </w:r>
      <w:proofErr w:type="spellStart"/>
      <w:r w:rsidR="00B637AA">
        <w:t>OpenETran</w:t>
      </w:r>
      <w:proofErr w:type="spellEnd"/>
      <w:r>
        <w:t>.</w:t>
      </w:r>
    </w:p>
    <w:p w:rsidR="00FE1C2F" w:rsidRDefault="00FE1C2F" w:rsidP="004274E3">
      <w:pPr>
        <w:pStyle w:val="ListParagraph"/>
        <w:numPr>
          <w:ilvl w:val="0"/>
          <w:numId w:val="1"/>
        </w:numPr>
      </w:pPr>
      <w:r>
        <w:t xml:space="preserve">The </w:t>
      </w:r>
      <w:proofErr w:type="spellStart"/>
      <w:r w:rsidR="00B637AA">
        <w:t>OpenETran</w:t>
      </w:r>
      <w:proofErr w:type="spellEnd"/>
      <w:r>
        <w:t xml:space="preserve"> software shall be tested and verified to produce matching outputs in console mode, for 27 existing test cases from the EPRI LPDW project.</w:t>
      </w:r>
    </w:p>
    <w:p w:rsidR="00FE1C2F" w:rsidRDefault="00FE1C2F" w:rsidP="004274E3">
      <w:pPr>
        <w:pStyle w:val="ListParagraph"/>
        <w:numPr>
          <w:ilvl w:val="0"/>
          <w:numId w:val="1"/>
        </w:numPr>
      </w:pPr>
      <w:r>
        <w:t xml:space="preserve">The </w:t>
      </w:r>
      <w:proofErr w:type="spellStart"/>
      <w:r w:rsidR="00B637AA">
        <w:t>OpenETran</w:t>
      </w:r>
      <w:proofErr w:type="spellEnd"/>
      <w:r>
        <w:t xml:space="preserve"> / IEEE Flash package shall be </w:t>
      </w:r>
      <w:r w:rsidR="00C321B6">
        <w:t>tested on 3 cases</w:t>
      </w:r>
      <w:r>
        <w:t>:</w:t>
      </w:r>
    </w:p>
    <w:p w:rsidR="00FE1C2F" w:rsidRDefault="00FE1C2F" w:rsidP="00FE1C2F">
      <w:pPr>
        <w:pStyle w:val="ListParagraph"/>
        <w:numPr>
          <w:ilvl w:val="1"/>
          <w:numId w:val="1"/>
        </w:numPr>
      </w:pPr>
      <w:r>
        <w:t xml:space="preserve">15-kV </w:t>
      </w:r>
      <w:r w:rsidR="00C321B6">
        <w:t xml:space="preserve">wood </w:t>
      </w:r>
      <w:proofErr w:type="spellStart"/>
      <w:r w:rsidR="00C321B6">
        <w:t>crossarm</w:t>
      </w:r>
      <w:proofErr w:type="spellEnd"/>
      <w:r w:rsidR="00C321B6">
        <w:t xml:space="preserve"> </w:t>
      </w:r>
      <w:r>
        <w:t>line</w:t>
      </w:r>
      <w:r w:rsidR="00C321B6">
        <w:t>,</w:t>
      </w:r>
      <w:r>
        <w:t xml:space="preserve"> </w:t>
      </w:r>
      <w:r w:rsidR="00C321B6">
        <w:t>from IEEE Std. 1410</w:t>
      </w:r>
    </w:p>
    <w:p w:rsidR="00FE1C2F" w:rsidRDefault="00C321B6" w:rsidP="00FE1C2F">
      <w:pPr>
        <w:pStyle w:val="ListParagraph"/>
        <w:numPr>
          <w:ilvl w:val="1"/>
          <w:numId w:val="1"/>
        </w:numPr>
      </w:pPr>
      <w:r>
        <w:t>35-kV wood pole structure with overhead shield wire, from IEEE Std. 1410</w:t>
      </w:r>
    </w:p>
    <w:p w:rsidR="00FE1C2F" w:rsidRDefault="00FE1C2F" w:rsidP="00FE1C2F">
      <w:pPr>
        <w:pStyle w:val="ListParagraph"/>
        <w:numPr>
          <w:ilvl w:val="1"/>
          <w:numId w:val="1"/>
        </w:numPr>
      </w:pPr>
      <w:r>
        <w:t>13.8-kV line</w:t>
      </w:r>
      <w:r w:rsidR="00C321B6">
        <w:t xml:space="preserve"> with line arresters, from Chapter 14 of “Insulation Coordination for Power Systems” by A. R. </w:t>
      </w:r>
      <w:proofErr w:type="spellStart"/>
      <w:r w:rsidR="00C321B6">
        <w:t>Hileman</w:t>
      </w:r>
      <w:proofErr w:type="spellEnd"/>
      <w:r w:rsidR="00C321B6">
        <w:t>, which contains both analytical results and ATP simulation results.</w:t>
      </w:r>
    </w:p>
    <w:p w:rsidR="00FE1C2F" w:rsidRDefault="00B637AA" w:rsidP="006D6D27">
      <w:pPr>
        <w:pStyle w:val="ListParagraph"/>
        <w:numPr>
          <w:ilvl w:val="0"/>
          <w:numId w:val="1"/>
        </w:numPr>
      </w:pPr>
      <w:proofErr w:type="spellStart"/>
      <w:r>
        <w:t>OpenETran</w:t>
      </w:r>
      <w:proofErr w:type="spellEnd"/>
      <w:r w:rsidR="00FE1C2F">
        <w:t xml:space="preserve"> shall be incorporated into the IEEE Flash installer.</w:t>
      </w:r>
    </w:p>
    <w:p w:rsidR="00E57D85" w:rsidRDefault="00FE1C2F" w:rsidP="006D6D27">
      <w:pPr>
        <w:pStyle w:val="ListParagraph"/>
        <w:numPr>
          <w:ilvl w:val="0"/>
          <w:numId w:val="1"/>
        </w:numPr>
      </w:pPr>
      <w:r>
        <w:t xml:space="preserve">A separate installer shall be provided for a standalone version of </w:t>
      </w:r>
      <w:proofErr w:type="spellStart"/>
      <w:r w:rsidR="00B637AA">
        <w:t>OpenETran</w:t>
      </w:r>
      <w:proofErr w:type="spellEnd"/>
      <w:r w:rsidR="00D77FFB">
        <w:t>.</w:t>
      </w:r>
    </w:p>
    <w:p w:rsidR="00D77FFB" w:rsidRDefault="008D2995" w:rsidP="006D6D27">
      <w:pPr>
        <w:pStyle w:val="ListParagraph"/>
        <w:numPr>
          <w:ilvl w:val="0"/>
          <w:numId w:val="1"/>
        </w:numPr>
      </w:pPr>
      <w:r>
        <w:t>The software documentation shall include:</w:t>
      </w:r>
    </w:p>
    <w:p w:rsidR="008D2995" w:rsidRDefault="008D2995" w:rsidP="008D2995">
      <w:pPr>
        <w:pStyle w:val="ListParagraph"/>
        <w:numPr>
          <w:ilvl w:val="1"/>
          <w:numId w:val="1"/>
        </w:numPr>
      </w:pPr>
      <w:r>
        <w:t>Updated software requirements</w:t>
      </w:r>
    </w:p>
    <w:p w:rsidR="008D2995" w:rsidRDefault="008D2995" w:rsidP="008D2995">
      <w:pPr>
        <w:pStyle w:val="ListParagraph"/>
        <w:numPr>
          <w:ilvl w:val="1"/>
          <w:numId w:val="1"/>
        </w:numPr>
      </w:pPr>
      <w:r>
        <w:t xml:space="preserve">Design documentation with UML package diagram, UML </w:t>
      </w:r>
      <w:r w:rsidR="00FE1C2F">
        <w:t>class</w:t>
      </w:r>
      <w:r>
        <w:t xml:space="preserve"> diagrams</w:t>
      </w:r>
      <w:r w:rsidR="00FE1C2F">
        <w:t>, a UML sequence diagram for critical current estimates,</w:t>
      </w:r>
      <w:r>
        <w:t xml:space="preserve"> and supporting narrative</w:t>
      </w:r>
    </w:p>
    <w:p w:rsidR="008D2995" w:rsidRDefault="008D2995" w:rsidP="008D2995">
      <w:pPr>
        <w:pStyle w:val="ListParagraph"/>
        <w:numPr>
          <w:ilvl w:val="1"/>
          <w:numId w:val="1"/>
        </w:numPr>
      </w:pPr>
      <w:r>
        <w:t>Build instructions and make files</w:t>
      </w:r>
    </w:p>
    <w:p w:rsidR="008D2995" w:rsidRDefault="008D2995" w:rsidP="008D2995">
      <w:pPr>
        <w:pStyle w:val="ListParagraph"/>
        <w:numPr>
          <w:ilvl w:val="1"/>
          <w:numId w:val="1"/>
        </w:numPr>
      </w:pPr>
      <w:r>
        <w:t>Change log, which is derived from Subversion file check-in comments</w:t>
      </w:r>
    </w:p>
    <w:p w:rsidR="008D2995" w:rsidRDefault="008D2995" w:rsidP="008D2995">
      <w:pPr>
        <w:pStyle w:val="ListParagraph"/>
        <w:numPr>
          <w:ilvl w:val="1"/>
          <w:numId w:val="1"/>
        </w:numPr>
      </w:pPr>
      <w:r>
        <w:t xml:space="preserve">Updated license file, release notes, and </w:t>
      </w:r>
      <w:proofErr w:type="spellStart"/>
      <w:r w:rsidR="00B637AA">
        <w:t>OpenETran</w:t>
      </w:r>
      <w:proofErr w:type="spellEnd"/>
      <w:r w:rsidR="006A0A75">
        <w:t xml:space="preserve"> </w:t>
      </w:r>
      <w:r>
        <w:t>user manual as needed</w:t>
      </w:r>
    </w:p>
    <w:p w:rsidR="008D2995" w:rsidRPr="00E07C18" w:rsidRDefault="008D2995" w:rsidP="008D2995">
      <w:pPr>
        <w:pStyle w:val="ListParagraph"/>
        <w:numPr>
          <w:ilvl w:val="1"/>
          <w:numId w:val="1"/>
        </w:numPr>
      </w:pPr>
      <w:r>
        <w:t xml:space="preserve">Test case document, including instructions to run the test cases and expected results </w:t>
      </w:r>
    </w:p>
    <w:sectPr w:rsidR="008D2995" w:rsidRPr="00E07C18" w:rsidSect="009E0D39">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69B6" w:rsidRDefault="00F269B6" w:rsidP="00E07C18">
      <w:pPr>
        <w:spacing w:after="0" w:line="240" w:lineRule="auto"/>
      </w:pPr>
      <w:r>
        <w:separator/>
      </w:r>
    </w:p>
  </w:endnote>
  <w:endnote w:type="continuationSeparator" w:id="0">
    <w:p w:rsidR="00F269B6" w:rsidRDefault="00F269B6" w:rsidP="00E07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C18" w:rsidRPr="00E07C18" w:rsidRDefault="000456DC">
    <w:pPr>
      <w:pStyle w:val="Footer"/>
      <w:rPr>
        <w:i/>
      </w:rPr>
    </w:pPr>
    <w:r>
      <w:rPr>
        <w:i/>
      </w:rPr>
      <w:t>Version 1.2</w:t>
    </w:r>
    <w:r w:rsidR="00E07C18">
      <w:rPr>
        <w:i/>
      </w:rPr>
      <w:tab/>
    </w:r>
    <w:r w:rsidR="002C719C" w:rsidRPr="00E07C18">
      <w:rPr>
        <w:i/>
      </w:rPr>
      <w:fldChar w:fldCharType="begin"/>
    </w:r>
    <w:r w:rsidR="00E07C18" w:rsidRPr="00E07C18">
      <w:rPr>
        <w:i/>
      </w:rPr>
      <w:instrText xml:space="preserve"> PAGE   \* MERGEFORMAT </w:instrText>
    </w:r>
    <w:r w:rsidR="002C719C" w:rsidRPr="00E07C18">
      <w:rPr>
        <w:i/>
      </w:rPr>
      <w:fldChar w:fldCharType="separate"/>
    </w:r>
    <w:r w:rsidR="00B637AA">
      <w:rPr>
        <w:i/>
        <w:noProof/>
      </w:rPr>
      <w:t>7</w:t>
    </w:r>
    <w:r w:rsidR="002C719C" w:rsidRPr="00E07C18">
      <w:rPr>
        <w:i/>
      </w:rPr>
      <w:fldChar w:fldCharType="end"/>
    </w:r>
    <w:r w:rsidR="00E07C18">
      <w:rPr>
        <w:i/>
      </w:rPr>
      <w:tab/>
    </w:r>
    <w:r w:rsidR="002C719C">
      <w:rPr>
        <w:i/>
      </w:rPr>
      <w:fldChar w:fldCharType="begin"/>
    </w:r>
    <w:r w:rsidR="00E07C18">
      <w:rPr>
        <w:i/>
      </w:rPr>
      <w:instrText xml:space="preserve"> SAVEDATE  \@ "MMMM d, yyyy"  \* MERGEFORMAT </w:instrText>
    </w:r>
    <w:r w:rsidR="002C719C">
      <w:rPr>
        <w:i/>
      </w:rPr>
      <w:fldChar w:fldCharType="separate"/>
    </w:r>
    <w:r>
      <w:rPr>
        <w:i/>
        <w:noProof/>
      </w:rPr>
      <w:t>November 30, 2011</w:t>
    </w:r>
    <w:r w:rsidR="002C719C">
      <w:rPr>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69B6" w:rsidRDefault="00F269B6" w:rsidP="00E07C18">
      <w:pPr>
        <w:spacing w:after="0" w:line="240" w:lineRule="auto"/>
      </w:pPr>
      <w:r>
        <w:separator/>
      </w:r>
    </w:p>
  </w:footnote>
  <w:footnote w:type="continuationSeparator" w:id="0">
    <w:p w:rsidR="00F269B6" w:rsidRDefault="00F269B6" w:rsidP="00E07C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C18" w:rsidRPr="00E07C18" w:rsidRDefault="00E07C18">
    <w:pPr>
      <w:pStyle w:val="Header"/>
      <w:rPr>
        <w:i/>
        <w:u w:val="single"/>
      </w:rPr>
    </w:pPr>
    <w:r>
      <w:rPr>
        <w:i/>
        <w:u w:val="single"/>
      </w:rPr>
      <w:t xml:space="preserve">EPRI </w:t>
    </w:r>
    <w:r w:rsidR="00B431B3" w:rsidRPr="00B431B3">
      <w:rPr>
        <w:i/>
        <w:u w:val="single"/>
      </w:rPr>
      <w:t>EP-P41234/C18189</w:t>
    </w:r>
    <w:r>
      <w:rPr>
        <w:i/>
        <w:u w:val="single"/>
      </w:rPr>
      <w:tab/>
    </w:r>
    <w:r>
      <w:rPr>
        <w:i/>
        <w:u w:val="single"/>
      </w:rPr>
      <w:tab/>
    </w:r>
    <w:r w:rsidR="00B431B3">
      <w:rPr>
        <w:i/>
        <w:u w:val="single"/>
      </w:rPr>
      <w:t>Lightning Transients Program Support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B7722"/>
    <w:multiLevelType w:val="hybridMultilevel"/>
    <w:tmpl w:val="3F700E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401511"/>
    <w:multiLevelType w:val="hybridMultilevel"/>
    <w:tmpl w:val="A0764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C18"/>
    <w:rsid w:val="0003060E"/>
    <w:rsid w:val="0003148A"/>
    <w:rsid w:val="000456DC"/>
    <w:rsid w:val="000505CA"/>
    <w:rsid w:val="00057737"/>
    <w:rsid w:val="000615D4"/>
    <w:rsid w:val="0006364F"/>
    <w:rsid w:val="00065A0B"/>
    <w:rsid w:val="00075E5E"/>
    <w:rsid w:val="000C18DD"/>
    <w:rsid w:val="000D7820"/>
    <w:rsid w:val="000E29D1"/>
    <w:rsid w:val="000E40F8"/>
    <w:rsid w:val="000F2C5C"/>
    <w:rsid w:val="000F4E12"/>
    <w:rsid w:val="000F5637"/>
    <w:rsid w:val="000F699E"/>
    <w:rsid w:val="0010492B"/>
    <w:rsid w:val="001305C7"/>
    <w:rsid w:val="00132FD8"/>
    <w:rsid w:val="001361AD"/>
    <w:rsid w:val="001426E9"/>
    <w:rsid w:val="001540AD"/>
    <w:rsid w:val="0017391D"/>
    <w:rsid w:val="00187228"/>
    <w:rsid w:val="001A0C13"/>
    <w:rsid w:val="001A1344"/>
    <w:rsid w:val="001B5B57"/>
    <w:rsid w:val="001B6305"/>
    <w:rsid w:val="001C45AC"/>
    <w:rsid w:val="001D0CD0"/>
    <w:rsid w:val="001D2BB8"/>
    <w:rsid w:val="001D7298"/>
    <w:rsid w:val="001E4E1A"/>
    <w:rsid w:val="001F2DD1"/>
    <w:rsid w:val="001F5434"/>
    <w:rsid w:val="00214D53"/>
    <w:rsid w:val="00226976"/>
    <w:rsid w:val="00231673"/>
    <w:rsid w:val="002371C2"/>
    <w:rsid w:val="002642D6"/>
    <w:rsid w:val="00276937"/>
    <w:rsid w:val="00284921"/>
    <w:rsid w:val="0028590B"/>
    <w:rsid w:val="00286EBC"/>
    <w:rsid w:val="002A6E74"/>
    <w:rsid w:val="002C2DF4"/>
    <w:rsid w:val="002C3DD1"/>
    <w:rsid w:val="002C719C"/>
    <w:rsid w:val="002D3412"/>
    <w:rsid w:val="002D7899"/>
    <w:rsid w:val="002E132A"/>
    <w:rsid w:val="002F1228"/>
    <w:rsid w:val="00315EAC"/>
    <w:rsid w:val="0032446D"/>
    <w:rsid w:val="00324FD0"/>
    <w:rsid w:val="003269C6"/>
    <w:rsid w:val="00340CBB"/>
    <w:rsid w:val="00343519"/>
    <w:rsid w:val="00352E95"/>
    <w:rsid w:val="00364186"/>
    <w:rsid w:val="00365885"/>
    <w:rsid w:val="0036607E"/>
    <w:rsid w:val="0037289B"/>
    <w:rsid w:val="00394FA1"/>
    <w:rsid w:val="003961C5"/>
    <w:rsid w:val="003A3B75"/>
    <w:rsid w:val="003A5C3A"/>
    <w:rsid w:val="003B18BE"/>
    <w:rsid w:val="003B7FC9"/>
    <w:rsid w:val="003C2FF5"/>
    <w:rsid w:val="003C6D3B"/>
    <w:rsid w:val="003D5190"/>
    <w:rsid w:val="003D6092"/>
    <w:rsid w:val="003E115E"/>
    <w:rsid w:val="003F5C97"/>
    <w:rsid w:val="00407168"/>
    <w:rsid w:val="00407B66"/>
    <w:rsid w:val="00410990"/>
    <w:rsid w:val="00415CEC"/>
    <w:rsid w:val="00415E23"/>
    <w:rsid w:val="00425FDF"/>
    <w:rsid w:val="004274E3"/>
    <w:rsid w:val="00427EA1"/>
    <w:rsid w:val="0044158D"/>
    <w:rsid w:val="00442F0D"/>
    <w:rsid w:val="004527CC"/>
    <w:rsid w:val="00463697"/>
    <w:rsid w:val="00465F06"/>
    <w:rsid w:val="004661D3"/>
    <w:rsid w:val="00476BD5"/>
    <w:rsid w:val="004772F8"/>
    <w:rsid w:val="00477660"/>
    <w:rsid w:val="0048156D"/>
    <w:rsid w:val="00495B0A"/>
    <w:rsid w:val="004A0CCD"/>
    <w:rsid w:val="004A3D3C"/>
    <w:rsid w:val="004B5729"/>
    <w:rsid w:val="004C1EF0"/>
    <w:rsid w:val="004D14F5"/>
    <w:rsid w:val="004D42C5"/>
    <w:rsid w:val="004D5CCD"/>
    <w:rsid w:val="00505FF7"/>
    <w:rsid w:val="0051435B"/>
    <w:rsid w:val="005214CB"/>
    <w:rsid w:val="0052156F"/>
    <w:rsid w:val="00544FB3"/>
    <w:rsid w:val="005733D3"/>
    <w:rsid w:val="00575501"/>
    <w:rsid w:val="00583C86"/>
    <w:rsid w:val="005B160C"/>
    <w:rsid w:val="005C6500"/>
    <w:rsid w:val="005D4C2C"/>
    <w:rsid w:val="005E04B1"/>
    <w:rsid w:val="005E0637"/>
    <w:rsid w:val="005E120D"/>
    <w:rsid w:val="005E7EA5"/>
    <w:rsid w:val="005F1528"/>
    <w:rsid w:val="005F6D7F"/>
    <w:rsid w:val="005F6EC5"/>
    <w:rsid w:val="005F714B"/>
    <w:rsid w:val="0060534F"/>
    <w:rsid w:val="00615041"/>
    <w:rsid w:val="00626B07"/>
    <w:rsid w:val="00671321"/>
    <w:rsid w:val="00675987"/>
    <w:rsid w:val="00680541"/>
    <w:rsid w:val="00682D8E"/>
    <w:rsid w:val="0068518D"/>
    <w:rsid w:val="00696A12"/>
    <w:rsid w:val="006A0A75"/>
    <w:rsid w:val="006A6071"/>
    <w:rsid w:val="006A6AC7"/>
    <w:rsid w:val="006B0DBA"/>
    <w:rsid w:val="006C5DD2"/>
    <w:rsid w:val="006D43EC"/>
    <w:rsid w:val="006D6D27"/>
    <w:rsid w:val="007004C0"/>
    <w:rsid w:val="00700F4F"/>
    <w:rsid w:val="00706EF6"/>
    <w:rsid w:val="0072063F"/>
    <w:rsid w:val="007437B9"/>
    <w:rsid w:val="00760195"/>
    <w:rsid w:val="00760E10"/>
    <w:rsid w:val="00766321"/>
    <w:rsid w:val="0077474F"/>
    <w:rsid w:val="00777386"/>
    <w:rsid w:val="00780502"/>
    <w:rsid w:val="00790D00"/>
    <w:rsid w:val="007B21A5"/>
    <w:rsid w:val="007C3609"/>
    <w:rsid w:val="007E3B97"/>
    <w:rsid w:val="00802B4C"/>
    <w:rsid w:val="0084422A"/>
    <w:rsid w:val="00850B3A"/>
    <w:rsid w:val="00852E7F"/>
    <w:rsid w:val="00871BAC"/>
    <w:rsid w:val="00890137"/>
    <w:rsid w:val="008C5496"/>
    <w:rsid w:val="008C7C36"/>
    <w:rsid w:val="008D2995"/>
    <w:rsid w:val="00901C53"/>
    <w:rsid w:val="00926345"/>
    <w:rsid w:val="0094192D"/>
    <w:rsid w:val="00945BC7"/>
    <w:rsid w:val="009648BD"/>
    <w:rsid w:val="00967FE5"/>
    <w:rsid w:val="00973B21"/>
    <w:rsid w:val="00973FDC"/>
    <w:rsid w:val="0098269C"/>
    <w:rsid w:val="00986941"/>
    <w:rsid w:val="0099271C"/>
    <w:rsid w:val="00993463"/>
    <w:rsid w:val="009952EE"/>
    <w:rsid w:val="009974F4"/>
    <w:rsid w:val="009B1566"/>
    <w:rsid w:val="009C66D6"/>
    <w:rsid w:val="009D7156"/>
    <w:rsid w:val="009E07CD"/>
    <w:rsid w:val="009E0D39"/>
    <w:rsid w:val="009E50B1"/>
    <w:rsid w:val="009F3FE6"/>
    <w:rsid w:val="00A00D8A"/>
    <w:rsid w:val="00A05B50"/>
    <w:rsid w:val="00A1055F"/>
    <w:rsid w:val="00A1060A"/>
    <w:rsid w:val="00A12BDC"/>
    <w:rsid w:val="00A20860"/>
    <w:rsid w:val="00A23D23"/>
    <w:rsid w:val="00A33598"/>
    <w:rsid w:val="00A35F0B"/>
    <w:rsid w:val="00A42DC5"/>
    <w:rsid w:val="00A430ED"/>
    <w:rsid w:val="00A457FE"/>
    <w:rsid w:val="00A4652C"/>
    <w:rsid w:val="00A46C8C"/>
    <w:rsid w:val="00A53B88"/>
    <w:rsid w:val="00A64F9A"/>
    <w:rsid w:val="00A64FF3"/>
    <w:rsid w:val="00A7736F"/>
    <w:rsid w:val="00A81013"/>
    <w:rsid w:val="00A858BF"/>
    <w:rsid w:val="00A9072B"/>
    <w:rsid w:val="00AC2A1C"/>
    <w:rsid w:val="00AC42B6"/>
    <w:rsid w:val="00AE0DCF"/>
    <w:rsid w:val="00AF5458"/>
    <w:rsid w:val="00AF69A7"/>
    <w:rsid w:val="00B0544C"/>
    <w:rsid w:val="00B05607"/>
    <w:rsid w:val="00B25E54"/>
    <w:rsid w:val="00B27B11"/>
    <w:rsid w:val="00B33465"/>
    <w:rsid w:val="00B431B3"/>
    <w:rsid w:val="00B4362A"/>
    <w:rsid w:val="00B5010B"/>
    <w:rsid w:val="00B5159A"/>
    <w:rsid w:val="00B62800"/>
    <w:rsid w:val="00B637AA"/>
    <w:rsid w:val="00B70AD0"/>
    <w:rsid w:val="00B92B75"/>
    <w:rsid w:val="00B95795"/>
    <w:rsid w:val="00BA2F08"/>
    <w:rsid w:val="00BA52C8"/>
    <w:rsid w:val="00BB26B8"/>
    <w:rsid w:val="00BB400B"/>
    <w:rsid w:val="00BB7AE7"/>
    <w:rsid w:val="00BD440F"/>
    <w:rsid w:val="00BE49CA"/>
    <w:rsid w:val="00C139FC"/>
    <w:rsid w:val="00C14E80"/>
    <w:rsid w:val="00C17B52"/>
    <w:rsid w:val="00C26D1C"/>
    <w:rsid w:val="00C27FA6"/>
    <w:rsid w:val="00C321B6"/>
    <w:rsid w:val="00C366C4"/>
    <w:rsid w:val="00C433B1"/>
    <w:rsid w:val="00C505D0"/>
    <w:rsid w:val="00C57508"/>
    <w:rsid w:val="00C7434A"/>
    <w:rsid w:val="00C752E0"/>
    <w:rsid w:val="00C80380"/>
    <w:rsid w:val="00C804BF"/>
    <w:rsid w:val="00C85B58"/>
    <w:rsid w:val="00C96E66"/>
    <w:rsid w:val="00CA293A"/>
    <w:rsid w:val="00CB150D"/>
    <w:rsid w:val="00CB4F08"/>
    <w:rsid w:val="00CB6104"/>
    <w:rsid w:val="00CC4F20"/>
    <w:rsid w:val="00CD2718"/>
    <w:rsid w:val="00CE3309"/>
    <w:rsid w:val="00CF5700"/>
    <w:rsid w:val="00D01A96"/>
    <w:rsid w:val="00D047CF"/>
    <w:rsid w:val="00D27769"/>
    <w:rsid w:val="00D3530F"/>
    <w:rsid w:val="00D462EC"/>
    <w:rsid w:val="00D524C6"/>
    <w:rsid w:val="00D56923"/>
    <w:rsid w:val="00D7388C"/>
    <w:rsid w:val="00D7413E"/>
    <w:rsid w:val="00D77FFB"/>
    <w:rsid w:val="00D831D0"/>
    <w:rsid w:val="00D949A1"/>
    <w:rsid w:val="00DA3553"/>
    <w:rsid w:val="00DB7E4B"/>
    <w:rsid w:val="00DB7E75"/>
    <w:rsid w:val="00DF10B9"/>
    <w:rsid w:val="00DF23D3"/>
    <w:rsid w:val="00DF6B69"/>
    <w:rsid w:val="00E027CA"/>
    <w:rsid w:val="00E0771D"/>
    <w:rsid w:val="00E07B6C"/>
    <w:rsid w:val="00E07C18"/>
    <w:rsid w:val="00E12D2E"/>
    <w:rsid w:val="00E20742"/>
    <w:rsid w:val="00E21342"/>
    <w:rsid w:val="00E217BF"/>
    <w:rsid w:val="00E31343"/>
    <w:rsid w:val="00E50A59"/>
    <w:rsid w:val="00E57D85"/>
    <w:rsid w:val="00E60550"/>
    <w:rsid w:val="00E83D1C"/>
    <w:rsid w:val="00E921ED"/>
    <w:rsid w:val="00E95B16"/>
    <w:rsid w:val="00E95BB1"/>
    <w:rsid w:val="00E977CC"/>
    <w:rsid w:val="00EB3056"/>
    <w:rsid w:val="00EC64CA"/>
    <w:rsid w:val="00EE02EB"/>
    <w:rsid w:val="00EF2F61"/>
    <w:rsid w:val="00F232A3"/>
    <w:rsid w:val="00F2371B"/>
    <w:rsid w:val="00F269B6"/>
    <w:rsid w:val="00F348FA"/>
    <w:rsid w:val="00F36206"/>
    <w:rsid w:val="00F43560"/>
    <w:rsid w:val="00F51A27"/>
    <w:rsid w:val="00F64731"/>
    <w:rsid w:val="00F74890"/>
    <w:rsid w:val="00F85A36"/>
    <w:rsid w:val="00F946AE"/>
    <w:rsid w:val="00FA0863"/>
    <w:rsid w:val="00FA2C78"/>
    <w:rsid w:val="00FA79FC"/>
    <w:rsid w:val="00FE1C2F"/>
    <w:rsid w:val="00FF07F3"/>
    <w:rsid w:val="00FF5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7C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1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07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C18"/>
  </w:style>
  <w:style w:type="paragraph" w:styleId="Footer">
    <w:name w:val="footer"/>
    <w:basedOn w:val="Normal"/>
    <w:link w:val="FooterChar"/>
    <w:uiPriority w:val="99"/>
    <w:unhideWhenUsed/>
    <w:rsid w:val="00E07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C18"/>
  </w:style>
  <w:style w:type="paragraph" w:styleId="ListParagraph">
    <w:name w:val="List Paragraph"/>
    <w:basedOn w:val="Normal"/>
    <w:uiPriority w:val="34"/>
    <w:qFormat/>
    <w:rsid w:val="00E07C18"/>
    <w:pPr>
      <w:ind w:left="720"/>
      <w:contextualSpacing/>
    </w:pPr>
  </w:style>
  <w:style w:type="paragraph" w:styleId="FootnoteText">
    <w:name w:val="footnote text"/>
    <w:basedOn w:val="Normal"/>
    <w:link w:val="FootnoteTextChar"/>
    <w:uiPriority w:val="99"/>
    <w:semiHidden/>
    <w:unhideWhenUsed/>
    <w:rsid w:val="006D6D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D6D27"/>
    <w:rPr>
      <w:sz w:val="20"/>
      <w:szCs w:val="20"/>
    </w:rPr>
  </w:style>
  <w:style w:type="character" w:styleId="FootnoteReference">
    <w:name w:val="footnote reference"/>
    <w:basedOn w:val="DefaultParagraphFont"/>
    <w:uiPriority w:val="99"/>
    <w:semiHidden/>
    <w:unhideWhenUsed/>
    <w:rsid w:val="006D6D27"/>
    <w:rPr>
      <w:vertAlign w:val="superscript"/>
    </w:rPr>
  </w:style>
  <w:style w:type="paragraph" w:styleId="BalloonText">
    <w:name w:val="Balloon Text"/>
    <w:basedOn w:val="Normal"/>
    <w:link w:val="BalloonTextChar"/>
    <w:uiPriority w:val="99"/>
    <w:semiHidden/>
    <w:unhideWhenUsed/>
    <w:rsid w:val="00B25E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E54"/>
    <w:rPr>
      <w:rFonts w:ascii="Tahoma" w:hAnsi="Tahoma" w:cs="Tahoma"/>
      <w:sz w:val="16"/>
      <w:szCs w:val="16"/>
    </w:rPr>
  </w:style>
  <w:style w:type="paragraph" w:styleId="Caption">
    <w:name w:val="caption"/>
    <w:basedOn w:val="Normal"/>
    <w:next w:val="Normal"/>
    <w:uiPriority w:val="35"/>
    <w:unhideWhenUsed/>
    <w:qFormat/>
    <w:rsid w:val="00CE330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7C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1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07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C18"/>
  </w:style>
  <w:style w:type="paragraph" w:styleId="Footer">
    <w:name w:val="footer"/>
    <w:basedOn w:val="Normal"/>
    <w:link w:val="FooterChar"/>
    <w:uiPriority w:val="99"/>
    <w:unhideWhenUsed/>
    <w:rsid w:val="00E07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C18"/>
  </w:style>
  <w:style w:type="paragraph" w:styleId="ListParagraph">
    <w:name w:val="List Paragraph"/>
    <w:basedOn w:val="Normal"/>
    <w:uiPriority w:val="34"/>
    <w:qFormat/>
    <w:rsid w:val="00E07C18"/>
    <w:pPr>
      <w:ind w:left="720"/>
      <w:contextualSpacing/>
    </w:pPr>
  </w:style>
  <w:style w:type="paragraph" w:styleId="FootnoteText">
    <w:name w:val="footnote text"/>
    <w:basedOn w:val="Normal"/>
    <w:link w:val="FootnoteTextChar"/>
    <w:uiPriority w:val="99"/>
    <w:semiHidden/>
    <w:unhideWhenUsed/>
    <w:rsid w:val="006D6D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D6D27"/>
    <w:rPr>
      <w:sz w:val="20"/>
      <w:szCs w:val="20"/>
    </w:rPr>
  </w:style>
  <w:style w:type="character" w:styleId="FootnoteReference">
    <w:name w:val="footnote reference"/>
    <w:basedOn w:val="DefaultParagraphFont"/>
    <w:uiPriority w:val="99"/>
    <w:semiHidden/>
    <w:unhideWhenUsed/>
    <w:rsid w:val="006D6D27"/>
    <w:rPr>
      <w:vertAlign w:val="superscript"/>
    </w:rPr>
  </w:style>
  <w:style w:type="paragraph" w:styleId="BalloonText">
    <w:name w:val="Balloon Text"/>
    <w:basedOn w:val="Normal"/>
    <w:link w:val="BalloonTextChar"/>
    <w:uiPriority w:val="99"/>
    <w:semiHidden/>
    <w:unhideWhenUsed/>
    <w:rsid w:val="00B25E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E54"/>
    <w:rPr>
      <w:rFonts w:ascii="Tahoma" w:hAnsi="Tahoma" w:cs="Tahoma"/>
      <w:sz w:val="16"/>
      <w:szCs w:val="16"/>
    </w:rPr>
  </w:style>
  <w:style w:type="paragraph" w:styleId="Caption">
    <w:name w:val="caption"/>
    <w:basedOn w:val="Normal"/>
    <w:next w:val="Normal"/>
    <w:uiPriority w:val="35"/>
    <w:unhideWhenUsed/>
    <w:qFormat/>
    <w:rsid w:val="00CE330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w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4C2429-CFDA-4801-8D7C-CDCAD46BD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7</Pages>
  <Words>1286</Words>
  <Characters>7333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MelTran, Inc.</Company>
  <LinksUpToDate>false</LinksUpToDate>
  <CharactersWithSpaces>8602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27</cp:revision>
  <dcterms:created xsi:type="dcterms:W3CDTF">2011-11-23T04:35:00Z</dcterms:created>
  <dcterms:modified xsi:type="dcterms:W3CDTF">2011-11-30T16:09:00Z</dcterms:modified>
</cp:coreProperties>
</file>