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2.png" ContentType="image/png"/>
  <Override PartName="/word/media/rId27.png" ContentType="image/png"/>
  <Override PartName="/word/media/rId37.png" ContentType="image/png"/>
  <Override PartName="/word/media/rId9.png" ContentType="image/png"/>
  <Override PartName="/word/media/rId32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94.png" ContentType="image/png"/>
  <Override PartName="/word/media/rId100.png" ContentType="image/png"/>
  <Override PartName="/word/media/rId104.png" ContentType="image/png"/>
  <Override PartName="/word/media/rId111.png" ContentType="image/png"/>
  <Override PartName="/word/media/rId116.png" ContentType="image/png"/>
  <Override PartName="/word/media/rId121.png" ContentType="image/png"/>
  <Override PartName="/word/media/rId88.png" ContentType="image/png"/>
  <Override PartName="/word/media/rId83.png" ContentType="image/png"/>
  <Override PartName="/word/media/rId47.png" ContentType="image/png"/>
  <Override PartName="/word/media/rId77.png" ContentType="image/png"/>
  <Override PartName="/word/media/rId68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791999" cy="86399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images/logo_ui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999" cy="8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UNIVERSITAS INDONESIA</w:t>
      </w:r>
    </w:p>
    <w:p>
      <w:pPr>
        <w:pStyle w:val="BodyText"/>
      </w:pPr>
      <w:r>
        <w:t xml:space="preserve">Fakultas Teknik – Departemen Teknik Mesin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height 1.2pt</w:t>
      </w:r>
    </w:p>
    <w:p>
      <w:pPr>
        <w:pStyle w:val="BodyText"/>
      </w:pPr>
      <w:r>
        <w:rPr>
          <w:b/>
          <w:bCs/>
        </w:rPr>
        <w:t xml:space="preserve">PREDIKSI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REMAINING USEFUL LIFE</w:t>
      </w:r>
      <w:r>
        <w:br/>
      </w:r>
      <w:r>
        <w:rPr>
          <w:b/>
          <w:bCs/>
        </w:rPr>
        <w:t xml:space="preserve">MESIN TURBOFAN MENGGUNAKAN</w:t>
      </w:r>
      <w:r>
        <w:br/>
      </w:r>
      <w:r>
        <w:rPr>
          <w:b/>
          <w:bCs/>
          <w:i/>
          <w:iCs/>
        </w:rPr>
        <w:t xml:space="preserve">ARTIFICIAL NEURAL NETWORK</w:t>
      </w:r>
      <w:r>
        <w:br/>
      </w:r>
      <w:r>
        <w:rPr>
          <w:b/>
          <w:bCs/>
        </w:rPr>
        <w:t xml:space="preserve">PADA DATASET C-MAPSS FD001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height 1.2pt</w:t>
      </w:r>
    </w:p>
    <w:p>
      <w:pPr>
        <w:pStyle w:val="BodyText"/>
      </w:pPr>
      <w:r>
        <w:t xml:space="preserve">Mata Kuliah:</w:t>
      </w:r>
    </w:p>
    <w:p>
      <w:pPr>
        <w:pStyle w:val="BodyText"/>
      </w:pPr>
      <w:r>
        <w:rPr>
          <w:b/>
          <w:bCs/>
        </w:rPr>
        <w:t xml:space="preserve">Data Analitik</w:t>
      </w:r>
    </w:p>
    <w:p>
      <w:pPr>
        <w:pStyle w:val="BodyText"/>
      </w:pPr>
      <w:r>
        <w:t xml:space="preserve">Dosen Pengampu:</w:t>
      </w:r>
    </w:p>
    <w:p>
      <w:pPr>
        <w:pStyle w:val="BodyText"/>
      </w:pPr>
      <w:r>
        <w:t xml:space="preserve">Dr. Eng. Sholahudin, S.T., M.Sc.</w:t>
      </w:r>
    </w:p>
    <w:p>
      <w:pPr>
        <w:pStyle w:val="BodyText"/>
      </w:pPr>
      <w:r>
        <w:t xml:space="preserve">Disusun Oleh: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2506565466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Luqman Alifio Arhab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2506565414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Azfa Rhazasta Abiandra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2506565401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Adamsyah Haryo Saksono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2506565433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Epsiarto Rizqi Nurwijayadi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DEPARTEMEN TEKNIK MESIN</w:t>
      </w:r>
      <w:r>
        <w:br/>
      </w:r>
      <w:r>
        <w:rPr>
          <w:b/>
          <w:bCs/>
        </w:rPr>
        <w:t xml:space="preserve">FAKULTAS TEKNIK</w:t>
      </w:r>
      <w:r>
        <w:br/>
      </w:r>
      <w:r>
        <w:rPr>
          <w:b/>
          <w:bCs/>
        </w:rPr>
        <w:t xml:space="preserve">UNIVERSITAS INDONESIA</w:t>
      </w:r>
      <w:r>
        <w:br/>
      </w:r>
      <w:r>
        <w:rPr>
          <w:b/>
          <w:bCs/>
        </w:rPr>
        <w:t xml:space="preserve">2026</w:t>
      </w:r>
    </w:p>
    <w:bookmarkStart w:id="20" w:name="pendahuluan"/>
    <w:p>
      <w:pPr>
        <w:pStyle w:val="Heading1"/>
      </w:pPr>
      <w:r>
        <w:t xml:space="preserve">Pendahuluan</w:t>
      </w:r>
    </w:p>
    <w:bookmarkStart w:id="16" w:name="latar-belakang"/>
    <w:p>
      <w:pPr>
        <w:pStyle w:val="Heading2"/>
      </w:pPr>
      <w:r>
        <w:t xml:space="preserve">Latar Belakang</w:t>
      </w:r>
    </w:p>
    <w:p>
      <w:pPr>
        <w:pStyle w:val="FirstParagraph"/>
      </w:pPr>
      <w:r>
        <w:t xml:space="preserve">Prediksi</w:t>
      </w:r>
      <w:r>
        <w:t xml:space="preserve"> </w:t>
      </w:r>
      <w:r>
        <w:rPr>
          <w:i/>
          <w:iCs/>
        </w:rPr>
        <w:t xml:space="preserve">Remaining Useful Life</w:t>
      </w:r>
      <w:r>
        <w:t xml:space="preserve"> </w:t>
      </w:r>
      <w:r>
        <w:t xml:space="preserve">(RUL) merupakan komponen kunci</w:t>
      </w:r>
      <w:r>
        <w:t xml:space="preserve"> </w:t>
      </w:r>
      <w:r>
        <w:t xml:space="preserve">dalam sistem</w:t>
      </w:r>
      <w:r>
        <w:t xml:space="preserve"> </w:t>
      </w:r>
      <w:r>
        <w:rPr>
          <w:i/>
          <w:iCs/>
        </w:rPr>
        <w:t xml:space="preserve">Prognostics and Health Management</w:t>
      </w:r>
      <w:r>
        <w:t xml:space="preserve"> </w:t>
      </w:r>
      <w:r>
        <w:t xml:space="preserve">(PHM). Dengan</w:t>
      </w:r>
      <w:r>
        <w:t xml:space="preserve"> </w:t>
      </w:r>
      <w:r>
        <w:t xml:space="preserve">mengetahui sisa umur pakai komponen sebelum kegagalan, jadwal perawatan</w:t>
      </w:r>
      <w:r>
        <w:t xml:space="preserve"> </w:t>
      </w:r>
      <w:r>
        <w:t xml:space="preserve">dapat dioptimalkan sehingga mengurangi biaya</w:t>
      </w:r>
      <w:r>
        <w:t xml:space="preserve"> </w:t>
      </w:r>
      <w:r>
        <w:rPr>
          <w:i/>
          <w:iCs/>
        </w:rPr>
        <w:t xml:space="preserve">downtime</w:t>
      </w:r>
      <w:r>
        <w:t xml:space="preserve"> </w:t>
      </w:r>
      <w:r>
        <w:t xml:space="preserve">tak</w:t>
      </w:r>
      <w:r>
        <w:t xml:space="preserve"> </w:t>
      </w:r>
      <w:r>
        <w:t xml:space="preserve">terencana dan risiko kegagalan mendadak.</w:t>
      </w:r>
    </w:p>
    <w:bookmarkStart w:id="15" w:name="fig:phm"/>
    <w:p>
      <w:pPr>
        <w:pStyle w:val="CaptionedFigure"/>
      </w:pPr>
      <w:r>
        <w:drawing>
          <wp:inline>
            <wp:extent cx="3093720" cy="191082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01_phm_ecosystem_stack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91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Hierarki PHM — laporan ini berfokus pada lapisan</w:t>
      </w:r>
      <w:r>
        <w:t xml:space="preserve"> </w:t>
      </w:r>
      <w:r>
        <w:rPr>
          <w:i/>
          <w:iCs/>
        </w:rPr>
        <w:t xml:space="preserve">Prognostics</w:t>
      </w:r>
      <w:r>
        <w:t xml:space="preserve"> </w:t>
      </w:r>
      <w:r>
        <w:t xml:space="preserve">(prediksi RUL)</w:t>
      </w:r>
    </w:p>
    <w:bookmarkEnd w:id="15"/>
    <w:p>
      <w:pPr>
        <w:pStyle w:val="BodyText"/>
      </w:pPr>
      <w:r>
        <w:t xml:space="preserve">Laporan ini menggunakan sub-dataset</w:t>
      </w:r>
      <w:r>
        <w:t xml:space="preserve"> </w:t>
      </w:r>
      <w:r>
        <w:rPr>
          <w:b/>
          <w:bCs/>
        </w:rPr>
        <w:t xml:space="preserve">FD001</w:t>
      </w:r>
      <w:r>
        <w:t xml:space="preserve"> </w:t>
      </w:r>
      <w:r>
        <w:t xml:space="preserve">dari C-MAPSS NASA:</w:t>
      </w:r>
      <w:r>
        <w:t xml:space="preserve"> </w:t>
      </w:r>
      <w:r>
        <w:t xml:space="preserve">satu kondisi operasi (</w:t>
      </w:r>
      <w:r>
        <w:rPr>
          <w:i/>
          <w:iCs/>
        </w:rPr>
        <w:t xml:space="preserve">sea level</w:t>
      </w:r>
      <w:r>
        <w:t xml:space="preserve">), satu mode kerusakan (HPC</w:t>
      </w:r>
      <w:r>
        <w:t xml:space="preserve"> </w:t>
      </w:r>
      <w:r>
        <w:t xml:space="preserve">degradation), 100 mesin</w:t>
      </w:r>
      <w:r>
        <w:t xml:space="preserve"> </w:t>
      </w:r>
      <w:r>
        <w:rPr>
          <w:i/>
          <w:iCs/>
        </w:rPr>
        <w:t xml:space="preserve">train</w:t>
      </w:r>
      <w:r>
        <w:t xml:space="preserve">, 100 mesin</w:t>
      </w:r>
      <w:r>
        <w:t xml:space="preserve"> </w:t>
      </w:r>
      <w:r>
        <w:rPr>
          <w:i/>
          <w:iCs/>
        </w:rPr>
        <w:t xml:space="preserve">test</w:t>
      </w:r>
      <w:r>
        <w:t xml:space="preserve">.</w:t>
      </w:r>
    </w:p>
    <w:bookmarkEnd w:id="16"/>
    <w:bookmarkStart w:id="17" w:name="tujuan"/>
    <w:p>
      <w:pPr>
        <w:pStyle w:val="Heading2"/>
      </w:pPr>
      <w:r>
        <w:t xml:space="preserve">Tujuan</w:t>
      </w:r>
    </w:p>
    <w:p>
      <w:pPr>
        <w:numPr>
          <w:ilvl w:val="0"/>
          <w:numId w:val="1001"/>
        </w:numPr>
      </w:pPr>
      <w:r>
        <w:t xml:space="preserve">Membersihkan data dengan analisis korelasi sensor terhadap output (RUL)</w:t>
      </w:r>
    </w:p>
    <w:p>
      <w:pPr>
        <w:numPr>
          <w:ilvl w:val="0"/>
          <w:numId w:val="1001"/>
        </w:numPr>
      </w:pPr>
      <w:r>
        <w:t xml:space="preserve">Menormalisasi data dengan metode</w:t>
      </w:r>
      <w:r>
        <w:t xml:space="preserve"> </w:t>
      </w:r>
      <w:r>
        <w:rPr>
          <w:i/>
          <w:iCs/>
        </w:rPr>
        <w:t xml:space="preserve">z-score</w:t>
      </w:r>
      <w:r>
        <w:t xml:space="preserve"> </w:t>
      </w:r>
      <w:r>
        <w:t xml:space="preserve">berbasis siklus sehat</w:t>
      </w:r>
    </w:p>
    <w:p>
      <w:pPr>
        <w:numPr>
          <w:ilvl w:val="0"/>
          <w:numId w:val="1001"/>
        </w:numPr>
      </w:pPr>
      <w:r>
        <w:t xml:space="preserve">Memilih fitur menggunakan korelasi Pearson dan PCA</w:t>
      </w:r>
    </w:p>
    <w:p>
      <w:pPr>
        <w:numPr>
          <w:ilvl w:val="0"/>
          <w:numId w:val="1001"/>
        </w:numPr>
      </w:pPr>
      <w:r>
        <w:t xml:space="preserve">Membangun dan membandingkan model MLP (PCA input vs sensor input)</w:t>
      </w:r>
    </w:p>
    <w:p>
      <w:pPr>
        <w:numPr>
          <w:ilvl w:val="0"/>
          <w:numId w:val="1001"/>
        </w:numPr>
      </w:pPr>
      <w:r>
        <w:t xml:space="preserve">Menganalisis kepentingan fitur dengan algoritma Garson</w:t>
      </w:r>
    </w:p>
    <w:bookmarkEnd w:id="17"/>
    <w:bookmarkStart w:id="19" w:name="alur-pipeline"/>
    <w:p>
      <w:pPr>
        <w:pStyle w:val="Heading2"/>
      </w:pPr>
      <w:r>
        <w:t xml:space="preserve">Alur Pipeline</w:t>
      </w:r>
    </w:p>
    <w:bookmarkStart w:id="18" w:name="fig:pipelin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→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→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↓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←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←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/>
        </w:tc>
      </w:tr>
    </w:tbl>
    <w:p>
      <w:pPr>
        <w:pStyle w:val="ImageCaption"/>
      </w:pPr>
      <w:r>
        <w:t xml:space="preserve">Alur pipeline analitik</w:t>
      </w:r>
    </w:p>
    <w:bookmarkEnd w:id="18"/>
    <w:bookmarkEnd w:id="19"/>
    <w:bookmarkEnd w:id="20"/>
    <w:bookmarkStart w:id="42" w:name="dataset-c-mapss-fd001"/>
    <w:p>
      <w:pPr>
        <w:pStyle w:val="Heading1"/>
      </w:pPr>
      <w:r>
        <w:t xml:space="preserve">Dataset C-MAPSS FD001</w:t>
      </w:r>
    </w:p>
    <w:bookmarkStart w:id="26" w:name="deskripsi"/>
    <w:p>
      <w:pPr>
        <w:pStyle w:val="Heading2"/>
      </w:pPr>
      <w:r>
        <w:t xml:space="preserve">Deskripsi</w:t>
      </w:r>
    </w:p>
    <w:p>
      <w:pPr>
        <w:pStyle w:val="FirstParagraph"/>
      </w:pPr>
      <w:r>
        <w:t xml:space="preserve">Dataset C-MAPSS dipublikasikan oleh NASA</w:t>
      </w:r>
      <w:r>
        <w:t xml:space="preserve"> </w:t>
      </w:r>
      <w:r>
        <w:t xml:space="preserve">: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https://www.nasa.gov/intelligent-systems-division/discovery-and-systems-health/pcoe/pcoe-data-set-repository/</w:t>
        </w:r>
      </w:hyperlink>
    </w:p>
    <w:bookmarkStart w:id="25" w:name="fig:engine"/>
    <w:p>
      <w:pPr>
        <w:pStyle w:val="CaptionedFigure"/>
      </w:pPr>
      <w:r>
        <w:drawing>
          <wp:inline>
            <wp:extent cx="4693920" cy="247734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03_cmapss_engine_schematic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47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Skema mesin turbofan C-MAPSS — 21 sensor mengukur kondisi</w:t>
      </w:r>
      <w:r>
        <w:t xml:space="preserve"> </w:t>
      </w:r>
      <w:r>
        <w:t xml:space="preserve">di sepanjang aliran udara; HPC adalah komponen yang terdegradasi</w:t>
      </w:r>
      <w:r>
        <w:t xml:space="preserve"> </w:t>
      </w:r>
      <w:r>
        <w:t xml:space="preserve">pada FD001</w:t>
      </w:r>
    </w:p>
    <w:bookmarkEnd w:id="25"/>
    <w:p>
      <w:pPr>
        <w:pStyle w:val="BodyText"/>
      </w:pPr>
      <w:r>
        <w:t xml:space="preserve">FD001 terdiri dari 20.631 baris data</w:t>
      </w:r>
      <w:r>
        <w:t xml:space="preserve"> </w:t>
      </w:r>
      <w:r>
        <w:rPr>
          <w:i/>
          <w:iCs/>
        </w:rPr>
        <w:t xml:space="preserve">train</w:t>
      </w:r>
      <w:r>
        <w:t xml:space="preserve"> </w:t>
      </w:r>
      <w:r>
        <w:t xml:space="preserve">(100 mesin,</w:t>
      </w:r>
      <w:r>
        <w:t xml:space="preserve"> </w:t>
      </w:r>
      <w:r>
        <w:t xml:space="preserve">siklus penuh hingga kegagalan) dan 13.096 baris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(100 mesin, dipotong sebelum kegagalan). Setiap baris memiliki</w:t>
      </w:r>
      <w:r>
        <w:t xml:space="preserve"> </w:t>
      </w:r>
      <w:r>
        <w:t xml:space="preserve">26 kolom:</w:t>
      </w:r>
      <w:r>
        <w:t xml:space="preserve"> </w:t>
      </w:r>
      <w:r>
        <w:rPr>
          <w:rStyle w:val="VerbatimChar"/>
        </w:rPr>
        <w:t xml:space="preserve">unit_number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time_cycles</w:t>
      </w:r>
      <w:r>
        <w:t xml:space="preserve">, 3</w:t>
      </w:r>
      <w:r>
        <w:t xml:space="preserve"> </w:t>
      </w:r>
      <w:r>
        <w:rPr>
          <w:i/>
          <w:iCs/>
        </w:rPr>
        <w:t xml:space="preserve">op_settings</w:t>
      </w:r>
      <w:r>
        <w:t xml:space="preserve">, dan 21 sensor.</w:t>
      </w:r>
    </w:p>
    <w:bookmarkEnd w:id="26"/>
    <w:bookmarkStart w:id="31" w:name="konsep-rul-dan-struktur-file"/>
    <w:p>
      <w:pPr>
        <w:pStyle w:val="Heading2"/>
      </w:pPr>
      <w:r>
        <w:t xml:space="preserve">Konsep RUL dan Struktur File</w:t>
      </w:r>
    </w:p>
    <w:bookmarkStart w:id="30" w:name="fig:rul_rel"/>
    <w:p>
      <w:pPr>
        <w:pStyle w:val="CaptionedFigure"/>
      </w:pPr>
      <w:r>
        <w:drawing>
          <wp:inline>
            <wp:extent cx="4533900" cy="239289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10_train_test_rul_relationshi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92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Hubungan antara file train, test, dan RUL —</w:t>
      </w:r>
      <w:r>
        <w:t xml:space="preserve"> </w:t>
      </w:r>
      <w:r>
        <w:t xml:space="preserve">data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dipotong di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  <w:r>
        <w:t xml:space="preserve"> </w:t>
      </w:r>
      <w:r>
        <w:rPr>
          <w:rStyle w:val="VerbatimChar"/>
        </w:rPr>
        <w:t xml:space="preserve">RUL_FD001.txt</w:t>
      </w:r>
      <w:r>
        <w:t xml:space="preserve"> </w:t>
      </w:r>
      <w:r>
        <w:t xml:space="preserve">berisi kunci jawaban</w:t>
      </w:r>
    </w:p>
    <w:bookmarkEnd w:id="30"/>
    <w:bookmarkEnd w:id="31"/>
    <w:bookmarkStart w:id="36" w:name="motivasi-mengapa-rul-sulit-diprediksi"/>
    <w:p>
      <w:pPr>
        <w:pStyle w:val="Heading2"/>
      </w:pPr>
      <w:r>
        <w:t xml:space="preserve">Motivasi: Mengapa RUL Sulit Diprediksi</w:t>
      </w:r>
    </w:p>
    <w:bookmarkStart w:id="35" w:name="fig:degradation"/>
    <w:p>
      <w:pPr>
        <w:pStyle w:val="CaptionedFigure"/>
      </w:pPr>
      <w:r>
        <w:drawing>
          <wp:inline>
            <wp:extent cx="5067300" cy="3571564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plot_A1_degrad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71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Trajektori degradasi sensor FD001 untuk lima mesin —</w:t>
      </w:r>
      <w:r>
        <w:t xml:space="preserve"> </w:t>
      </w:r>
      <w:r>
        <w:t xml:space="preserve">sensor Ps30, T50, phi, dan P30 menunjukkan</w:t>
      </w:r>
      <w:r>
        <w:t xml:space="preserve"> </w:t>
      </w:r>
      <w:r>
        <w:rPr>
          <w:i/>
          <w:iCs/>
        </w:rPr>
        <w:t xml:space="preserve">drift</w:t>
      </w:r>
      <w:r>
        <w:t xml:space="preserve"> </w:t>
      </w:r>
      <w:r>
        <w:t xml:space="preserve">yang jelas menjelang akhir umur mesin;</w:t>
      </w:r>
      <w:r>
        <w:t xml:space="preserve"> </w:t>
      </w:r>
      <w:r>
        <w:t xml:space="preserve">setiap mesin memiliki panjang hidup berbeda</w:t>
      </w:r>
    </w:p>
    <w:bookmarkEnd w:id="35"/>
    <w:p>
      <w:pPr>
        <w:pStyle w:val="BodyText"/>
      </w:pPr>
      <w:r>
        <w:t xml:space="preserve">Setiap mesin memiliki umur total berbeda (panjang x-axis berbeda).</w:t>
      </w:r>
      <w:r>
        <w:t xml:space="preserve"> </w:t>
      </w:r>
      <w:r>
        <w:t xml:space="preserve">Sensor menunjukkan nilai yang relatif stabil di fase sehat, kemudian</w:t>
      </w:r>
      <w:r>
        <w:t xml:space="preserve"> </w:t>
      </w:r>
      <w:r>
        <w:t xml:space="preserve">mulai menyimpang di fase degradasi. Model harus belajar mengenali</w:t>
      </w:r>
      <w:r>
        <w:t xml:space="preserve"> </w:t>
      </w:r>
      <w:r>
        <w:t xml:space="preserve">pola penyimpangan ini untuk memprediksi berapa siklus tersisa.</w:t>
      </w:r>
    </w:p>
    <w:bookmarkEnd w:id="36"/>
    <w:bookmarkStart w:id="41" w:name="struktur-hdf5"/>
    <w:p>
      <w:pPr>
        <w:pStyle w:val="Heading2"/>
      </w:pPr>
      <w:r>
        <w:t xml:space="preserve">Struktur HDF5</w:t>
      </w:r>
    </w:p>
    <w:bookmarkStart w:id="40" w:name="fig:hdf5"/>
    <w:p>
      <w:pPr>
        <w:pStyle w:val="CaptionedFigure"/>
      </w:pPr>
      <w:r>
        <w:drawing>
          <wp:inline>
            <wp:extent cx="2133600" cy="2667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hdf5-05-pca-01-mai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Struktur HDF5 lengkap</w:t>
      </w:r>
      <w:r>
        <w:t xml:space="preserve"> </w:t>
      </w:r>
      <w:r>
        <w:rPr>
          <w:rStyle w:val="VerbatimChar"/>
        </w:rPr>
        <w:t xml:space="preserve">cmapss_FD001.h5</w:t>
      </w:r>
      <w:r>
        <w:t xml:space="preserve"> </w:t>
      </w:r>
      <w:r>
        <w:t xml:space="preserve">di HDFView —</w:t>
      </w:r>
      <w:r>
        <w:t xml:space="preserve"> </w:t>
      </w:r>
      <w:r>
        <w:t xml:space="preserve">dibangun dari raw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NASA dalam satu skrip konsolidasi</w:t>
      </w:r>
    </w:p>
    <w:bookmarkEnd w:id="40"/>
    <w:bookmarkEnd w:id="41"/>
    <w:bookmarkEnd w:id="42"/>
    <w:bookmarkStart w:id="46" w:name="pembersihan-data"/>
    <w:p>
      <w:pPr>
        <w:pStyle w:val="Heading1"/>
      </w:pPr>
      <w:r>
        <w:t xml:space="preserve">Pembersihan Data</w:t>
      </w:r>
    </w:p>
    <w:bookmarkStart w:id="43" w:name="X79c1a55acd549b60b67f6ade0ad45877cfd0b57"/>
    <w:p>
      <w:pPr>
        <w:pStyle w:val="Heading2"/>
      </w:pPr>
      <w:r>
        <w:t xml:space="preserve">Metode: Korelasi Sensor terhadap Output RUL</w:t>
      </w:r>
    </w:p>
    <w:p>
      <w:pPr>
        <w:pStyle w:val="FirstParagraph"/>
      </w:pPr>
      <w:r>
        <w:t xml:space="preserve">Pembersihan data dilakukan dengan menganalisis hubungan setiap sensor</w:t>
      </w:r>
      <w:r>
        <w:t xml:space="preserve"> </w:t>
      </w:r>
      <w:r>
        <w:t xml:space="preserve">terhadap output (RUL) menggunakan lima metode statistik: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Standar Deviasi</w:t>
      </w:r>
      <w:r>
        <w:t xml:space="preserve"> </w:t>
      </w:r>
      <w:r>
        <w:t xml:space="preserve">— sensor konstan (std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) tidak bervariasi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Koefisien Variasi (CV)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nor/>
            <m:sty m:val="p"/>
          </m:rPr>
          <m:t>CV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μ</m:t>
        </m:r>
        <m:r>
          <m:rPr>
            <m:sty m:val="p"/>
          </m:rPr>
          <m:t>|</m:t>
        </m:r>
      </m:oMath>
    </w:p>
    <w:p>
      <w:pPr>
        <w:numPr>
          <w:ilvl w:val="0"/>
          <w:numId w:val="1002"/>
        </w:numPr>
      </w:pPr>
      <w:r>
        <w:rPr>
          <w:b/>
          <w:bCs/>
        </w:rPr>
        <w:t xml:space="preserve">Korelasi Pearson vs RUL</w:t>
      </w:r>
      <w:r>
        <w:t xml:space="preserve"> </w:t>
      </w:r>
      <w:r>
        <w:t xml:space="preserve">— hubungan linear sensor terhadap output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Korelasi Spearman vs RUL</w:t>
      </w:r>
      <w:r>
        <w:t xml:space="preserve"> </w:t>
      </w:r>
      <w:r>
        <w:t xml:space="preserve">— hubungan monoton terhadap output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Mutual Information vs RUL</w:t>
      </w:r>
      <w:r>
        <w:t xml:space="preserve"> </w:t>
      </w:r>
      <w:r>
        <w:t xml:space="preserve">— hubungan non-linear terhadap output</w:t>
      </w:r>
    </w:p>
    <w:bookmarkEnd w:id="43"/>
    <w:bookmarkStart w:id="45" w:name="hasil-analisis"/>
    <w:p>
      <w:pPr>
        <w:pStyle w:val="Heading2"/>
      </w:pPr>
      <w:r>
        <w:t xml:space="preserve">Hasil Analisis</w:t>
      </w:r>
    </w:p>
    <w:bookmarkStart w:id="44" w:name="tab:sensor_stats"/>
    <w:p>
      <w:pPr>
        <w:pStyle w:val="TableCaption"/>
      </w:pPr>
      <w:r>
        <w:t xml:space="preserve">Statistik 21 sensor FD001 terhadap output RUL —</w:t>
      </w:r>
      <w:r>
        <w:t xml:space="preserve"> </w:t>
      </w:r>
      <w:r>
        <w:t xml:space="preserve">sensor dengan 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†</m:t>
        </m:r>
      </m:oMath>
      <w:r>
        <w:t xml:space="preserve">) dieliminasi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istik 21 sensor FD001 terhadap output RUL — sensor dengan std = 0 (\dagger) dieliminasi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518.67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0.607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0.585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0.679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14.62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553.37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9065.2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0.390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0.672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0.563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8143.8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0.307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0.643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farB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htBleed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Nf_dmd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2388.0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PCNfR_dmd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0.629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std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Pearson/Spearman tidak terdefinisi (NaN); tidak ada korelasi dengan RUL</w:t>
            </w:r>
          </w:p>
        </w:tc>
      </w:tr>
    </w:tbl>
    <w:bookmarkEnd w:id="44"/>
    <w:p>
      <w:pPr>
        <w:pStyle w:val="BodyText"/>
      </w:pPr>
      <w:r>
        <w:t xml:space="preserve">Enam sensor dieliminasi karena 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: T2, P2, epr, farB, Nf_dmd,</w:t>
      </w:r>
      <w:r>
        <w:t xml:space="preserve"> </w:t>
      </w:r>
      <w:r>
        <w:t xml:space="preserve">PCNfR_dmd. Sensor P15 juga dieliminasi karena Pearson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13</m:t>
        </m:r>
      </m:oMath>
      <w:r>
        <w:t xml:space="preserve"> </w:t>
      </w:r>
      <w:r>
        <w:t xml:space="preserve">(hampir tidak ada korelasi linear dengan RUL).</w:t>
      </w:r>
      <w:r>
        <w:t xml:space="preserve"> </w:t>
      </w:r>
      <w:r>
        <w:t xml:space="preserve">Tersisa</w:t>
      </w:r>
      <w:r>
        <w:t xml:space="preserve"> </w:t>
      </w:r>
      <w:r>
        <w:rPr>
          <w:b/>
          <w:bCs/>
        </w:rPr>
        <w:t xml:space="preserve">15 sensor</w:t>
      </w:r>
      <w:r>
        <w:t xml:space="preserve"> </w:t>
      </w:r>
      <w:r>
        <w:t xml:space="preserve">aktif.</w:t>
      </w:r>
    </w:p>
    <w:bookmarkEnd w:id="45"/>
    <w:bookmarkEnd w:id="46"/>
    <w:bookmarkStart w:id="52" w:name="normalisasi"/>
    <w:p>
      <w:pPr>
        <w:pStyle w:val="Heading1"/>
      </w:pPr>
      <w:r>
        <w:t xml:space="preserve">Normalisasi</w:t>
      </w:r>
    </w:p>
    <w:bookmarkStart w:id="51" w:name="metode-z-score-berbasis-siklus-sehat"/>
    <w:p>
      <w:pPr>
        <w:pStyle w:val="Heading2"/>
      </w:pPr>
      <w:r>
        <w:t xml:space="preserve">Metode Z-Score Berbasis Siklus Sehat</w:t>
      </w:r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healthy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healthy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dihitung hanya dari siklus dengan</w:t>
      </w:r>
      <w:r>
        <w:t xml:space="preserve"> </w:t>
      </w:r>
      <w:r>
        <w:t xml:space="preserve">RUL_raw</w:t>
      </w:r>
      <w:r>
        <w:t xml:space="preserve"> </w:t>
      </w:r>
      <m:oMath>
        <m:r>
          <m:rPr>
            <m:sty m:val="p"/>
          </m:rPr>
          <m:t>≥</m:t>
        </m:r>
        <m:r>
          <m:t>125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healthy cycles</w:t>
      </w:r>
      <w:r>
        <w:t xml:space="preserve">).</w:t>
      </w:r>
    </w:p>
    <w:bookmarkStart w:id="50" w:name="fig:norm_comparison"/>
    <w:p>
      <w:pPr>
        <w:pStyle w:val="CaptionedFigure"/>
      </w:pPr>
      <w:r>
        <w:drawing>
          <wp:inline>
            <wp:extent cx="5120640" cy="229003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/plot_D13_norm_comparis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29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Perbandingan normalisasi global vs</w:t>
      </w:r>
      <w:r>
        <w:t xml:space="preserve"> </w:t>
      </w:r>
      <w:r>
        <w:rPr>
          <w:i/>
          <w:iCs/>
        </w:rPr>
        <w:t xml:space="preserve">healthy-only</w:t>
      </w:r>
      <w:r>
        <w:t xml:space="preserve"> </w:t>
      </w:r>
      <w:r>
        <w:t xml:space="preserve">untuk sensor Ps30 pada tiga mesin FD001</w:t>
      </w:r>
      <w:r>
        <w:t xml:space="preserve"> </w:t>
      </w:r>
      <w:r>
        <w:t xml:space="preserve">(Engine 1 biru 192 siklus, Engine 31 hijau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200 siklus,</w:t>
      </w:r>
      <w:r>
        <w:t xml:space="preserve"> </w:t>
      </w:r>
      <w:r>
        <w:t xml:space="preserve">Engine 77 coklat 154 siklus) —</w:t>
      </w:r>
      <w:r>
        <w:t xml:space="preserve"> </w:t>
      </w:r>
      <w:r>
        <w:t xml:space="preserve">garis putus-putus vertikal = awal fase degradasi per mesin</w:t>
      </w:r>
      <w:r>
        <w:t xml:space="preserve"> </w:t>
      </w:r>
      <w:r>
        <w:t xml:space="preserve">(saat RUL_raw</w:t>
      </w:r>
      <w:r>
        <w:t xml:space="preserve"> </w:t>
      </w:r>
      <m:oMath>
        <m:r>
          <m:rPr>
            <m:sty m:val="p"/>
          </m:rPr>
          <m:t>&lt;</m:t>
        </m:r>
        <m:r>
          <m:t>125</m:t>
        </m:r>
      </m:oMath>
      <w:r>
        <w:t xml:space="preserve">)</w:t>
      </w:r>
    </w:p>
    <w:bookmarkEnd w:id="50"/>
    <w:p>
      <w:pPr>
        <w:pStyle w:val="BodyText"/>
      </w:pPr>
      <w:r>
        <w:t xml:space="preserve">Gambar</w:t>
      </w:r>
      <w:r>
        <w:t xml:space="preserve"> </w:t>
      </w:r>
      <w:hyperlink w:anchor="fig:norm_comparis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membandingkan dua metode normalisasi</w:t>
      </w:r>
      <w:r>
        <w:t xml:space="preserve"> </w:t>
      </w:r>
      <w:r>
        <w:t xml:space="preserve">pada sensor Ps30 untuk tiga mesin.</w:t>
      </w:r>
      <w:r>
        <w:t xml:space="preserve"> </w:t>
      </w:r>
      <w:r>
        <w:rPr>
          <w:b/>
          <w:bCs/>
        </w:rPr>
        <w:t xml:space="preserve">Global z-score (kiri)</w:t>
      </w:r>
      <w:r>
        <w:t xml:space="preserve">:</w:t>
      </w:r>
      <w:r>
        <w:t xml:space="preserve"> </w:t>
      </w:r>
      <w:r>
        <w:t xml:space="preserve">ketiga mesin mulai tersebar di nilai z berbeda — referensi nol</w:t>
      </w:r>
      <w:r>
        <w:t xml:space="preserve"> </w:t>
      </w:r>
      <w:r>
        <w:t xml:space="preserve">tidak konsisten karena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dipengaruhi siklus terdegradasi.</w:t>
      </w:r>
      <w:r>
        <w:t xml:space="preserve"> </w:t>
      </w:r>
      <w:r>
        <w:rPr>
          <w:b/>
          <w:bCs/>
        </w:rPr>
        <w:t xml:space="preserve">Healthy-only z-score (kanan)</w:t>
      </w:r>
      <w:r>
        <w:t xml:space="preserve">: ketiga mesin mulai di</w:t>
      </w:r>
      <w:r>
        <w:t xml:space="preserve"> </w:t>
      </w:r>
      <m:oMath>
        <m:r>
          <m:t>z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lalu secara konsisten</w:t>
      </w:r>
      <w:r>
        <w:t xml:space="preserve"> </w:t>
      </w:r>
      <w:r>
        <w:rPr>
          <w:i/>
          <w:iCs/>
        </w:rPr>
        <w:t xml:space="preserve">drift</w:t>
      </w:r>
      <w:r>
        <w:t xml:space="preserve"> </w:t>
      </w:r>
      <w:r>
        <w:t xml:space="preserve">ke atas seiring</w:t>
      </w:r>
      <w:r>
        <w:t xml:space="preserve"> </w:t>
      </w:r>
      <w:r>
        <w:t xml:space="preserve">degradasi — penyimpangan dari nol inilah sinyal yang dipelajari model.</w:t>
      </w:r>
    </w:p>
    <w:p>
      <w:pPr>
        <w:pStyle w:val="BodyText"/>
      </w:pPr>
      <w:r>
        <w:t xml:space="preserve">Data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dinormalisasi menggunakan parameter dari</w:t>
      </w:r>
      <w:r>
        <w:t xml:space="preserve"> </w:t>
      </w:r>
      <w:r>
        <w:rPr>
          <w:i/>
          <w:iCs/>
        </w:rPr>
        <w:t xml:space="preserve">train</w:t>
      </w:r>
      <w:r>
        <w:t xml:space="preserve"> </w:t>
      </w:r>
      <w:r>
        <w:t xml:space="preserve">untuk menghindari</w:t>
      </w:r>
      <w:r>
        <w:t xml:space="preserve"> </w:t>
      </w:r>
      <w:r>
        <w:rPr>
          <w:i/>
          <w:iCs/>
        </w:rPr>
        <w:t xml:space="preserve">data leakage</w:t>
      </w:r>
      <w:r>
        <w:t xml:space="preserve">.</w:t>
      </w:r>
    </w:p>
    <w:bookmarkEnd w:id="51"/>
    <w:bookmarkEnd w:id="52"/>
    <w:bookmarkStart w:id="76" w:name="seleksi-fitur"/>
    <w:p>
      <w:pPr>
        <w:pStyle w:val="Heading1"/>
      </w:pPr>
      <w:r>
        <w:t xml:space="preserve">Seleksi Fitur</w:t>
      </w:r>
    </w:p>
    <w:bookmarkStart w:id="57" w:name="korelasi-pearson-antar-sensor"/>
    <w:p>
      <w:pPr>
        <w:pStyle w:val="Heading2"/>
      </w:pPr>
      <w:r>
        <w:t xml:space="preserve">Korelasi Pearson Antar Sensor</w:t>
      </w:r>
    </w:p>
    <w:bookmarkStart w:id="56" w:name="fig:corr"/>
    <w:p>
      <w:pPr>
        <w:pStyle w:val="CaptionedFigure"/>
      </w:pPr>
      <w:r>
        <w:drawing>
          <wp:inline>
            <wp:extent cx="4373880" cy="3646953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plot_A2_correlati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646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Matriks korelasi Pearson antar 15 sensor aktif FD001 —</w:t>
      </w:r>
      <w:r>
        <w:t xml:space="preserve"> </w:t>
      </w:r>
      <w:r>
        <w:t xml:space="preserve">blok merah gelap pada Nc–NRc 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96</m:t>
        </m:r>
      </m:oMath>
      <w:r>
        <w:t xml:space="preserve">) dan Nf–NRf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83</m:t>
        </m:r>
      </m:oMath>
      <w:r>
        <w:t xml:space="preserve">) menunjukkan redundansi tinggi yang memotivasi PCA</w:t>
      </w:r>
    </w:p>
    <w:bookmarkEnd w:id="56"/>
    <w:bookmarkEnd w:id="57"/>
    <w:bookmarkStart w:id="67" w:name="principal-component-analysis-pca"/>
    <w:p>
      <w:pPr>
        <w:pStyle w:val="Heading2"/>
      </w:pPr>
      <w:r>
        <w:t xml:space="preserve">Principal Component Analysis (PCA)</w:t>
      </w:r>
    </w:p>
    <w:bookmarkStart w:id="61" w:name="fig:scree"/>
    <w:p>
      <w:pPr>
        <w:pStyle w:val="CaptionedFigure"/>
      </w:pPr>
      <w:r>
        <w:drawing>
          <wp:inline>
            <wp:extent cx="4693920" cy="233429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plot_A3_scre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34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iCs/>
        </w:rPr>
        <w:t xml:space="preserve">Scree plot</w:t>
      </w:r>
      <w:r>
        <w:t xml:space="preserve"> </w:t>
      </w:r>
      <w:r>
        <w:t xml:space="preserve">PCA FD001 —</w:t>
      </w:r>
      <w:r>
        <w:t xml:space="preserve"> </w:t>
      </w:r>
      <w:r>
        <w:rPr>
          <w:i/>
          <w:iCs/>
        </w:rPr>
        <w:t xml:space="preserve">cliff</w:t>
      </w:r>
      <w:r>
        <w:t xml:space="preserve"> </w:t>
      </w:r>
      <w:r>
        <w:t xml:space="preserve">tajam</w:t>
      </w:r>
      <w:r>
        <w:t xml:space="preserve"> </w:t>
      </w:r>
      <w:r>
        <w:t xml:space="preserve">setelah PC2 (52,4% + 30,5% = 82,9%) menunjukkan</w:t>
      </w:r>
      <w:r>
        <w:t xml:space="preserve"> </w:t>
      </w:r>
      <w:r>
        <w:t xml:space="preserve">PC3 dan seterusnya hanya mengandung</w:t>
      </w:r>
      <w:r>
        <w:t xml:space="preserve"> </w:t>
      </w:r>
      <w:r>
        <w:rPr>
          <w:i/>
          <w:iCs/>
        </w:rPr>
        <w:t xml:space="preserve">noise</w:t>
      </w:r>
      <w:r>
        <w:t xml:space="preserve">;</w:t>
      </w:r>
      <w:r>
        <w:t xml:space="preserve"> </w:t>
      </w:r>
      <w:r>
        <w:t xml:space="preserve">2 komponen dipertahankan (varians individual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  <m:r>
          <m:rPr>
            <m:sty m:val="p"/>
          </m:rPr>
          <m:t>%</m:t>
        </m:r>
      </m:oMath>
      <w:r>
        <w:t xml:space="preserve">)</w:t>
      </w:r>
    </w:p>
    <w:bookmarkEnd w:id="61"/>
    <w:bookmarkStart w:id="62" w:name="tab:pca_var"/>
    <w:p>
      <w:pPr>
        <w:pStyle w:val="TableCaption"/>
      </w:pPr>
      <w:r>
        <w:t xml:space="preserve">Varians PCA FD001 (15 sensor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 komponen dipertahankan)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rians PCA FD001 (15 sensor \to 2 komponen dipertahankan)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Kumulatif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93,0%</w:t>
            </w:r>
          </w:p>
        </w:tc>
      </w:tr>
    </w:tbl>
    <w:bookmarkEnd w:id="62"/>
    <w:bookmarkStart w:id="66" w:name="fig:pca_scatter"/>
    <w:p>
      <w:pPr>
        <w:pStyle w:val="CaptionedFigure"/>
      </w:pPr>
      <w:r>
        <w:drawing>
          <wp:inline>
            <wp:extent cx="4373880" cy="3572347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plot_A4_pca_scatter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57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iCs/>
        </w:rPr>
        <w:t xml:space="preserve">Scatter plot</w:t>
      </w:r>
      <w:r>
        <w:t xml:space="preserve"> </w:t>
      </w:r>
      <w:r>
        <w:t xml:space="preserve">PC1 vs PC2 diwarnai berdasarkan RUL</w:t>
      </w:r>
      <w:r>
        <w:t xml:space="preserve"> </w:t>
      </w:r>
      <w:r>
        <w:t xml:space="preserve">(hijau = sehat, merah = mendekati gagal) —</w:t>
      </w:r>
      <w:r>
        <w:t xml:space="preserve"> </w:t>
      </w:r>
      <w:r>
        <w:t xml:space="preserve">setiap titik adalah satu siklus mesin;</w:t>
      </w:r>
      <w:r>
        <w:t xml:space="preserve"> </w:t>
      </w:r>
      <w:r>
        <w:t xml:space="preserve">warna merepresentasikan RUL sebagai dimensi ketiga;</w:t>
      </w:r>
      <w:r>
        <w:t xml:space="preserve"> </w:t>
      </w:r>
      <w:r>
        <w:t xml:space="preserve">titik hijau (sehat) cenderung ke kanan, merah (degraded) ke kiri</w:t>
      </w:r>
    </w:p>
    <w:bookmarkEnd w:id="66"/>
    <w:p>
      <w:pPr>
        <w:pStyle w:val="BodyText"/>
      </w:pPr>
      <w:r>
        <w:t xml:space="preserve">PC1 (52,4%) didominasi sensor kecepatan poros Nf, NRf, Nc, NRc —</w:t>
      </w:r>
      <w:r>
        <w:t xml:space="preserve"> </w:t>
      </w:r>
      <w:r>
        <w:t xml:space="preserve">merepresentasikan</w:t>
      </w:r>
      <w:r>
        <w:t xml:space="preserve"> </w:t>
      </w:r>
      <w:r>
        <w:rPr>
          <w:i/>
          <w:iCs/>
        </w:rPr>
        <w:t xml:space="preserve">overall engine speed state</w:t>
      </w:r>
      <w:r>
        <w:t xml:space="preserve">. PC2 (30,5%)</w:t>
      </w:r>
      <w:r>
        <w:t xml:space="preserve"> </w:t>
      </w:r>
      <w:r>
        <w:t xml:space="preserve">merepresentasikan kontras tekanan-kecepatan.</w:t>
      </w:r>
    </w:p>
    <w:bookmarkEnd w:id="67"/>
    <w:bookmarkStart w:id="75" w:name="pipeline-spreadsheet"/>
    <w:p>
      <w:pPr>
        <w:pStyle w:val="Heading2"/>
      </w:pPr>
      <w:r>
        <w:t xml:space="preserve">Pipeline Spreadsheet</w:t>
      </w:r>
    </w:p>
    <w:bookmarkStart w:id="74" w:name="fig:spreadshee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63069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s/workbook-05-correlation-04-statistics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30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Sheet</w:t>
            </w:r>
            <w:r>
              <w:t xml:space="preserve"> </w:t>
            </w:r>
            <w:r>
              <w:rPr>
                <w:rStyle w:val="VerbatimChar"/>
              </w:rPr>
              <w:t xml:space="preserve">stats</w:t>
            </w:r>
            <w:r>
              <w:t xml:space="preserve"> </w:t>
            </w:r>
            <w:r>
              <w:t xml:space="preserve">(v5)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79858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s/workbook-06-pca-12-pca-train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98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Sheet</w:t>
            </w:r>
            <w:r>
              <w:t xml:space="preserve"> </w:t>
            </w:r>
            <w:r>
              <w:rPr>
                <w:rStyle w:val="VerbatimChar"/>
              </w:rPr>
              <w:t xml:space="preserve">pca_train</w:t>
            </w:r>
            <w:r>
              <w:t xml:space="preserve"> </w:t>
            </w:r>
            <w:r>
              <w:t xml:space="preserve">(v6)</w:t>
            </w:r>
          </w:p>
        </w:tc>
      </w:tr>
    </w:tbl>
    <w:p>
      <w:pPr>
        <w:pStyle w:val="ImageCaption"/>
      </w:pPr>
      <w:r>
        <w:t xml:space="preserve">Spreadsheet v5 dan v6 — dari statistik sensor</w:t>
      </w:r>
      <w:r>
        <w:t xml:space="preserve"> </w:t>
      </w:r>
      <w:r>
        <w:t xml:space="preserve">hingga skor PC per siklus</w:t>
      </w:r>
    </w:p>
    <w:bookmarkEnd w:id="74"/>
    <w:bookmarkEnd w:id="75"/>
    <w:bookmarkEnd w:id="76"/>
    <w:bookmarkStart w:id="109" w:name="model-artificial-neural-network"/>
    <w:p>
      <w:pPr>
        <w:pStyle w:val="Heading1"/>
      </w:pPr>
      <w:r>
        <w:t xml:space="preserve">Model</w:t>
      </w:r>
      <w:r>
        <w:t xml:space="preserve"> </w:t>
      </w:r>
      <w:r>
        <w:rPr>
          <w:i/>
          <w:iCs/>
        </w:rPr>
        <w:t xml:space="preserve">Artificial Neural Network</w:t>
      </w:r>
    </w:p>
    <w:bookmarkStart w:id="82" w:name="arsitektur-dan-konfigurasi"/>
    <w:p>
      <w:pPr>
        <w:pStyle w:val="Heading2"/>
      </w:pPr>
      <w:r>
        <w:t xml:space="preserve">Arsitektur dan Konfigurasi</w:t>
      </w:r>
    </w:p>
    <w:bookmarkStart w:id="80" w:name="fig:mlp_arch"/>
    <w:p>
      <w:pPr>
        <w:pStyle w:val="CaptionedFigure"/>
      </w:pPr>
      <w:r>
        <w:drawing>
          <wp:inline>
            <wp:extent cx="4693920" cy="2327237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s/plot_D14_mlp_arch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27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Arsitektur MLP: input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32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 —</w:t>
      </w:r>
      <w:r>
        <w:t xml:space="preserve"> </w:t>
      </w:r>
      <w:r>
        <w:t xml:space="preserve">ReLU pada lapisan tersembunyi, output linear</w:t>
      </w:r>
    </w:p>
    <w:bookmarkEnd w:id="80"/>
    <w:bookmarkStart w:id="81" w:name="tab:ann_config"/>
    <w:p>
      <w:pPr>
        <w:pStyle w:val="TableCaption"/>
      </w:pPr>
      <w:r>
        <w:t xml:space="preserve">Konfigurasi pelatihan ANN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onfigurasi pelatihan AN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Arsitektur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64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32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ReLU (tersembunyi), Linear (output)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Batch size: 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RUL_capped (cap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125</m:t>
              </m:r>
            </m:oMath>
            <w:r>
              <w:t xml:space="preserve"> </w:t>
            </w:r>
            <w:r>
              <w:t xml:space="preserve">siklus)</w:t>
            </w:r>
          </w:p>
        </w:tc>
      </w:tr>
    </w:tbl>
    <w:bookmarkEnd w:id="81"/>
    <w:bookmarkEnd w:id="82"/>
    <w:bookmarkStart w:id="87" w:name="target-rul-capped"/>
    <w:p>
      <w:pPr>
        <w:pStyle w:val="Heading2"/>
      </w:pPr>
      <w:r>
        <w:t xml:space="preserve">Target: RUL Capped</w:t>
      </w:r>
    </w:p>
    <w:bookmarkStart w:id="86" w:name="fig:rul_cap"/>
    <w:p>
      <w:pPr>
        <w:pStyle w:val="CaptionedFigure"/>
      </w:pPr>
      <w:r>
        <w:drawing>
          <wp:inline>
            <wp:extent cx="4693920" cy="203087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plot_D12_rul_cap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30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 raw vs RUL capped untuk Engine 1 (192 siklus) dan</w:t>
      </w:r>
      <w:r>
        <w:t xml:space="preserve"> </w:t>
      </w:r>
      <w:r>
        <w:t xml:space="preserve">Engine 77 (154 siklus) —</w:t>
      </w:r>
      <w:r>
        <w:t xml:space="preserve"> </w:t>
      </w:r>
      <w:r>
        <w:t xml:space="preserve">dua mesin ditampilkan untuk membuktikan cap bekerja konsisten</w:t>
      </w:r>
      <w:r>
        <w:t xml:space="preserve"> </w:t>
      </w:r>
      <w:r>
        <w:t xml:space="preserve">terlepas dari panjang hidup mesin;</w:t>
      </w:r>
      <w:r>
        <w:t xml:space="preserve"> </w:t>
      </w:r>
      <w:r>
        <w:t xml:space="preserve">fase sehat (biru) diratakan ke 125 pada kedua mesin</w:t>
      </w:r>
    </w:p>
    <w:bookmarkEnd w:id="86"/>
    <w:bookmarkEnd w:id="87"/>
    <w:bookmarkStart w:id="92" w:name="nasa-score"/>
    <w:p>
      <w:pPr>
        <w:pStyle w:val="Heading2"/>
      </w:pPr>
      <w:r>
        <w:t xml:space="preserve">NASA Score</w:t>
      </w:r>
    </w:p>
    <w:bookmarkStart w:id="91" w:name="fig:nasa_score"/>
    <w:p>
      <w:pPr>
        <w:pStyle w:val="CaptionedFigure"/>
      </w:pPr>
      <w:r>
        <w:drawing>
          <wp:inline>
            <wp:extent cx="3840480" cy="2289267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s/plot_D11_nasa_scor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289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Kurva penalti NASA Score — prediksi</w:t>
      </w:r>
      <w:r>
        <w:t xml:space="preserve"> </w:t>
      </w:r>
      <w:r>
        <w:rPr>
          <w:i/>
          <w:iCs/>
        </w:rPr>
        <w:t xml:space="preserve">late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 merah) dihukum lebih berat karena membahayakan</w:t>
      </w:r>
      <w:r>
        <w:t xml:space="preserve"> </w:t>
      </w:r>
      <w:r>
        <w:t xml:space="preserve">keselamatan; prediksi</w:t>
      </w:r>
      <w:r>
        <w:t xml:space="preserve"> </w:t>
      </w:r>
      <w:r>
        <w:rPr>
          <w:i/>
          <w:iCs/>
        </w:rPr>
        <w:t xml:space="preserve">early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, biru) lebih ringan</w:t>
      </w:r>
    </w:p>
    <w:bookmarkEnd w:id="91"/>
    <w:bookmarkEnd w:id="92"/>
    <w:bookmarkStart w:id="93" w:name="dua-model-yang-dibandingkan"/>
    <w:p>
      <w:pPr>
        <w:pStyle w:val="Heading2"/>
      </w:pPr>
      <w:r>
        <w:t xml:space="preserve">Dua Model yang Dibandingkan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Model PCA</w:t>
      </w:r>
      <w:r>
        <w:t xml:space="preserve">: input = PC1, PC2 (2 fitur)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Model NORM</w:t>
      </w:r>
      <w:r>
        <w:t xml:space="preserve">: input = 15 sensor ternormalisasi</w:t>
      </w:r>
    </w:p>
    <w:bookmarkEnd w:id="93"/>
    <w:bookmarkStart w:id="98" w:name="hasil-training"/>
    <w:p>
      <w:pPr>
        <w:pStyle w:val="Heading2"/>
      </w:pPr>
      <w:r>
        <w:t xml:space="preserve">Hasil Training</w:t>
      </w:r>
    </w:p>
    <w:bookmarkStart w:id="97" w:name="fig:loss_curve"/>
    <w:p>
      <w:pPr>
        <w:pStyle w:val="CaptionedFigure"/>
      </w:pPr>
      <w:r>
        <w:drawing>
          <wp:inline>
            <wp:extent cx="4693920" cy="2323221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s/plot_B5_loss_curv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2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Kurva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(training RMSE per epoch) —</w:t>
      </w:r>
      <w:r>
        <w:t xml:space="preserve"> </w:t>
      </w:r>
      <w:r>
        <w:t xml:space="preserve">Model PCA (biru) konvergen lebih cepat karena input lebih kecil</w:t>
      </w:r>
      <w:r>
        <w:t xml:space="preserve"> </w:t>
      </w:r>
      <w:r>
        <w:t xml:space="preserve">(2 vs 15 fitur); keduanya konvergen baik setelah 300 epoch</w:t>
      </w:r>
    </w:p>
    <w:bookmarkEnd w:id="97"/>
    <w:bookmarkEnd w:id="98"/>
    <w:bookmarkStart w:id="108" w:name="hasil"/>
    <w:p>
      <w:pPr>
        <w:pStyle w:val="Heading2"/>
      </w:pPr>
      <w:r>
        <w:t xml:space="preserve">Hasil</w:t>
      </w:r>
    </w:p>
    <w:bookmarkStart w:id="99" w:name="tab:results"/>
    <w:p>
      <w:pPr>
        <w:pStyle w:val="TableCaption"/>
      </w:pPr>
      <w:r>
        <w:t xml:space="preserve">Perbandingan dua model FD001 (500 epoch, batch 512)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bandingan dua model FD001 (500 epoch, batch 512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NASA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FD001_PCA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PC1, PC2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12,55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FD001_NORM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sensor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929</w:t>
            </w:r>
          </w:p>
        </w:tc>
      </w:tr>
    </w:tbl>
    <w:bookmarkEnd w:id="99"/>
    <w:bookmarkStart w:id="103" w:name="fig:true_pred"/>
    <w:p>
      <w:pPr>
        <w:pStyle w:val="CaptionedFigure"/>
      </w:pPr>
      <w:r>
        <w:drawing>
          <wp:inline>
            <wp:extent cx="4800600" cy="256032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images/plot_B6_true_vs_pred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True vs Predicted RUL untuk 100 mesin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—</w:t>
      </w:r>
      <w:r>
        <w:t xml:space="preserve"> </w:t>
      </w:r>
      <w:r>
        <w:t xml:space="preserve">garis diagonal = prediksi sempurna;</w:t>
      </w:r>
      <w:r>
        <w:t xml:space="preserve"> </w:t>
      </w:r>
      <w:r>
        <w:t xml:space="preserve">titik merah = prediksi</w:t>
      </w:r>
      <w:r>
        <w:t xml:space="preserve"> </w:t>
      </w:r>
      <w:r>
        <w:rPr>
          <w:i/>
          <w:iCs/>
        </w:rPr>
        <w:t xml:space="preserve">late</w:t>
      </w:r>
      <w:r>
        <w:t xml:space="preserve"> </w:t>
      </w:r>
      <w:r>
        <w:t xml:space="preserve">(di atas diagonal),</w:t>
      </w:r>
      <w:r>
        <w:t xml:space="preserve"> </w:t>
      </w:r>
      <w:r>
        <w:t xml:space="preserve">titik biru = prediksi</w:t>
      </w:r>
      <w:r>
        <w:t xml:space="preserve"> </w:t>
      </w:r>
      <w:r>
        <w:rPr>
          <w:i/>
          <w:iCs/>
        </w:rPr>
        <w:t xml:space="preserve">early</w:t>
      </w:r>
      <w:r>
        <w:t xml:space="preserve"> </w:t>
      </w:r>
      <w:r>
        <w:t xml:space="preserve">(di bawah diagonal);</w:t>
      </w:r>
      <w:r>
        <w:t xml:space="preserve"> </w:t>
      </w:r>
      <w:r>
        <w:t xml:space="preserve">pola linear karena target RUL sendiri adalah</w:t>
      </w:r>
      <w:r>
        <w:t xml:space="preserve"> </w:t>
      </w:r>
      <w:r>
        <w:rPr>
          <w:i/>
          <w:iCs/>
        </w:rPr>
        <w:t xml:space="preserve">countdown</w:t>
      </w:r>
      <w:r>
        <w:t xml:space="preserve"> </w:t>
      </w:r>
      <w:r>
        <w:t xml:space="preserve">linear</w:t>
      </w:r>
    </w:p>
    <w:bookmarkEnd w:id="103"/>
    <w:bookmarkStart w:id="107" w:name="fig:error_dist"/>
    <w:p>
      <w:pPr>
        <w:pStyle w:val="CaptionedFigure"/>
      </w:pPr>
      <w:r>
        <w:drawing>
          <wp:inline>
            <wp:extent cx="4693920" cy="2029732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images/plot_B7_error_dis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2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Distribusi error prediksi (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pred</m:t>
        </m:r>
        <m:r>
          <m:rPr>
            <m:sty m:val="p"/>
          </m:rPr>
          <m:t>−</m:t>
        </m:r>
        <m:r>
          <m:rPr>
            <m:nor/>
            <m:sty m:val="p"/>
          </m:rPr>
          <m:t>true</m:t>
        </m:r>
      </m:oMath>
      <w:r>
        <w:t xml:space="preserve">) —</w:t>
      </w:r>
      <w:r>
        <w:t xml:space="preserve"> </w:t>
      </w:r>
      <w:r>
        <w:t xml:space="preserve">distribusi</w:t>
      </w:r>
      <w:r>
        <w:t xml:space="preserve"> </w:t>
      </w:r>
      <w:r>
        <w:rPr>
          <w:i/>
          <w:iCs/>
        </w:rPr>
        <w:t xml:space="preserve">right-skewed</w:t>
      </w:r>
      <w:r>
        <w:t xml:space="preserve"> </w:t>
      </w:r>
      <w:r>
        <w:t xml:space="preserve">menunjukkan bias prediksi</w:t>
      </w:r>
      <w:r>
        <w:t xml:space="preserve"> </w:t>
      </w:r>
      <w:r>
        <w:rPr>
          <w:i/>
          <w:iCs/>
        </w:rPr>
        <w:t xml:space="preserve">late</w:t>
      </w:r>
      <w:r>
        <w:t xml:space="preserve">;</w:t>
      </w:r>
      <w:r>
        <w:t xml:space="preserve"> </w:t>
      </w:r>
      <w:r>
        <w:t xml:space="preserve">Model PCA memiliki distribusi lebih sempit dan bias lebih kecil</w:t>
      </w:r>
    </w:p>
    <w:bookmarkEnd w:id="107"/>
    <w:p>
      <w:pPr>
        <w:pStyle w:val="BodyText"/>
      </w:pPr>
      <w:r>
        <w:t xml:space="preserve">Model PCA mengungguli NORM pada ketiga metrik. Kompresi PCA</w:t>
      </w:r>
      <w:r>
        <w:t xml:space="preserve"> </w:t>
      </w:r>
      <w:r>
        <w:t xml:space="preserve">(82,9% varians dalam 2 komponen) efektif membuang</w:t>
      </w:r>
      <w:r>
        <w:t xml:space="preserve"> </w:t>
      </w:r>
      <w:r>
        <w:rPr>
          <w:i/>
          <w:iCs/>
        </w:rPr>
        <w:t xml:space="preserve">noise</w:t>
      </w:r>
      <w:r>
        <w:t xml:space="preserve"> </w:t>
      </w:r>
      <w:r>
        <w:t xml:space="preserve">pada FD001 yang sederhana (1 kondisi, 1 mode kerusakan).</w:t>
      </w:r>
    </w:p>
    <w:bookmarkEnd w:id="108"/>
    <w:bookmarkEnd w:id="109"/>
    <w:bookmarkStart w:id="127" w:name="analisis-garson"/>
    <w:p>
      <w:pPr>
        <w:pStyle w:val="Heading1"/>
      </w:pPr>
      <w:r>
        <w:t xml:space="preserve">Analisis Garson</w:t>
      </w:r>
    </w:p>
    <w:bookmarkStart w:id="110" w:name="algoritma-garson"/>
    <w:p>
      <w:pPr>
        <w:pStyle w:val="Heading2"/>
      </w:pPr>
      <w:r>
        <w:t xml:space="preserve">Algoritma Garson</w:t>
      </w:r>
    </w:p>
    <w:p>
      <w:pPr>
        <w:pStyle w:val="FirstParagraph"/>
      </w:pPr>
      <w:r>
        <w:t xml:space="preserve">Algoritma Garson</w:t>
      </w:r>
      <w:r>
        <w:t xml:space="preserve"> </w:t>
      </w:r>
      <w:r>
        <w:t xml:space="preserve"> </w:t>
      </w:r>
      <w:r>
        <w:t xml:space="preserve">menghitung kepentingan relatif</w:t>
      </w:r>
      <w:r>
        <w:t xml:space="preserve"> </w:t>
      </w:r>
      <w:r>
        <w:t xml:space="preserve">fitur input berdasarkan bobot jaringan terlatih: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den>
              </m:f>
              <m:r>
                <m:t>&amp;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  <m:e>
              <m:r>
                <m:t>r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s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t>r</m:t>
                  </m:r>
                </m:e>
              </m:nary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</m:e>
            <m:e>
              <m:r>
                <m:rPr>
                  <m:nor/>
                  <m:sty m:val="p"/>
                </m:rPr>
                <m:t>importance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[</m:t>
                  </m:r>
                  <m:r>
                    <m:t>i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s</m:t>
                      </m:r>
                    </m:e>
                  </m:nary>
                  <m:r>
                    <m:rPr>
                      <m:sty m:val="p"/>
                    </m:rPr>
                    <m:t>[</m:t>
                  </m:r>
                  <m:r>
                    <m:t>k</m:t>
                  </m:r>
                  <m:r>
                    <m:rPr>
                      <m:sty m:val="p"/>
                    </m:rPr>
                    <m:t>]</m:t>
                  </m:r>
                </m:den>
              </m:f>
            </m:e>
          </m:eqArr>
        </m:oMath>
      </m:oMathPara>
    </w:p>
    <w:bookmarkEnd w:id="110"/>
    <w:bookmarkStart w:id="115" w:name="hasil-model-pca"/>
    <w:p>
      <w:pPr>
        <w:pStyle w:val="Heading2"/>
      </w:pPr>
      <w:r>
        <w:t xml:space="preserve">Hasil Model PCA</w:t>
      </w:r>
    </w:p>
    <w:bookmarkStart w:id="114" w:name="fig:garson_pca"/>
    <w:p>
      <w:pPr>
        <w:pStyle w:val="CaptionedFigure"/>
      </w:pPr>
      <w:r>
        <w:drawing>
          <wp:inline>
            <wp:extent cx="2773680" cy="1833396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images/plot_C10_garson_pca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833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Kepentingan Garson Model FD001_PCA —</w:t>
      </w:r>
      <w:r>
        <w:t xml:space="preserve"> </w:t>
      </w:r>
      <w:r>
        <w:t xml:space="preserve">PC1 dan PC2 hampir seimbang (51,69% vs 48,31%);</w:t>
      </w:r>
      <w:r>
        <w:t xml:space="preserve"> </w:t>
      </w:r>
      <w:r>
        <w:t xml:space="preserve">kedua komponen sama-sama penting</w:t>
      </w:r>
    </w:p>
    <w:bookmarkEnd w:id="114"/>
    <w:bookmarkEnd w:id="115"/>
    <w:bookmarkStart w:id="120" w:name="hasil-model-norm"/>
    <w:p>
      <w:pPr>
        <w:pStyle w:val="Heading2"/>
      </w:pPr>
      <w:r>
        <w:t xml:space="preserve">Hasil Model NORM</w:t>
      </w:r>
    </w:p>
    <w:bookmarkStart w:id="119" w:name="fig:garson_norm"/>
    <w:p>
      <w:pPr>
        <w:pStyle w:val="CaptionedFigure"/>
      </w:pPr>
      <w:r>
        <w:drawing>
          <wp:inline>
            <wp:extent cx="4693920" cy="3631278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s/plot_C8_garson_norm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631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Kepentingan Garson Model FD001_NORM —</w:t>
      </w:r>
      <w:r>
        <w:t xml:space="preserve"> </w:t>
      </w:r>
      <w:r>
        <w:t xml:space="preserve">P15 mendominasi dengan 22,27% meskipun korelasi Pearson</w:t>
      </w:r>
      <w:r>
        <w:t xml:space="preserve"> </w:t>
      </w:r>
      <w:r>
        <w:t xml:space="preserve">hanya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13</m:t>
        </m:r>
      </m:oMath>
      <w:r>
        <w:t xml:space="preserve">; ANN menemukan sinyal non-linear</w:t>
      </w:r>
    </w:p>
    <w:bookmarkEnd w:id="119"/>
    <w:bookmarkEnd w:id="120"/>
    <w:bookmarkStart w:id="126" w:name="perbandingan-tiga-metode"/>
    <w:p>
      <w:pPr>
        <w:pStyle w:val="Heading2"/>
      </w:pPr>
      <w:r>
        <w:t xml:space="preserve">Perbandingan Tiga Metode</w:t>
      </w:r>
    </w:p>
    <w:bookmarkStart w:id="124" w:name="fig:three_method"/>
    <w:p>
      <w:pPr>
        <w:pStyle w:val="CaptionedFigure"/>
      </w:pPr>
      <w:r>
        <w:drawing>
          <wp:inline>
            <wp:extent cx="5067300" cy="2317378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images/plot_C9_three_method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1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Perbandingan tiga metode seleksi fitur —</w:t>
      </w:r>
      <w:r>
        <w:t xml:space="preserve"> </w:t>
      </w:r>
      <w:r>
        <w:t xml:space="preserve">teal =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Pearson vs RUL</w:t>
      </w:r>
      <m:oMath>
        <m:r>
          <m:rPr>
            <m:sty m:val="p"/>
          </m:rPr>
          <m:t>|</m:t>
        </m:r>
      </m:oMath>
      <w:r>
        <w:t xml:space="preserve">, ungu =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PCA loading</w:t>
      </w:r>
      <m:oMath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merah = Garson; area diarsir = anomali P15 yang hanya</w:t>
      </w:r>
      <w:r>
        <w:t xml:space="preserve"> </w:t>
      </w:r>
      <w:r>
        <w:t xml:space="preserve">terdeteksi oleh Garson</w:t>
      </w:r>
    </w:p>
    <w:bookmarkEnd w:id="124"/>
    <w:bookmarkStart w:id="125" w:name="tab:three_method"/>
    <w:p>
      <w:pPr>
        <w:pStyle w:val="TableCaption"/>
      </w:pPr>
      <w:r>
        <w:t xml:space="preserve">Perbandingan tiga metode untuk sensor pilihan (FD001)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bandingan tiga metode untuk sensor pilihan (FD001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PCA Loading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tinggi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 — penting secara 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tinggi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 — penting secara 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tinggi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 — penting secara 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rendah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22,27%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Anomali</w:t>
            </w:r>
            <w:r>
              <w:t xml:space="preserve"> </w:t>
            </w:r>
            <w:r>
              <w:t xml:space="preserve">— sinyal non-linear terdeteksi ANN</w:t>
            </w:r>
          </w:p>
        </w:tc>
      </w:tr>
    </w:tbl>
    <w:bookmarkEnd w:id="125"/>
    <w:p>
      <w:pPr>
        <w:pStyle w:val="BodyText"/>
      </w:pPr>
      <w:r>
        <w:t xml:space="preserve">Temuan utama: sensor P15 memiliki Pearson rendah dan PCA loading rendah,</w:t>
      </w:r>
      <w:r>
        <w:t xml:space="preserve"> </w:t>
      </w:r>
      <w:r>
        <w:t xml:space="preserve">namun Garson menetapkannya sebagai fitur terpenting (22,27%). ANN</w:t>
      </w:r>
      <w:r>
        <w:t xml:space="preserve"> </w:t>
      </w:r>
      <w:r>
        <w:t xml:space="preserve">mengeksploitasi hubungan non-linear yang tidak terdeteksi oleh</w:t>
      </w:r>
      <w:r>
        <w:t xml:space="preserve"> </w:t>
      </w:r>
      <w:r>
        <w:t xml:space="preserve">dua metode statistik linear.</w:t>
      </w:r>
    </w:p>
    <w:bookmarkEnd w:id="126"/>
    <w:bookmarkEnd w:id="127"/>
    <w:bookmarkStart w:id="128" w:name="kesimpulan"/>
    <w:p>
      <w:pPr>
        <w:pStyle w:val="Heading1"/>
      </w:pPr>
      <w:r>
        <w:t xml:space="preserve">Kesimpulan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Enam sensor dieliminasi</w:t>
      </w:r>
      <w:r>
        <w:t xml:space="preserve"> </w:t>
      </w:r>
      <w:r>
        <w:t xml:space="preserve">karena 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tidak ada variasi maupun korelasi dengan output RUL.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PCA menghasilkan 2 komponen</w:t>
      </w:r>
      <w:r>
        <w:t xml:space="preserve"> </w:t>
      </w:r>
      <w:r>
        <w:t xml:space="preserve">yang menjelaskan 82,9%</w:t>
      </w:r>
      <w:r>
        <w:t xml:space="preserve"> </w:t>
      </w:r>
      <w:r>
        <w:t xml:space="preserve">varians: PC1 = kecepatan mesin, PC2 = kontras tekanan-kecepatan.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Model PCA mengungguli NORM</w:t>
      </w:r>
      <w:r>
        <w:t xml:space="preserve"> </w:t>
      </w:r>
      <w:r>
        <w:t xml:space="preserve">pada FD001:</w:t>
      </w:r>
      <w:r>
        <w:t xml:space="preserve"> </w:t>
      </w:r>
      <w:r>
        <w:t xml:space="preserve">RMSE 17,80 vs 18,21, NASA Score 815 vs 929.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Garson mengungkap sinyal non-linear</w:t>
      </w:r>
      <w:r>
        <w:t xml:space="preserve">:</w:t>
      </w:r>
      <w:r>
        <w:t xml:space="preserve"> </w:t>
      </w:r>
      <w:r>
        <w:t xml:space="preserve">sensor P15 dengan Pearson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13</m:t>
        </m:r>
      </m:oMath>
      <w:r>
        <w:t xml:space="preserve"> </w:t>
      </w:r>
      <w:r>
        <w:t xml:space="preserve">terbukti paling penting</w:t>
      </w:r>
      <w:r>
        <w:t xml:space="preserve"> </w:t>
      </w:r>
      <w:r>
        <w:t xml:space="preserve">menurut ANN (22,27%).</w:t>
      </w:r>
    </w:p>
    <w:p>
      <w:pPr>
        <w:pStyle w:val="FirstParagraph"/>
      </w:pPr>
      <w:r>
        <w:t xml:space="preserve">9</w:t>
      </w:r>
      <w:r>
        <w:t xml:space="preserve"> </w:t>
      </w:r>
      <w:r>
        <w:t xml:space="preserve">A. Saxena, K. Goebel, D. Simon, N. Eklund,</w:t>
      </w:r>
      <w:r>
        <w:t xml:space="preserve"> </w:t>
      </w:r>
      <w:r>
        <w:t xml:space="preserve">“Damage Propagation Modeling for Aircraft Engine Run-to-Failure Simulation,”</w:t>
      </w:r>
      <w:r>
        <w:t xml:space="preserve"> </w:t>
      </w:r>
      <w:r>
        <w:rPr>
          <w:i/>
          <w:iCs/>
        </w:rPr>
        <w:t xml:space="preserve">Proc. 1st Int. Conf. Prognostics and Health Management (PHM08)</w:t>
      </w:r>
      <w:r>
        <w:t xml:space="preserve">,</w:t>
      </w:r>
      <w:r>
        <w:t xml:space="preserve"> </w:t>
      </w:r>
      <w:r>
        <w:t xml:space="preserve">Denver, CO, 2008.</w:t>
      </w:r>
    </w:p>
    <w:p>
      <w:pPr>
        <w:pStyle w:val="BodyText"/>
      </w:pPr>
      <w:r>
        <w:t xml:space="preserve">G.D. Garson,</w:t>
      </w:r>
      <w:r>
        <w:t xml:space="preserve"> </w:t>
      </w:r>
      <w:r>
        <w:t xml:space="preserve">“Interpreting Neural Network Connection Weights,”</w:t>
      </w:r>
      <w:r>
        <w:t xml:space="preserve"> </w:t>
      </w:r>
      <w:r>
        <w:rPr>
          <w:i/>
          <w:iCs/>
        </w:rPr>
        <w:t xml:space="preserve">AI Expert</w:t>
      </w:r>
      <w:r>
        <w:t xml:space="preserve">, vol. 6, no. 4, pp. 46–51, 1991.</w:t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7" Target="media/rId37.png" /><Relationship Type="http://schemas.openxmlformats.org/officeDocument/2006/relationships/image" Id="rId9" Target="media/rId9.png" /><Relationship Type="http://schemas.openxmlformats.org/officeDocument/2006/relationships/image" Id="rId32" Target="media/rId32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88" Target="media/rId88.png" /><Relationship Type="http://schemas.openxmlformats.org/officeDocument/2006/relationships/image" Id="rId83" Target="media/rId83.png" /><Relationship Type="http://schemas.openxmlformats.org/officeDocument/2006/relationships/image" Id="rId47" Target="media/rId47.png" /><Relationship Type="http://schemas.openxmlformats.org/officeDocument/2006/relationships/image" Id="rId77" Target="media/rId77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hyperlink" Id="rId21" Target="https://www.nasa.gov/intelligent-systems-division/discovery-and-systems-health/pcoe/pcoe-data-set-repositor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nasa.gov/intelligent-systems-division/discovery-and-systems-health/pcoe/pcoe-data-set-repositor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2026-05-24T09:04:17Z</dcterms:created>
  <dcterms:modified xsi:type="dcterms:W3CDTF">2026-05-24T09:04:17Z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