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437" w:rsidRDefault="00343437" w:rsidP="00343437">
      <w:pPr>
        <w:pStyle w:val="Heading2"/>
      </w:pPr>
      <w:r>
        <w:t>Liste de gauche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Affichage en colonnes ou en tuiles</w:t>
      </w:r>
      <w:r w:rsidR="005309F3">
        <w:t>.</w:t>
      </w:r>
      <w:bookmarkStart w:id="0" w:name="_GoBack"/>
      <w:bookmarkEnd w:id="0"/>
    </w:p>
    <w:p w:rsidR="005309F3" w:rsidRDefault="005309F3" w:rsidP="005309F3">
      <w:pPr>
        <w:pStyle w:val="ListParagraph"/>
        <w:numPr>
          <w:ilvl w:val="0"/>
          <w:numId w:val="3"/>
        </w:numPr>
      </w:pPr>
      <w:r>
        <w:t>Mise en évidence graphique de certaines fiches (fiche verrouillée, mauvais payeur, facture en rappel, fiche incomplète, etc.).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Tri des données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Filtrage des données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Recherche éclair (recherche immédiate selon contenu affiché)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Filtre éclair (filtrage immédiat selon contenu affiché)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Recherche en profondeur</w:t>
      </w:r>
      <w:r w:rsidR="005309F3">
        <w:t>.</w:t>
      </w:r>
    </w:p>
    <w:p w:rsidR="00343437" w:rsidRDefault="00343437" w:rsidP="005309F3">
      <w:pPr>
        <w:pStyle w:val="ListParagraph"/>
        <w:numPr>
          <w:ilvl w:val="0"/>
          <w:numId w:val="3"/>
        </w:numPr>
      </w:pPr>
      <w:r>
        <w:t>Bandeau dans l’interface graphique</w:t>
      </w:r>
      <w:r w:rsidR="005309F3">
        <w:t>.</w:t>
      </w:r>
    </w:p>
    <w:p w:rsidR="00F516AD" w:rsidRDefault="00F516AD" w:rsidP="00343437">
      <w:pPr>
        <w:pStyle w:val="Heading2"/>
      </w:pPr>
      <w:r>
        <w:t>UI</w:t>
      </w:r>
    </w:p>
    <w:p w:rsidR="00F516AD" w:rsidRDefault="00F516AD" w:rsidP="00C91305">
      <w:pPr>
        <w:pStyle w:val="ListParagraph"/>
        <w:numPr>
          <w:ilvl w:val="0"/>
          <w:numId w:val="3"/>
        </w:numPr>
      </w:pPr>
      <w:r>
        <w:t xml:space="preserve">Permettre d’utiliser </w:t>
      </w:r>
      <w:r w:rsidRPr="00C91305">
        <w:rPr>
          <w:i/>
        </w:rPr>
        <w:t>FreeTextValueArticleParameterDefinition</w:t>
      </w:r>
      <w:r>
        <w:t xml:space="preserve"> dans les définitions d’articles et dans les articles eux-mêmes aussi</w:t>
      </w:r>
      <w:r w:rsidR="004070AF">
        <w:t>, pour créer des articles plus génériques (par ex. «</w:t>
      </w:r>
      <w:r w:rsidR="004070AF" w:rsidRPr="004070AF">
        <w:t> Main d’œuvre »</w:t>
      </w:r>
      <w:r w:rsidR="004070AF">
        <w:t>).</w:t>
      </w:r>
    </w:p>
    <w:p w:rsidR="00343437" w:rsidRDefault="00343437" w:rsidP="00343437">
      <w:pPr>
        <w:pStyle w:val="Heading2"/>
      </w:pPr>
      <w:r>
        <w:t>Technique</w:t>
      </w:r>
    </w:p>
    <w:p w:rsidR="00343437" w:rsidRDefault="00B65FE7" w:rsidP="00C91305">
      <w:pPr>
        <w:pStyle w:val="ListParagraph"/>
        <w:numPr>
          <w:ilvl w:val="0"/>
          <w:numId w:val="3"/>
        </w:numPr>
      </w:pPr>
      <w:r>
        <w:t xml:space="preserve">Modifier </w:t>
      </w:r>
      <w:r w:rsidRPr="00B65FE7">
        <w:rPr>
          <w:i/>
        </w:rPr>
        <w:t>NavigationPath</w:t>
      </w:r>
      <w:r>
        <w:t xml:space="preserve"> et </w:t>
      </w:r>
      <w:r>
        <w:rPr>
          <w:i/>
        </w:rPr>
        <w:t>NavigationOrcherstrator</w:t>
      </w:r>
      <w:r>
        <w:t xml:space="preserve"> pour pouvoir o</w:t>
      </w:r>
      <w:r w:rsidR="00343437" w:rsidRPr="00B65FE7">
        <w:t>btenir</w:t>
      </w:r>
      <w:r w:rsidR="00343437">
        <w:t xml:space="preserve"> le chemin vers </w:t>
      </w:r>
      <w:r>
        <w:t>la</w:t>
      </w:r>
      <w:r w:rsidR="00343437">
        <w:t xml:space="preserve"> tuile et </w:t>
      </w:r>
      <w:r>
        <w:t>le</w:t>
      </w:r>
      <w:r w:rsidR="00343437">
        <w:t xml:space="preserve"> champ en </w:t>
      </w:r>
      <w:r>
        <w:t>cours d’</w:t>
      </w:r>
      <w:r w:rsidR="00343437">
        <w:t>édition</w:t>
      </w:r>
      <w:r>
        <w:t xml:space="preserve">, puis permettre de naviguer vers ce champ par programmation à partir d’une spécification de </w:t>
      </w:r>
      <w:r>
        <w:rPr>
          <w:i/>
        </w:rPr>
        <w:t>NavigationPath</w:t>
      </w:r>
      <w:r>
        <w:t>.</w:t>
      </w:r>
    </w:p>
    <w:p w:rsidR="00343437" w:rsidRPr="00293C28" w:rsidRDefault="00293C28" w:rsidP="00C91305">
      <w:pPr>
        <w:pStyle w:val="ListParagraph"/>
        <w:numPr>
          <w:ilvl w:val="0"/>
          <w:numId w:val="3"/>
        </w:numPr>
      </w:pPr>
      <w:r>
        <w:t xml:space="preserve">Notion de données </w:t>
      </w:r>
      <w:r w:rsidRPr="005309F3">
        <w:rPr>
          <w:i/>
        </w:rPr>
        <w:t>modèles</w:t>
      </w:r>
      <w:r>
        <w:t xml:space="preserve"> et mise à jour de celles-ci chez le client.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Persister un document tel qu</w:t>
      </w:r>
      <w:r w:rsidR="00B65FE7">
        <w:t>’il serait</w:t>
      </w:r>
      <w:r>
        <w:t xml:space="preserve"> imprimé (pour le réafficher une fois qu’il a été verrouillé)</w:t>
      </w:r>
      <w:r w:rsidR="00AE2463">
        <w:t>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 xml:space="preserve">Permettre une édition </w:t>
      </w:r>
      <w:r w:rsidRPr="005309F3">
        <w:rPr>
          <w:i/>
        </w:rPr>
        <w:t>multi contexte</w:t>
      </w:r>
      <w:r>
        <w:t xml:space="preserve"> en fonction du groupe d’entités en cours d’édition.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 xml:space="preserve">Compléter </w:t>
      </w:r>
      <w:r w:rsidRPr="005309F3">
        <w:rPr>
          <w:i/>
        </w:rPr>
        <w:t>ValidationResult</w:t>
      </w:r>
      <w:r>
        <w:t xml:space="preserve"> pour inclure un moyen d’identifier le champ concerné. Et avoir un message explicatif clair.</w:t>
      </w:r>
    </w:p>
    <w:p w:rsidR="005309F3" w:rsidRPr="005309F3" w:rsidRDefault="005309F3" w:rsidP="00C91305">
      <w:pPr>
        <w:pStyle w:val="ListParagraph"/>
        <w:numPr>
          <w:ilvl w:val="0"/>
          <w:numId w:val="3"/>
        </w:numPr>
      </w:pPr>
      <w:r>
        <w:t xml:space="preserve">Le </w:t>
      </w:r>
      <w:r w:rsidRPr="005309F3">
        <w:rPr>
          <w:i/>
        </w:rPr>
        <w:t>lock</w:t>
      </w:r>
      <w:r>
        <w:t xml:space="preserve"> au niveau du </w:t>
      </w:r>
      <w:r w:rsidRPr="005309F3">
        <w:rPr>
          <w:i/>
        </w:rPr>
        <w:t>business context</w:t>
      </w:r>
      <w:r>
        <w:t xml:space="preserve"> doit garantir que les entités en mémoire sont bien à jour par rapport à la base de données.</w:t>
      </w:r>
    </w:p>
    <w:p w:rsidR="00AE2463" w:rsidRDefault="00AE2463" w:rsidP="00343437">
      <w:pPr>
        <w:pStyle w:val="Heading2"/>
      </w:pPr>
      <w:r>
        <w:t>Workflows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Définir les actions : implémentation &amp; mise à disposition de la liste des actions pour le designer.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Transitions de plusieurs types : actions, mais aussi </w:t>
      </w:r>
      <w:r w:rsidRPr="005309F3">
        <w:rPr>
          <w:i/>
        </w:rPr>
        <w:t>événements</w:t>
      </w:r>
      <w:r>
        <w:t xml:space="preserve"> et </w:t>
      </w:r>
      <w:r w:rsidRPr="005309F3">
        <w:rPr>
          <w:i/>
        </w:rPr>
        <w:t>interruptions</w:t>
      </w:r>
      <w:r>
        <w:t>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 xml:space="preserve">Transitions « omniprésentes » : pour éviter de devoir spécifier une transition possible depuis chaque nœud du graphe (par ex. pour </w:t>
      </w:r>
      <w:r w:rsidRPr="005309F3">
        <w:rPr>
          <w:i/>
        </w:rPr>
        <w:t>suspendre</w:t>
      </w:r>
      <w:r>
        <w:t xml:space="preserve"> ou </w:t>
      </w:r>
      <w:r w:rsidRPr="005309F3">
        <w:rPr>
          <w:i/>
        </w:rPr>
        <w:t>avorter</w:t>
      </w:r>
      <w:r>
        <w:t xml:space="preserve"> un processus).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Compléter le panneau des actions disponibles.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Associer des conditions pour l’</w:t>
      </w:r>
      <w:r w:rsidRPr="005309F3">
        <w:rPr>
          <w:i/>
        </w:rPr>
        <w:t>enable</w:t>
      </w:r>
      <w:r>
        <w:t xml:space="preserve"> pour les transitions.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Associer des triggers sur des transitions (pour gérer des événements automatiques).</w:t>
      </w:r>
    </w:p>
    <w:p w:rsidR="00AE2463" w:rsidRPr="00AE2463" w:rsidRDefault="00AE2463" w:rsidP="00C91305">
      <w:pPr>
        <w:pStyle w:val="ListParagraph"/>
        <w:numPr>
          <w:ilvl w:val="0"/>
          <w:numId w:val="3"/>
        </w:numPr>
      </w:pPr>
      <w:r>
        <w:t xml:space="preserve">Return d’un nœud doit pouvoir exécuter une continuation plutôt que de revenir simplement sur le nœud de départ : spécifier un nœud de retour explicite au moment du </w:t>
      </w:r>
      <w:r w:rsidRPr="005309F3">
        <w:rPr>
          <w:i/>
        </w:rPr>
        <w:t>call</w:t>
      </w:r>
      <w:r>
        <w:t>.</w:t>
      </w:r>
    </w:p>
    <w:p w:rsidR="004000E0" w:rsidRDefault="004000E0" w:rsidP="00343437">
      <w:pPr>
        <w:pStyle w:val="Heading2"/>
      </w:pPr>
      <w:r>
        <w:t>Facturation, prix, TVA, comptabilisation</w:t>
      </w:r>
    </w:p>
    <w:p w:rsidR="004000E0" w:rsidRDefault="004000E0" w:rsidP="00C91305">
      <w:pPr>
        <w:pStyle w:val="ListParagraph"/>
        <w:numPr>
          <w:ilvl w:val="0"/>
          <w:numId w:val="3"/>
        </w:numPr>
      </w:pPr>
      <w:r>
        <w:t xml:space="preserve">Vente en monnaie étrangère : enregistrer le taux (au moyen de </w:t>
      </w:r>
      <w:r w:rsidRPr="005309F3">
        <w:rPr>
          <w:i/>
        </w:rPr>
        <w:t>Currency</w:t>
      </w:r>
      <w:r>
        <w:t xml:space="preserve"> et </w:t>
      </w:r>
      <w:r w:rsidRPr="005309F3">
        <w:rPr>
          <w:i/>
        </w:rPr>
        <w:t>ExchangeRateSource</w:t>
      </w:r>
      <w:r>
        <w:t>) associé et passer en comptabilité le montant en CHF uniquement (compte en CHF) ou le montant en monnaie étrangère + montant en CHF + taux utilisé.</w:t>
      </w:r>
    </w:p>
    <w:p w:rsidR="004000E0" w:rsidRDefault="004000E0" w:rsidP="00C91305">
      <w:pPr>
        <w:pStyle w:val="ListParagraph"/>
        <w:numPr>
          <w:ilvl w:val="0"/>
          <w:numId w:val="3"/>
        </w:numPr>
      </w:pPr>
      <w:r>
        <w:t xml:space="preserve">Transport soumis en partie seulement à la TVA (par ex. transport jusqu’à la frontière). </w:t>
      </w:r>
      <w:r w:rsidRPr="005309F3">
        <w:rPr>
          <w:i/>
        </w:rPr>
        <w:t>Il suffit de facturer les deux parts séparément, une fois soumis à la TVA, une fois pour l’export</w:t>
      </w:r>
      <w:r>
        <w:t>.</w:t>
      </w:r>
    </w:p>
    <w:p w:rsidR="004000E0" w:rsidRDefault="004000E0" w:rsidP="00C91305">
      <w:pPr>
        <w:pStyle w:val="ListParagraph"/>
        <w:numPr>
          <w:ilvl w:val="0"/>
          <w:numId w:val="3"/>
        </w:numPr>
      </w:pPr>
      <w:r>
        <w:t xml:space="preserve">Revoir </w:t>
      </w:r>
      <w:r w:rsidRPr="005309F3">
        <w:rPr>
          <w:i/>
        </w:rPr>
        <w:t>GetArticleVatRate</w:t>
      </w:r>
      <w:r>
        <w:t>.</w:t>
      </w:r>
    </w:p>
    <w:p w:rsidR="004000E0" w:rsidRDefault="004000E0" w:rsidP="00C91305">
      <w:pPr>
        <w:pStyle w:val="ListParagraph"/>
        <w:numPr>
          <w:ilvl w:val="0"/>
          <w:numId w:val="3"/>
        </w:numPr>
      </w:pPr>
      <w:r>
        <w:t xml:space="preserve">Le code TVA appliqué lors de l’achat de marchandises (ou de prestations) peut être de type </w:t>
      </w:r>
      <w:r w:rsidRPr="005309F3">
        <w:rPr>
          <w:i/>
        </w:rPr>
        <w:t>investissement</w:t>
      </w:r>
      <w:r>
        <w:t xml:space="preserve"> ou </w:t>
      </w:r>
      <w:r w:rsidRPr="005309F3">
        <w:rPr>
          <w:i/>
        </w:rPr>
        <w:t>marchandise</w:t>
      </w:r>
      <w:r>
        <w:t>, avec néanmoins une préférence pour l’un ou pour l’autre.</w:t>
      </w:r>
    </w:p>
    <w:p w:rsidR="004000E0" w:rsidRDefault="004000E0" w:rsidP="00C91305">
      <w:pPr>
        <w:pStyle w:val="ListParagraph"/>
        <w:numPr>
          <w:ilvl w:val="0"/>
          <w:numId w:val="3"/>
        </w:numPr>
      </w:pPr>
      <w:r>
        <w:lastRenderedPageBreak/>
        <w:t>Tenir compte des montants encaissés en déduction (acomptes reçus). Comment gérer les cas où la facture finale comporte plusieurs taux TVA ? Acomptes en fonction de la tranche temporelle considérée (pour tenir compte des</w:t>
      </w:r>
      <w:r w:rsidR="00735560">
        <w:t xml:space="preserve"> éventuels changements de taux) ?</w:t>
      </w:r>
    </w:p>
    <w:p w:rsidR="00735560" w:rsidRDefault="00735560" w:rsidP="00C91305">
      <w:pPr>
        <w:pStyle w:val="ListParagraph"/>
        <w:numPr>
          <w:ilvl w:val="0"/>
          <w:numId w:val="3"/>
        </w:numPr>
      </w:pPr>
      <w:r>
        <w:t>Groupes d’articles à plusieurs niveaux avec sous-totaux, rabais de sous-totaux, etc.</w:t>
      </w:r>
    </w:p>
    <w:p w:rsidR="00735560" w:rsidRDefault="00735560" w:rsidP="00C91305">
      <w:pPr>
        <w:pStyle w:val="ListParagraph"/>
        <w:numPr>
          <w:ilvl w:val="0"/>
          <w:numId w:val="3"/>
        </w:numPr>
      </w:pPr>
      <w:r>
        <w:t xml:space="preserve">Calculateur de prix selon tabelle des prix externe et pouvant tenir compte d’éventuelles options (par ex. </w:t>
      </w:r>
      <w:r w:rsidRPr="005309F3">
        <w:rPr>
          <w:i/>
        </w:rPr>
        <w:t>poignée brodée</w:t>
      </w:r>
      <w:r>
        <w:t>).</w:t>
      </w:r>
    </w:p>
    <w:p w:rsidR="00735560" w:rsidRDefault="00735560" w:rsidP="00C91305">
      <w:pPr>
        <w:pStyle w:val="ListParagraph"/>
        <w:numPr>
          <w:ilvl w:val="0"/>
          <w:numId w:val="3"/>
        </w:numPr>
      </w:pPr>
      <w:r>
        <w:t xml:space="preserve">Mise à jour </w:t>
      </w:r>
      <w:r w:rsidRPr="005309F3">
        <w:rPr>
          <w:i/>
        </w:rPr>
        <w:t>live</w:t>
      </w:r>
      <w:r>
        <w:t xml:space="preserve"> du total de la facture en cours d’édition.</w:t>
      </w:r>
    </w:p>
    <w:p w:rsidR="009A6357" w:rsidRPr="00735560" w:rsidRDefault="009A6357" w:rsidP="00C91305">
      <w:pPr>
        <w:pStyle w:val="ListParagraph"/>
        <w:numPr>
          <w:ilvl w:val="0"/>
          <w:numId w:val="3"/>
        </w:numPr>
      </w:pPr>
      <w:r>
        <w:t>Calcul du (ou des) taux TVA applicables en cas d’escompte.</w:t>
      </w:r>
    </w:p>
    <w:p w:rsidR="00343437" w:rsidRDefault="00343437" w:rsidP="00343437">
      <w:pPr>
        <w:pStyle w:val="Heading2"/>
      </w:pPr>
      <w:r>
        <w:t>Notions manquantes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Collaborateurs</w:t>
      </w:r>
      <w:r w:rsidR="00580887">
        <w:t>.</w:t>
      </w:r>
    </w:p>
    <w:p w:rsidR="00293C28" w:rsidRPr="00293C28" w:rsidRDefault="00293C28" w:rsidP="00C91305">
      <w:pPr>
        <w:pStyle w:val="ListParagraph"/>
        <w:numPr>
          <w:ilvl w:val="0"/>
          <w:numId w:val="3"/>
        </w:numPr>
      </w:pPr>
      <w:r>
        <w:t xml:space="preserve">Catégorie de client commercial : </w:t>
      </w:r>
      <w:r w:rsidRPr="005309F3">
        <w:rPr>
          <w:i/>
        </w:rPr>
        <w:t>hôtelier</w:t>
      </w:r>
      <w:r>
        <w:t xml:space="preserve">, </w:t>
      </w:r>
      <w:r w:rsidRPr="005309F3">
        <w:rPr>
          <w:i/>
        </w:rPr>
        <w:t>EMS</w:t>
      </w:r>
      <w:r>
        <w:t xml:space="preserve">, </w:t>
      </w:r>
      <w:r w:rsidRPr="005309F3">
        <w:rPr>
          <w:i/>
        </w:rPr>
        <w:t>décorateur</w:t>
      </w:r>
      <w:r>
        <w:t xml:space="preserve">, </w:t>
      </w:r>
      <w:r w:rsidRPr="005309F3">
        <w:rPr>
          <w:i/>
        </w:rPr>
        <w:t>magasin</w:t>
      </w:r>
      <w:r>
        <w:t>.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Personnes de contact pour une entreprise</w:t>
      </w:r>
      <w:r w:rsidR="00580887">
        <w:t>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Région géographique de vente.</w:t>
      </w:r>
    </w:p>
    <w:p w:rsidR="00343437" w:rsidRDefault="00580887" w:rsidP="00C91305">
      <w:pPr>
        <w:pStyle w:val="ListParagraph"/>
        <w:numPr>
          <w:ilvl w:val="0"/>
          <w:numId w:val="3"/>
        </w:numPr>
      </w:pPr>
      <w:r>
        <w:t>Lien entre collaborateur et dossiers.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Lien entre collaborateur et clients.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Réglages par utilisateur.</w:t>
      </w:r>
    </w:p>
    <w:p w:rsidR="00F516AD" w:rsidRDefault="00F516AD" w:rsidP="00C91305">
      <w:pPr>
        <w:pStyle w:val="ListParagraph"/>
        <w:numPr>
          <w:ilvl w:val="0"/>
          <w:numId w:val="3"/>
        </w:numPr>
      </w:pPr>
      <w:r>
        <w:t>Favoris (par utilisateur), par exemple pour les articles.</w:t>
      </w:r>
    </w:p>
    <w:p w:rsidR="00AE2463" w:rsidRDefault="00AE2463" w:rsidP="00C91305">
      <w:pPr>
        <w:pStyle w:val="ListParagraph"/>
        <w:numPr>
          <w:ilvl w:val="0"/>
          <w:numId w:val="3"/>
        </w:numPr>
      </w:pPr>
      <w:r>
        <w:t>Rôles.</w:t>
      </w:r>
    </w:p>
    <w:p w:rsidR="00343437" w:rsidRDefault="00343437" w:rsidP="00343437">
      <w:pPr>
        <w:pStyle w:val="Heading2"/>
      </w:pPr>
      <w:r>
        <w:t>Interrogations</w:t>
      </w:r>
    </w:p>
    <w:p w:rsidR="00F516AD" w:rsidRPr="00580887" w:rsidRDefault="00F516AD" w:rsidP="00C91305">
      <w:pPr>
        <w:pStyle w:val="ListParagraph"/>
        <w:numPr>
          <w:ilvl w:val="0"/>
          <w:numId w:val="3"/>
        </w:numPr>
      </w:pPr>
      <w:r>
        <w:t xml:space="preserve">Faut-il regrouper les notions de </w:t>
      </w:r>
      <w:r w:rsidRPr="005309F3">
        <w:rPr>
          <w:i/>
        </w:rPr>
        <w:t>PersonTitle</w:t>
      </w:r>
      <w:r>
        <w:t xml:space="preserve"> et de </w:t>
      </w:r>
      <w:r w:rsidRPr="005309F3">
        <w:rPr>
          <w:i/>
        </w:rPr>
        <w:t>PersonGender</w:t>
      </w:r>
      <w:r>
        <w:t xml:space="preserve"> dans la même entité ?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Faut-il des articles révisionnés ?</w:t>
      </w:r>
    </w:p>
    <w:p w:rsidR="00343437" w:rsidRPr="00AE2463" w:rsidRDefault="00AE2463" w:rsidP="00C91305">
      <w:pPr>
        <w:pStyle w:val="ListParagraph"/>
        <w:numPr>
          <w:ilvl w:val="0"/>
          <w:numId w:val="3"/>
        </w:numPr>
      </w:pPr>
      <w:r>
        <w:t xml:space="preserve">Faut-il rendre le save totalement transparent ? Et supprimer du coup la notion de </w:t>
      </w:r>
      <w:r w:rsidRPr="005309F3">
        <w:rPr>
          <w:i/>
        </w:rPr>
        <w:t>reject</w:t>
      </w:r>
      <w:r>
        <w:t xml:space="preserve"> dans la mesure où on devrait avoir un </w:t>
      </w:r>
      <w:r w:rsidRPr="005309F3">
        <w:rPr>
          <w:i/>
        </w:rPr>
        <w:t>undo</w:t>
      </w:r>
      <w:r>
        <w:t xml:space="preserve"> et </w:t>
      </w:r>
      <w:r w:rsidRPr="005309F3">
        <w:rPr>
          <w:i/>
        </w:rPr>
        <w:t>redo</w:t>
      </w:r>
      <w:r>
        <w:t xml:space="preserve"> performant ?</w:t>
      </w:r>
    </w:p>
    <w:p w:rsidR="00343437" w:rsidRDefault="00343437" w:rsidP="00343437">
      <w:pPr>
        <w:pStyle w:val="Heading2"/>
      </w:pPr>
      <w:r>
        <w:t>Bugs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Lors de l’édition d’une adresse d’entreprise, le drop-down ne se peuple pas correctement.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 xml:space="preserve">Création d’entités dans un DataContext </w:t>
      </w:r>
      <w:r w:rsidRPr="005309F3">
        <w:rPr>
          <w:i/>
        </w:rPr>
        <w:t>long lived</w:t>
      </w:r>
      <w:r>
        <w:t>.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HintEditor : clic pour sélectionner.</w:t>
      </w:r>
    </w:p>
    <w:p w:rsidR="00343437" w:rsidRDefault="00343437" w:rsidP="00C91305">
      <w:pPr>
        <w:pStyle w:val="ListParagraph"/>
        <w:numPr>
          <w:ilvl w:val="0"/>
          <w:numId w:val="3"/>
        </w:numPr>
      </w:pPr>
      <w:r>
        <w:t>HintEditor : fermer le menu si on déplace la fenêtre.</w:t>
      </w:r>
    </w:p>
    <w:p w:rsidR="00343437" w:rsidRPr="005309F3" w:rsidRDefault="00343437" w:rsidP="00C91305">
      <w:pPr>
        <w:pStyle w:val="ListParagraph"/>
        <w:numPr>
          <w:ilvl w:val="0"/>
          <w:numId w:val="3"/>
        </w:numPr>
        <w:rPr>
          <w:lang w:val="en-US"/>
        </w:rPr>
      </w:pPr>
      <w:r w:rsidRPr="005309F3">
        <w:rPr>
          <w:lang w:val="en-US"/>
        </w:rPr>
        <w:t>HintEditor : vérifier SetKey/GetKey et INamedStringSelection.</w:t>
      </w:r>
    </w:p>
    <w:p w:rsidR="00343437" w:rsidRPr="00343437" w:rsidRDefault="00343437" w:rsidP="00C91305">
      <w:pPr>
        <w:pStyle w:val="ListParagraph"/>
        <w:numPr>
          <w:ilvl w:val="0"/>
          <w:numId w:val="3"/>
        </w:numPr>
      </w:pPr>
      <w:r w:rsidRPr="00343437">
        <w:t>Le r</w:t>
      </w:r>
      <w:r>
        <w:t>ô</w:t>
      </w:r>
      <w:r w:rsidRPr="00343437">
        <w:t>le d’un t</w:t>
      </w:r>
      <w:r>
        <w:t>é</w:t>
      </w:r>
      <w:r w:rsidRPr="00343437">
        <w:t>l</w:t>
      </w:r>
      <w:r>
        <w:t>é</w:t>
      </w:r>
      <w:r w:rsidRPr="00343437">
        <w:t>phone ne se met pas correctement à jour.</w:t>
      </w:r>
    </w:p>
    <w:p w:rsidR="00343437" w:rsidRDefault="001002EE" w:rsidP="00C91305">
      <w:pPr>
        <w:pStyle w:val="ListParagraph"/>
        <w:numPr>
          <w:ilvl w:val="0"/>
          <w:numId w:val="3"/>
        </w:numPr>
      </w:pPr>
      <w:r>
        <w:t>Le bouton [-] ne doit pas supprimer une entité, mais marquer celle-ci comme archivée.</w:t>
      </w:r>
    </w:p>
    <w:p w:rsidR="001002EE" w:rsidRDefault="001002EE" w:rsidP="00C91305">
      <w:pPr>
        <w:pStyle w:val="ListParagraph"/>
        <w:numPr>
          <w:ilvl w:val="0"/>
          <w:numId w:val="3"/>
        </w:numPr>
      </w:pPr>
      <w:r>
        <w:t>ESC annule trop dans un champ éditable où les boutons [v][x] sont visibles.</w:t>
      </w:r>
    </w:p>
    <w:p w:rsidR="001002EE" w:rsidRDefault="001002EE" w:rsidP="00C91305">
      <w:pPr>
        <w:pStyle w:val="ListParagraph"/>
        <w:numPr>
          <w:ilvl w:val="0"/>
          <w:numId w:val="3"/>
        </w:numPr>
      </w:pPr>
      <w:r>
        <w:t>Crésus Designer : crash si on tente d’ouvrir un module qui a des dépendances vers d’autres modules non chargés.</w:t>
      </w:r>
    </w:p>
    <w:p w:rsidR="001002EE" w:rsidRDefault="00580887" w:rsidP="00580887">
      <w:pPr>
        <w:pStyle w:val="Heading2"/>
      </w:pPr>
      <w:r>
        <w:t>Business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Produire une facture avec deux BVR (0% d’escompte à 30 jours, 2% d’escompte à 10 jours).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Imprimer les BVR sur des pages séparées avec message publicitaire pour remplir la partie blanche de la page A4 concernée.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 xml:space="preserve">Compléter les </w:t>
      </w:r>
      <w:r w:rsidRPr="005309F3">
        <w:rPr>
          <w:i/>
        </w:rPr>
        <w:t>UnitOfMeasure</w:t>
      </w:r>
      <w:r>
        <w:t xml:space="preserve"> et </w:t>
      </w:r>
      <w:r w:rsidRPr="005309F3">
        <w:rPr>
          <w:i/>
        </w:rPr>
        <w:t>UnitOfMeasureCategory</w:t>
      </w:r>
      <w:r>
        <w:t>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Produire un ordre de fabrication récapitulatif, englobant tous les ateliers.</w:t>
      </w:r>
    </w:p>
    <w:p w:rsidR="00580887" w:rsidRDefault="00580887" w:rsidP="00C91305">
      <w:pPr>
        <w:pStyle w:val="ListParagraph"/>
        <w:numPr>
          <w:ilvl w:val="0"/>
          <w:numId w:val="3"/>
        </w:numPr>
      </w:pPr>
      <w:r>
        <w:t>Gérer plusieurs entreprises avec un même jeu de données (clients/collaborateurs/factures/…).</w:t>
      </w:r>
    </w:p>
    <w:p w:rsidR="00580887" w:rsidRDefault="00293C28" w:rsidP="00C91305">
      <w:pPr>
        <w:pStyle w:val="ListParagraph"/>
        <w:numPr>
          <w:ilvl w:val="0"/>
          <w:numId w:val="3"/>
        </w:numPr>
      </w:pPr>
      <w:r>
        <w:t xml:space="preserve">Définir un logo, papier à lettre, etc. selon les </w:t>
      </w:r>
      <w:r w:rsidRPr="005309F3">
        <w:rPr>
          <w:i/>
        </w:rPr>
        <w:t>BusinessSettings</w:t>
      </w:r>
      <w:r>
        <w:t>.</w:t>
      </w:r>
    </w:p>
    <w:p w:rsidR="005309F3" w:rsidRDefault="005309F3" w:rsidP="005309F3">
      <w:pPr>
        <w:pStyle w:val="Heading2"/>
      </w:pPr>
      <w:r>
        <w:t>Développements à plus long terme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>LSV et débit direct. ISO 20022 (</w:t>
      </w:r>
      <w:hyperlink r:id="rId8" w:history="1">
        <w:r w:rsidRPr="00F96613">
          <w:rPr>
            <w:rStyle w:val="Hyperlink"/>
          </w:rPr>
          <w:t>www.iso-payments.ch</w:t>
        </w:r>
      </w:hyperlink>
      <w:r>
        <w:t>), pain.001 (ordre de paiement) et pain.002 (procès-verbal de traitement). Cf. « Actualités de PostFinance » de novembre 2010.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>Calendrier pour planification.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 xml:space="preserve">Stockage du logiciel et de ses composants dans la base de données (un </w:t>
      </w:r>
      <w:r w:rsidRPr="005309F3">
        <w:rPr>
          <w:i/>
        </w:rPr>
        <w:t>bootstrapper</w:t>
      </w:r>
      <w:r>
        <w:t xml:space="preserve"> extrait les binaires du serveur avant de démarrer l’application réelle).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>Aide.</w:t>
      </w:r>
    </w:p>
    <w:p w:rsidR="005309F3" w:rsidRDefault="005309F3" w:rsidP="00C91305">
      <w:pPr>
        <w:pStyle w:val="ListParagraph"/>
        <w:numPr>
          <w:ilvl w:val="0"/>
          <w:numId w:val="3"/>
        </w:numPr>
      </w:pPr>
      <w:r>
        <w:t>Automatisation des tests.</w:t>
      </w:r>
    </w:p>
    <w:p w:rsidR="008366A5" w:rsidRDefault="008366A5" w:rsidP="008366A5">
      <w:pPr>
        <w:pStyle w:val="Heading2"/>
      </w:pPr>
      <w:r>
        <w:t>À valider</w:t>
      </w:r>
    </w:p>
    <w:p w:rsidR="008366A5" w:rsidRPr="00293C28" w:rsidRDefault="008366A5" w:rsidP="00C91305">
      <w:pPr>
        <w:pStyle w:val="ListParagraph"/>
        <w:numPr>
          <w:ilvl w:val="0"/>
          <w:numId w:val="3"/>
        </w:numPr>
      </w:pPr>
      <w:r>
        <w:t xml:space="preserve">Les entités </w:t>
      </w:r>
      <w:r w:rsidRPr="005309F3">
        <w:rPr>
          <w:i/>
        </w:rPr>
        <w:t>Relation</w:t>
      </w:r>
      <w:r>
        <w:t xml:space="preserve">, </w:t>
      </w:r>
      <w:r w:rsidRPr="0069258F">
        <w:rPr>
          <w:i/>
        </w:rPr>
        <w:t>Affair</w:t>
      </w:r>
      <w:r>
        <w:t xml:space="preserve">, et </w:t>
      </w:r>
      <w:r w:rsidRPr="0069258F">
        <w:rPr>
          <w:i/>
        </w:rPr>
        <w:t>ArticleDefinition</w:t>
      </w:r>
      <w:r>
        <w:t xml:space="preserve"> </w:t>
      </w:r>
      <w:r>
        <w:t xml:space="preserve">ont été complétées </w:t>
      </w:r>
      <w:r>
        <w:t xml:space="preserve">avec </w:t>
      </w:r>
      <w:r w:rsidRPr="002F68BC">
        <w:rPr>
          <w:i/>
        </w:rPr>
        <w:t>IBusinessLink</w:t>
      </w:r>
      <w:r>
        <w:t xml:space="preserve"> </w:t>
      </w:r>
      <w:r w:rsidRPr="002F68BC">
        <w:t>pour</w:t>
      </w:r>
      <w:r>
        <w:t xml:space="preserve"> permettre de gérer plusieurs sociétés (il peut y avoir plusieurs </w:t>
      </w:r>
      <w:r w:rsidRPr="005309F3">
        <w:rPr>
          <w:i/>
        </w:rPr>
        <w:t>BusinessSettings</w:t>
      </w:r>
      <w:r>
        <w:t>).</w:t>
      </w:r>
      <w:r>
        <w:br/>
      </w:r>
      <w:r>
        <w:t>Reste à voir comment cela affectera ensuite la comptabilisation (une compta par société ?).</w:t>
      </w:r>
    </w:p>
    <w:p w:rsidR="005309F3" w:rsidRDefault="005309F3"/>
    <w:sectPr w:rsidR="005309F3" w:rsidSect="005309F3">
      <w:footerReference w:type="default" r:id="rId9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2DC" w:rsidRDefault="001A12DC" w:rsidP="005309F3">
      <w:pPr>
        <w:spacing w:after="0" w:line="240" w:lineRule="auto"/>
      </w:pPr>
      <w:r>
        <w:separator/>
      </w:r>
    </w:p>
  </w:endnote>
  <w:endnote w:type="continuationSeparator" w:id="0">
    <w:p w:rsidR="001A12DC" w:rsidRDefault="001A12DC" w:rsidP="00530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9F3" w:rsidRPr="005309F3" w:rsidRDefault="005309F3">
    <w:pPr>
      <w:pStyle w:val="Footer"/>
      <w:rPr>
        <w:lang w:val="en-US"/>
      </w:rPr>
    </w:pPr>
    <w:r w:rsidRPr="005309F3">
      <w:rPr>
        <w:sz w:val="18"/>
      </w:rPr>
      <w:t>To do list, novembre 2010</w:t>
    </w:r>
    <w:r>
      <w:ptab w:relativeTo="margin" w:alignment="center" w:leader="none"/>
    </w:r>
    <w:r>
      <w:t xml:space="preserve">— </w:t>
    </w:r>
    <w:r>
      <w:fldChar w:fldCharType="begin"/>
    </w:r>
    <w:r>
      <w:instrText xml:space="preserve"> PAGE  \* Arabic  \* MERGEFORMAT </w:instrText>
    </w:r>
    <w:r>
      <w:fldChar w:fldCharType="separate"/>
    </w:r>
    <w:r w:rsidR="001A12DC">
      <w:rPr>
        <w:noProof/>
      </w:rPr>
      <w:t>1</w:t>
    </w:r>
    <w:r>
      <w:fldChar w:fldCharType="end"/>
    </w:r>
    <w: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2DC" w:rsidRDefault="001A12DC" w:rsidP="005309F3">
      <w:pPr>
        <w:spacing w:after="0" w:line="240" w:lineRule="auto"/>
      </w:pPr>
      <w:r>
        <w:separator/>
      </w:r>
    </w:p>
  </w:footnote>
  <w:footnote w:type="continuationSeparator" w:id="0">
    <w:p w:rsidR="001A12DC" w:rsidRDefault="001A12DC" w:rsidP="00530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1AB"/>
    <w:multiLevelType w:val="hybridMultilevel"/>
    <w:tmpl w:val="7722E5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A7344"/>
    <w:multiLevelType w:val="hybridMultilevel"/>
    <w:tmpl w:val="F0C65A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B16A4"/>
    <w:multiLevelType w:val="hybridMultilevel"/>
    <w:tmpl w:val="AAE0F4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53CA9"/>
    <w:multiLevelType w:val="hybridMultilevel"/>
    <w:tmpl w:val="CB4A8A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9040C"/>
    <w:multiLevelType w:val="hybridMultilevel"/>
    <w:tmpl w:val="D7C435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318B6"/>
    <w:multiLevelType w:val="hybridMultilevel"/>
    <w:tmpl w:val="75B28F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34C5D"/>
    <w:multiLevelType w:val="hybridMultilevel"/>
    <w:tmpl w:val="BBDA3B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C79EF"/>
    <w:multiLevelType w:val="hybridMultilevel"/>
    <w:tmpl w:val="55703D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503A0"/>
    <w:multiLevelType w:val="hybridMultilevel"/>
    <w:tmpl w:val="661CA2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11807"/>
    <w:multiLevelType w:val="hybridMultilevel"/>
    <w:tmpl w:val="ECE80C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D287C"/>
    <w:multiLevelType w:val="hybridMultilevel"/>
    <w:tmpl w:val="8CF2B3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403BD"/>
    <w:multiLevelType w:val="hybridMultilevel"/>
    <w:tmpl w:val="4EF47C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5D2811"/>
    <w:multiLevelType w:val="hybridMultilevel"/>
    <w:tmpl w:val="9090641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77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437"/>
    <w:rsid w:val="001002EE"/>
    <w:rsid w:val="001A12DC"/>
    <w:rsid w:val="00293C28"/>
    <w:rsid w:val="002F68BC"/>
    <w:rsid w:val="00343437"/>
    <w:rsid w:val="004000E0"/>
    <w:rsid w:val="004070AF"/>
    <w:rsid w:val="005309F3"/>
    <w:rsid w:val="00580887"/>
    <w:rsid w:val="0069258F"/>
    <w:rsid w:val="00735560"/>
    <w:rsid w:val="008366A5"/>
    <w:rsid w:val="00920409"/>
    <w:rsid w:val="009A6357"/>
    <w:rsid w:val="00AE2463"/>
    <w:rsid w:val="00B65FE7"/>
    <w:rsid w:val="00C91305"/>
    <w:rsid w:val="00C91A2A"/>
    <w:rsid w:val="00F5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4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437"/>
    <w:rPr>
      <w:color w:val="67AFBD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3437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F3"/>
  </w:style>
  <w:style w:type="paragraph" w:styleId="Footer">
    <w:name w:val="footer"/>
    <w:basedOn w:val="Normal"/>
    <w:link w:val="Foot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F3"/>
  </w:style>
  <w:style w:type="paragraph" w:styleId="BalloonText">
    <w:name w:val="Balloon Text"/>
    <w:basedOn w:val="Normal"/>
    <w:link w:val="BalloonTextChar"/>
    <w:uiPriority w:val="99"/>
    <w:semiHidden/>
    <w:unhideWhenUsed/>
    <w:rsid w:val="0053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4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437"/>
    <w:rPr>
      <w:color w:val="67AFBD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3437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9F3"/>
  </w:style>
  <w:style w:type="paragraph" w:styleId="Footer">
    <w:name w:val="footer"/>
    <w:basedOn w:val="Normal"/>
    <w:link w:val="FooterChar"/>
    <w:uiPriority w:val="99"/>
    <w:unhideWhenUsed/>
    <w:rsid w:val="00530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9F3"/>
  </w:style>
  <w:style w:type="paragraph" w:styleId="BalloonText">
    <w:name w:val="Balloon Text"/>
    <w:basedOn w:val="Normal"/>
    <w:link w:val="BalloonTextChar"/>
    <w:uiPriority w:val="99"/>
    <w:semiHidden/>
    <w:unhideWhenUsed/>
    <w:rsid w:val="0053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-payments.c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Horizo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Horizon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Horizon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900</Words>
  <Characters>4954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Liste de gauche</vt:lpstr>
      <vt:lpstr>    UI</vt:lpstr>
      <vt:lpstr>    Technique</vt:lpstr>
      <vt:lpstr>    Workflows</vt:lpstr>
      <vt:lpstr>    Facturation, prix, TVA, comptabilisation</vt:lpstr>
      <vt:lpstr>    Notions manquantes</vt:lpstr>
      <vt:lpstr>    Interrogations</vt:lpstr>
      <vt:lpstr>    Schémas</vt:lpstr>
      <vt:lpstr>    Bugs</vt:lpstr>
      <vt:lpstr>    Business</vt:lpstr>
      <vt:lpstr>    Développements à plus long terme</vt:lpstr>
    </vt:vector>
  </TitlesOfParts>
  <Company/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Arnaud</dc:creator>
  <cp:lastModifiedBy>Pierre Arnaud</cp:lastModifiedBy>
  <cp:revision>10</cp:revision>
  <dcterms:created xsi:type="dcterms:W3CDTF">2010-11-08T04:30:00Z</dcterms:created>
  <dcterms:modified xsi:type="dcterms:W3CDTF">2010-11-08T13:41:00Z</dcterms:modified>
</cp:coreProperties>
</file>