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6A3A32" w:rsidRPr="00B84E04" w:rsidRDefault="00B84E04" w:rsidP="008A3DA9">
      <w:pPr>
        <w:pStyle w:val="ListParagraph"/>
        <w:ind w:left="1440"/>
        <w:rPr>
          <w:lang w:val="en-US"/>
        </w:rPr>
      </w:pPr>
      <w:r>
        <w:sym w:font="Wingdings" w:char="F0E0"/>
      </w:r>
      <w:r w:rsidR="006A3A32" w:rsidRPr="00B84E04">
        <w:rPr>
          <w:lang w:val="en-US"/>
        </w:rPr>
        <w:t xml:space="preserve"> </w:t>
      </w:r>
      <w:r w:rsidR="006A3A32" w:rsidRPr="00B84E04">
        <w:rPr>
          <w:rFonts w:ascii="Consolas" w:hAnsi="Consolas" w:cs="Consolas"/>
          <w:sz w:val="20"/>
          <w:szCs w:val="20"/>
          <w:lang w:val="en-US"/>
        </w:rPr>
        <w:t>S:\Epsitec.Cresus\Tool.Data.Platform\bin\Debug\MAT[CH]sort.csv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hyperlink r:id="rId12" w:history="1">
        <w:r w:rsidR="00E05100" w:rsidRPr="00353722">
          <w:rPr>
            <w:rStyle w:val="Hyperlink"/>
          </w:rPr>
          <w:t>jean-michel.sordet@eerv.ch</w:t>
        </w:r>
      </w:hyperlink>
    </w:p>
    <w:p w:rsidR="00E05100" w:rsidRDefault="00E05100" w:rsidP="006352E6">
      <w:pPr>
        <w:pStyle w:val="ListParagraph"/>
        <w:numPr>
          <w:ilvl w:val="1"/>
          <w:numId w:val="13"/>
        </w:numPr>
      </w:pPr>
      <w:r>
        <w:t xml:space="preserve">Vicent Volet et Marie-Noëlle Aubert (Bonne Nouvelle, OIC) : </w:t>
      </w:r>
      <w:hyperlink r:id="rId13" w:history="1">
        <w:r w:rsidRPr="00353722">
          <w:rPr>
            <w:rStyle w:val="Hyperlink"/>
          </w:rPr>
          <w:t>vincent.volet@eerv.ch</w:t>
        </w:r>
      </w:hyperlink>
      <w:r>
        <w:t xml:space="preserve">, </w:t>
      </w:r>
      <w:hyperlink r:id="rId14" w:history="1">
        <w:r w:rsidRPr="00353722">
          <w:rPr>
            <w:rStyle w:val="Hyperlink"/>
          </w:rPr>
          <w:t>marie-noelle.aubert@eerv.ch</w:t>
        </w:r>
      </w:hyperlink>
      <w:r>
        <w:t xml:space="preserve"> </w:t>
      </w:r>
    </w:p>
    <w:p w:rsidR="0098223E" w:rsidRDefault="0098223E" w:rsidP="006352E6">
      <w:pPr>
        <w:pStyle w:val="ListParagraph"/>
        <w:numPr>
          <w:ilvl w:val="1"/>
          <w:numId w:val="13"/>
        </w:numPr>
      </w:pPr>
      <w:r>
        <w:t>Gérard Jaton (responsable de l</w:t>
      </w:r>
      <w:bookmarkStart w:id="0" w:name="_GoBack"/>
      <w:bookmarkEnd w:id="0"/>
      <w:r>
        <w:t xml:space="preserve">’informatique à l’EERV) : </w:t>
      </w:r>
      <w:hyperlink r:id="rId15"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6"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7"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8"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D08" w:rsidRDefault="007B0D08" w:rsidP="000F1440">
      <w:pPr>
        <w:spacing w:after="0" w:line="240" w:lineRule="auto"/>
      </w:pPr>
      <w:r>
        <w:separator/>
      </w:r>
    </w:p>
  </w:endnote>
  <w:endnote w:type="continuationSeparator" w:id="0">
    <w:p w:rsidR="007B0D08" w:rsidRDefault="007B0D08"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7B0D0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D08" w:rsidRDefault="007B0D08" w:rsidP="000F1440">
      <w:pPr>
        <w:spacing w:after="0" w:line="240" w:lineRule="auto"/>
      </w:pPr>
      <w:r>
        <w:separator/>
      </w:r>
    </w:p>
  </w:footnote>
  <w:footnote w:type="continuationSeparator" w:id="0">
    <w:p w:rsidR="007B0D08" w:rsidRDefault="007B0D08"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32712B"/>
    <w:rsid w:val="003422FC"/>
    <w:rsid w:val="003B1129"/>
    <w:rsid w:val="003B589C"/>
    <w:rsid w:val="003F1880"/>
    <w:rsid w:val="003F2AE8"/>
    <w:rsid w:val="0040075B"/>
    <w:rsid w:val="0041439C"/>
    <w:rsid w:val="00461D7C"/>
    <w:rsid w:val="00505250"/>
    <w:rsid w:val="0056104D"/>
    <w:rsid w:val="006352E6"/>
    <w:rsid w:val="00667690"/>
    <w:rsid w:val="006876ED"/>
    <w:rsid w:val="006A3A32"/>
    <w:rsid w:val="00702348"/>
    <w:rsid w:val="00762440"/>
    <w:rsid w:val="007B0D08"/>
    <w:rsid w:val="00810668"/>
    <w:rsid w:val="0082319A"/>
    <w:rsid w:val="00852B2C"/>
    <w:rsid w:val="008A3DA9"/>
    <w:rsid w:val="008D62A8"/>
    <w:rsid w:val="00900A95"/>
    <w:rsid w:val="0098223E"/>
    <w:rsid w:val="009F248E"/>
    <w:rsid w:val="00AB65BE"/>
    <w:rsid w:val="00AE2712"/>
    <w:rsid w:val="00AF3A4D"/>
    <w:rsid w:val="00B22204"/>
    <w:rsid w:val="00B37E03"/>
    <w:rsid w:val="00B84E04"/>
    <w:rsid w:val="00BC5B32"/>
    <w:rsid w:val="00CE6CEF"/>
    <w:rsid w:val="00D41DAA"/>
    <w:rsid w:val="00D92977"/>
    <w:rsid w:val="00DB5052"/>
    <w:rsid w:val="00DC65D7"/>
    <w:rsid w:val="00DF3B56"/>
    <w:rsid w:val="00E05100"/>
    <w:rsid w:val="00E14E1F"/>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vincent.volet@eerv.ch" TargetMode="External"/><Relationship Id="rId18" Type="http://schemas.openxmlformats.org/officeDocument/2006/relationships/hyperlink" Target="mailto:informatique.syscom.reseaux@sr.tamedia.c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an-michel.sordet@eerv.ch" TargetMode="External"/><Relationship Id="rId17" Type="http://schemas.openxmlformats.org/officeDocument/2006/relationships/hyperlink" Target="mailto:philippe.martin@sr.tamedia.ch" TargetMode="External"/><Relationship Id="rId2" Type="http://schemas.openxmlformats.org/officeDocument/2006/relationships/styles" Target="styles.xml"/><Relationship Id="rId16" Type="http://schemas.openxmlformats.org/officeDocument/2006/relationships/hyperlink" Target="mailto:paolo.mariani@eerv.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gerard.jaton@eerv.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marie-noelle.aubert@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2718</Words>
  <Characters>14950</Characters>
  <Application>Microsoft Office Word</Application>
  <DocSecurity>0</DocSecurity>
  <Lines>124</Lines>
  <Paragraphs>35</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36</cp:revision>
  <dcterms:created xsi:type="dcterms:W3CDTF">2013-07-30T10:33:00Z</dcterms:created>
  <dcterms:modified xsi:type="dcterms:W3CDTF">2013-10-27T04:40:00Z</dcterms:modified>
</cp:coreProperties>
</file>