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7AC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172B06DD" w14:textId="77777777" w:rsidR="00A720B6" w:rsidRDefault="00A720B6"/>
    <w:p w14:paraId="68B31CFB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</w:t>
      </w:r>
      <w:proofErr w:type="gramStart"/>
      <w:r>
        <w:rPr>
          <w:rFonts w:ascii="Poppins Light" w:eastAsia="Poppins Light" w:hAnsi="Poppins Light" w:cs="Poppins Light"/>
          <w:color w:val="000000"/>
          <w:u w:val="single"/>
        </w:rPr>
        <w:t xml:space="preserve">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  <w:proofErr w:type="gramEnd"/>
    </w:p>
    <w:p w14:paraId="3A6BBB1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51F4A556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Auditoria de qualidade da base semanal de pedidos</w:t>
      </w:r>
      <w:proofErr w:type="gramStart"/>
      <w:r>
        <w:rPr>
          <w:rFonts w:ascii="Poppins" w:eastAsia="Poppins" w:hAnsi="Poppins" w:cs="Poppins"/>
          <w:b/>
          <w:bCs/>
          <w:sz w:val="32"/>
          <w:szCs w:val="32"/>
        </w:rPr>
      </w:r>
      <w:proofErr w:type="gramEnd"/>
      <w:r>
        <w:rPr>
          <w:rFonts w:ascii="Poppins" w:eastAsia="Poppins" w:hAnsi="Poppins" w:cs="Poppins"/>
          <w:b/>
          <w:bCs/>
          <w:sz w:val="32"/>
          <w:szCs w:val="32"/>
        </w:rPr>
      </w:r>
    </w:p>
    <w:p w14:paraId="3177C17D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5A46ABCE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6439DE0B" w14:textId="77777777" w:rsidR="00A720B6" w:rsidRDefault="00000000">
      <w:pPr>
        <w:ind w:firstLine="720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Analisar ausências e possíveis outliers usando evidências e contexto.</w:t>
        <w:br/>
        <w:t>• Justificar e aplicar decisões de tratamento sem regras automáticas.</w:t>
        <w:br/>
        <w:t>• Verificar consequências e documentar as intervenções e pendências.</w:t>
      </w:r>
      <w:proofErr w:type="spellStart"/>
      <w:r>
        <w:rPr>
          <w:rFonts w:ascii="Poppins Light" w:eastAsia="Poppins Light" w:hAnsi="Poppins Light" w:cs="Poppins Light"/>
        </w:rPr>
      </w:r>
      <w:proofErr w:type="spellEnd"/>
      <w:r>
        <w:rPr>
          <w:rFonts w:ascii="Poppins Light" w:eastAsia="Poppins Light" w:hAnsi="Poppins Light" w:cs="Poppins Light"/>
        </w:rPr>
      </w:r>
    </w:p>
    <w:p w14:paraId="1B082E88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24E2101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23EDC56A" w14:textId="7673C4B4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73BB3B36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Notebook da atividade (variante aluno ou professor, conforme o arquivo recebido).</w:t>
      </w:r>
    </w:p>
    <w:p w14:paraId="70DB804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DADOS3EMC3B2S8A4_pedidos_operacao.csv.</w:t>
      </w:r>
    </w:p>
    <w:p w14:paraId="2FD5E337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DADOS3EMC3B2S8A4_verificacoes_qualidade.csv.</w:t>
      </w:r>
    </w:p>
    <w:p w14:paraId="3B7A7558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Python, pandas e matplotlib disponíveis.</w:t>
      </w:r>
    </w:p>
    <w:p w14:paraId="0CE3F423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DCCA764" w14:textId="424930DA" w:rsidR="00CD3FAC" w:rsidRPr="00CD3FAC" w:rsidRDefault="00CD3FAC" w:rsidP="00CD3FAC">
      <w:pPr>
        <w:keepNext/>
        <w:pageBreakBefore/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t>Organização do ambiente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3863340" cy="2578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5783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3EAA01" w14:textId="77777777" w:rsidR="00CD3FAC" w:rsidRPr="00CD3FAC" w:rsidRDefault="00CD3FAC" w:rsidP="00CD3F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Trabalhem em duplas, com um computador por dupla. Um integrante executa o notebook enquanto o outro confere evidências e registra justificativas; alternem os papéis após a triagem. Os dois devem participar das decisões.</w:t>
      </w:r>
    </w:p>
    <w:p w14:paraId="63F48BEE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37A916EF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Procedimento experimental</w:t>
      </w:r>
    </w:p>
    <w:p w14:paraId="6CE190C2" w14:textId="77777777" w:rsidR="00A720B6" w:rsidRDefault="00A720B6">
      <w:pPr>
        <w:ind w:left="357"/>
        <w:jc w:val="both"/>
        <w:rPr>
          <w:rFonts w:ascii="Poppins Light" w:eastAsia="Poppins Light" w:hAnsi="Poppins Light" w:cs="Poppins Light"/>
        </w:rPr>
      </w:pPr>
    </w:p>
    <w:p w14:paraId="247B5CB0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Carreguem os dois arquivos CSV e reconheçam o que cada registro e cada variável representam. Confirmem que a base original permanecerá preservada.</w:t>
      </w:r>
    </w:p>
    <w:p w14:paraId="2B9F894E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Façam a triagem das ausências. Consultem as regras gerais de negócio e distingam ausência esperada, ausência recuperável e ausência sem informação suficiente para correção.</w:t>
      </w:r>
    </w:p>
    <w:p w14:paraId="2263461C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Usem os resumos e o critério de 1,5 × AIQ no notebook para localizar possíveis outliers em tempo_separacao_min e itens_qtd. Não decidam tratamento apenas pela magnitude.</w:t>
      </w:r>
    </w:p>
    <w:tbl>
      <w:tblPr>
        <w:tblStyle w:val="a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A720B6" w14:paraId="7B8CE36F" w14:textId="77777777">
        <w:tc>
          <w:tcPr>
            <w:tcW w:w="8919" w:type="dxa"/>
          </w:tcPr>
          <w:p w14:paraId="558572AB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3A5D41DD" w14:textId="77777777">
        <w:tc>
          <w:tcPr>
            <w:tcW w:w="8919" w:type="dxa"/>
          </w:tcPr>
          <w:p w14:paraId="66FE06F1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77B2EAD7" w14:textId="77777777">
        <w:tc>
          <w:tcPr>
            <w:tcW w:w="8919" w:type="dxa"/>
          </w:tcPr>
          <w:p w14:paraId="26B48DDC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55AAC18E" w14:textId="77777777">
        <w:tc>
          <w:tcPr>
            <w:tcW w:w="8919" w:type="dxa"/>
          </w:tcPr>
          <w:p w14:paraId="25E8239B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5D0E29B4" w14:textId="77777777">
        <w:tc>
          <w:tcPr>
            <w:tcW w:w="8919" w:type="dxa"/>
          </w:tcPr>
          <w:p w14:paraId="12D05309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</w:tbl>
    <w:p w14:paraId="0362C964" w14:textId="77777777" w:rsidR="00A720B6" w:rsidRDefault="00A72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 Light" w:eastAsia="Poppins Light" w:hAnsi="Poppins Light" w:cs="Poppins Light"/>
          <w:color w:val="000000"/>
        </w:rPr>
      </w:pPr>
    </w:p>
    <w:p w14:paraId="7FD4C37C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Consultem o arquivo de verificações. Para cada ocorrência, registrem evidência, decisão e justificativa. Casos inconclusivos devem permanecer explicitamente pendentes.</w:t>
      </w:r>
    </w:p>
    <w:p w14:paraId="205C7B2A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Preencham o plano no notebook e apliquem-no em uma cópia da base. Preservem valores legítimos e usem correção ou tratamento como ausente somente quando sustentados pela verificação.</w:t>
      </w:r>
    </w:p>
    <w:p w14:paraId="16EDAB57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Compare as ausências, os candidatos a outlier e os resumos de tempo antes e depois. Registrem o que mudou, o que permaneceu e por quê.</w:t>
      </w:r>
    </w:p>
    <w:tbl>
      <w:tblPr>
        <w:tblStyle w:val="a0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A720B6" w14:paraId="522C84FB" w14:textId="77777777">
        <w:tc>
          <w:tcPr>
            <w:tcW w:w="8919" w:type="dxa"/>
          </w:tcPr>
          <w:p w14:paraId="36D2DB1C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5AAADD5F" w14:textId="77777777">
        <w:tc>
          <w:tcPr>
            <w:tcW w:w="8919" w:type="dxa"/>
          </w:tcPr>
          <w:p w14:paraId="10F679C9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3645BAAA" w14:textId="77777777">
        <w:tc>
          <w:tcPr>
            <w:tcW w:w="8919" w:type="dxa"/>
          </w:tcPr>
          <w:p w14:paraId="67FB7F0B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02DAEE22" w14:textId="77777777">
        <w:tc>
          <w:tcPr>
            <w:tcW w:w="8919" w:type="dxa"/>
          </w:tcPr>
          <w:p w14:paraId="2C16D44A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053DE0C1" w14:textId="77777777">
        <w:tc>
          <w:tcPr>
            <w:tcW w:w="8919" w:type="dxa"/>
          </w:tcPr>
          <w:p w14:paraId="23EE3A43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1554F890" w14:textId="77777777">
        <w:tc>
          <w:tcPr>
            <w:tcW w:w="8919" w:type="dxa"/>
          </w:tcPr>
          <w:p w14:paraId="31E41060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</w:tbl>
    <w:p w14:paraId="77D05CF0" w14:textId="77777777" w:rsidR="00A720B6" w:rsidRDefault="00A72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 Light" w:eastAsia="Poppins Light" w:hAnsi="Poppins Light" w:cs="Poppins Light"/>
          <w:color w:val="000000"/>
        </w:rPr>
      </w:pPr>
    </w:p>
    <w:p w14:paraId="0F8A5EF9" w14:textId="77777777" w:rsidR="00A720B6" w:rsidRDefault="00A720B6">
      <w:pPr>
        <w:spacing w:line="360" w:lineRule="auto"/>
        <w:ind w:left="720"/>
        <w:rPr>
          <w:rFonts w:ascii="Poppins Light" w:eastAsia="Poppins Light" w:hAnsi="Poppins Light" w:cs="Poppins Light"/>
        </w:rPr>
      </w:pPr>
    </w:p>
    <w:p w14:paraId="564EFBED" w14:textId="048E056C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4A6A2CA1" w14:textId="23822599" w:rsidR="00A720B6" w:rsidRDefault="00CD3FAC" w:rsidP="00CD3FAC">
      <w:pPr>
        <w:spacing w:line="360" w:lineRule="auto"/>
        <w:ind w:firstLine="720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Identificação correta de ausências e candidatos a outlier.</w:t>
        <w:br/>
        <w:t>• Uso de evidências e regras de negócio para fundamentar decisões.</w:t>
        <w:br/>
        <w:t>• Aplicação coerente do tratamento em uma cópia, sem automatismos.</w:t>
        <w:br/>
        <w:t>• Verificação das consequências e preservação de casos legítimos/inconclusivos.</w:t>
        <w:br/>
        <w:t>• Registro claro de ocorrência, evidência, decisão, justificativa e resultado.</w:t>
      </w:r>
    </w:p>
    <w:p>
      <w:r>
        <w:br w:type="page"/>
      </w:r>
    </w:p>
    <w:p>
      <w:r>
        <w:rPr>
          <w:rFonts w:ascii="Poppins" w:hAnsi="Poppins" w:eastAsia="Poppins" w:cs="Poppins"/>
          <w:b/>
          <w:sz w:val="32"/>
        </w:rPr>
        <w:t>Expectativa de respostas</w:t>
      </w:r>
    </w:p>
    <w:p>
      <w:r>
        <w:rPr>
          <w:rFonts w:ascii="Poppins" w:hAnsi="Poppins" w:eastAsia="Poppins" w:cs="Poppins"/>
          <w:b/>
          <w:sz w:val="22"/>
        </w:rPr>
        <w:t>1. Reconhecimento e triagem</w:t>
      </w:r>
    </w:p>
    <w:p>
      <w:r>
        <w:rPr>
          <w:rFonts w:ascii="Poppins" w:hAnsi="Poppins" w:eastAsia="Poppins" w:cs="Poppins"/>
          <w:sz w:val="20"/>
        </w:rPr>
        <w:t>A base possui 180 registros e 14 variáveis. Espera-se distinguir: desconto_pct ausente sem cupom → 0% pela regra documentada; distancia_km em retirada → não se aplica; avaliação ausente → sem resposta; PED-2026-0056 → 37,0 min confirmado; PED-2026-0094 → manter ausente porque o valor correto não é recuperável.</w:t>
      </w:r>
    </w:p>
    <w:p>
      <w:r>
        <w:rPr>
          <w:rFonts w:ascii="Poppins" w:hAnsi="Poppins" w:eastAsia="Poppins" w:cs="Poppins"/>
          <w:b/>
          <w:sz w:val="22"/>
        </w:rPr>
        <w:t>2. Possíveis outliers</w:t>
      </w:r>
    </w:p>
    <w:p>
      <w:r>
        <w:rPr>
          <w:rFonts w:ascii="Poppins" w:hAnsi="Poppins" w:eastAsia="Poppins" w:cs="Poppins"/>
          <w:sz w:val="20"/>
        </w:rPr>
        <w:t>Antes do tratamento, o critério de 1,5 × AIQ sinaliza em tempo_separacao_min: PED-2026-0136, PED-2026-0047, PED-2026-0171, PED-2026-0159; em itens_qtd: PED-2026-0112. A sinalização é indício para verificação, não comando de exclusão.</w:t>
      </w:r>
    </w:p>
    <w:p>
      <w:r>
        <w:rPr>
          <w:rFonts w:ascii="Poppins" w:hAnsi="Poppins" w:eastAsia="Poppins" w:cs="Poppins"/>
          <w:b/>
          <w:sz w:val="22"/>
        </w:rPr>
        <w:t>3. Decisões esperadas</w:t>
      </w:r>
    </w:p>
    <w:p>
      <w:r>
        <w:rPr>
          <w:rFonts w:ascii="Poppins" w:hAnsi="Poppins" w:eastAsia="Poppins" w:cs="Poppins"/>
          <w:sz w:val="20"/>
        </w:rPr>
        <w:t>PED-2026-0047 → corrigir para 58,0 min; PED-2026-0112 → corrigir para 9 itens; PED-2026-0159 → manter 244,0 min (ocorrência legítima); PED-2026-0136 → tratar como valor ausente (erro confirmado, correto indisponível); PED-2026-0171 → investigar mais e não alterar sem evidência.</w:t>
      </w:r>
    </w:p>
    <w:p>
      <w:r>
        <w:rPr>
          <w:rFonts w:ascii="Poppins" w:hAnsi="Poppins" w:eastAsia="Poppins" w:cs="Poppins"/>
          <w:b/>
          <w:sz w:val="22"/>
        </w:rPr>
        <w:t>4. Verificação das consequências</w:t>
      </w:r>
    </w:p>
    <w:p>
      <w:r>
        <w:rPr>
          <w:rFonts w:ascii="Poppins" w:hAnsi="Poppins" w:eastAsia="Poppins" w:cs="Poppins"/>
          <w:sz w:val="20"/>
        </w:rPr>
        <w:t>A média de tempo_separacao_min passa de 40.56 para 35.53 min; a mediana passa de 33.20 para 33.20 min. Após o plano, ainda podem permanecer candidatos a outlier: isso é esperado quando são legítimos ou inconclusivos.</w:t>
      </w:r>
    </w:p>
    <w:p>
      <w:r>
        <w:rPr>
          <w:rFonts w:ascii="Poppins" w:hAnsi="Poppins" w:eastAsia="Poppins" w:cs="Poppins"/>
          <w:b/>
          <w:sz w:val="22"/>
        </w:rPr>
        <w:t>5. Síntese esperada</w:t>
      </w:r>
    </w:p>
    <w:p>
      <w:r>
        <w:rPr>
          <w:rFonts w:ascii="Poppins" w:hAnsi="Poppins" w:eastAsia="Poppins" w:cs="Poppins"/>
          <w:sz w:val="20"/>
        </w:rPr>
        <w:t>A decisão de tratamento deve ser determinada pela evidência, pelo contexto e pelo impacto na análise. O objetivo não é zerar ausências ou eliminar todo valor extremo, mas tornar as intervenções defensáveis, verificáveis e documentadas.</w:t>
      </w:r>
    </w:p>
    <w:sectPr w:rsidR="00A720B6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7540" w14:textId="77777777" w:rsidR="00040474" w:rsidRDefault="00040474">
      <w:r>
        <w:separator/>
      </w:r>
    </w:p>
  </w:endnote>
  <w:endnote w:type="continuationSeparator" w:id="0">
    <w:p w14:paraId="76627CC4" w14:textId="77777777" w:rsidR="00040474" w:rsidRDefault="00040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57C531C9-93A4-4C39-9E10-3776E7267DF8}"/>
    <w:embedBold r:id="rId2" w:fontKey="{75BC9D44-CABA-4015-AB56-9B89BDAEBC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0BA1872A-5708-4F8B-99A4-1F0BB5552B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5BBAB37F-0CB0-4256-9080-C527FF1120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FF145DCD-F359-4CD3-8109-35108587D7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DEDF096-978C-4FD9-B023-34DCB68BB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743433-CD5A-496C-AD11-DFE4934FAA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E267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923ACC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D8BD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2018E66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8]</w:t>
    </w:r>
  </w:p>
  <w:p w14:paraId="00C09A5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7217" w14:textId="77777777" w:rsidR="00040474" w:rsidRDefault="00040474">
      <w:r>
        <w:separator/>
      </w:r>
    </w:p>
  </w:footnote>
  <w:footnote w:type="continuationSeparator" w:id="0">
    <w:p w14:paraId="3E376FD9" w14:textId="77777777" w:rsidR="00040474" w:rsidRDefault="00040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21FE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7C1DE0"/>
    <w:rsid w:val="00A720B6"/>
    <w:rsid w:val="00CD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7705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1006</Characters>
  <Application>Microsoft Office Word</Application>
  <DocSecurity>0</DocSecurity>
  <Lines>8</Lines>
  <Paragraphs>2</Paragraphs>
  <ScaleCrop>false</ScaleCrop>
  <Company>FDE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Zanella Luckmann</cp:lastModifiedBy>
  <cp:revision>2</cp:revision>
  <dcterms:created xsi:type="dcterms:W3CDTF">2026-07-29T12:48:00Z</dcterms:created>
  <dcterms:modified xsi:type="dcterms:W3CDTF">2026-07-29T12:48:00Z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