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jc w:val="center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FF6349" wp14:editId="4890AB7B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  <w:i/>
        </w:rPr>
      </w:pPr>
      <w:r w:rsidRPr="00A3191D">
        <w:rPr>
          <w:rFonts w:ascii="Times New Roman" w:hAnsi="Times New Roman" w:cs="Times New Roman"/>
          <w:i/>
          <w:sz w:val="24"/>
          <w:szCs w:val="24"/>
        </w:rPr>
        <w:t>Московский государственный университет имени М.В. Ломоносова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  <w:i/>
        </w:rPr>
      </w:pPr>
      <w:r w:rsidRPr="00A3191D">
        <w:rPr>
          <w:rFonts w:ascii="Times New Roman" w:hAnsi="Times New Roman" w:cs="Times New Roman"/>
          <w:i/>
          <w:sz w:val="24"/>
          <w:szCs w:val="24"/>
        </w:rPr>
        <w:t>Факультет вычислительной математики и кибернетики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  <w:i/>
        </w:rPr>
      </w:pPr>
      <w:r w:rsidRPr="00A3191D">
        <w:rPr>
          <w:rFonts w:ascii="Times New Roman" w:hAnsi="Times New Roman" w:cs="Times New Roman"/>
          <w:i/>
          <w:sz w:val="24"/>
          <w:szCs w:val="24"/>
        </w:rPr>
        <w:t>Кафедра математической статистики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32"/>
          <w:szCs w:val="32"/>
        </w:rPr>
        <w:t>Птицын Евгений Генрихович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tabs>
          <w:tab w:val="left" w:pos="567"/>
        </w:tabs>
        <w:spacing w:after="120"/>
        <w:jc w:val="center"/>
        <w:rPr>
          <w:rFonts w:cs="Times New Roman"/>
          <w:b/>
          <w:sz w:val="40"/>
          <w:szCs w:val="40"/>
          <w:lang w:val="ru-RU"/>
        </w:rPr>
      </w:pPr>
      <w:r w:rsidRPr="00A3191D">
        <w:rPr>
          <w:rFonts w:cs="Times New Roman"/>
          <w:b/>
          <w:color w:val="000000"/>
          <w:sz w:val="40"/>
          <w:szCs w:val="40"/>
          <w:lang w:val="ru-RU"/>
        </w:rPr>
        <w:t>Алгоритм Скользящего Разделения Смесей и его применение в анализе реальных данных.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EB4EC8" w:rsidRPr="00A3191D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  <w:r w:rsidRPr="00A3191D">
        <w:rPr>
          <w:rFonts w:ascii="Times New Roman" w:hAnsi="Times New Roman" w:cs="Times New Roman"/>
          <w:sz w:val="24"/>
          <w:szCs w:val="24"/>
        </w:rPr>
        <w:tab/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:rsidR="000E758F" w:rsidRPr="00A3191D" w:rsidRDefault="00EB4EC8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>д.ф.-м.н.</w:t>
      </w:r>
      <w:r w:rsidR="000E758F" w:rsidRPr="00A3191D">
        <w:rPr>
          <w:rFonts w:ascii="Times New Roman" w:hAnsi="Times New Roman" w:cs="Times New Roman"/>
          <w:sz w:val="24"/>
          <w:szCs w:val="24"/>
        </w:rPr>
        <w:t xml:space="preserve">, </w:t>
      </w:r>
      <w:r w:rsidRPr="00A3191D">
        <w:rPr>
          <w:rFonts w:ascii="Times New Roman" w:hAnsi="Times New Roman" w:cs="Times New Roman"/>
          <w:sz w:val="24"/>
          <w:szCs w:val="24"/>
        </w:rPr>
        <w:t xml:space="preserve">заслуженный </w:t>
      </w:r>
      <w:r w:rsidR="000E758F" w:rsidRPr="00A3191D">
        <w:rPr>
          <w:rFonts w:ascii="Times New Roman" w:hAnsi="Times New Roman" w:cs="Times New Roman"/>
          <w:sz w:val="24"/>
          <w:szCs w:val="24"/>
        </w:rPr>
        <w:t>профессор</w:t>
      </w:r>
    </w:p>
    <w:p w:rsidR="000E758F" w:rsidRPr="00A3191D" w:rsidRDefault="005B7B8A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  <w:r w:rsidRPr="00A3191D">
        <w:rPr>
          <w:rFonts w:ascii="Times New Roman" w:hAnsi="Times New Roman" w:cs="Times New Roman"/>
          <w:sz w:val="24"/>
          <w:szCs w:val="24"/>
        </w:rPr>
        <w:t>В.Ю. Королёв</w:t>
      </w: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ind w:right="440"/>
        <w:jc w:val="right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right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ind w:right="330"/>
        <w:jc w:val="right"/>
        <w:rPr>
          <w:rFonts w:ascii="Times New Roman" w:hAnsi="Times New Roman" w:cs="Times New Roman"/>
        </w:rPr>
      </w:pPr>
    </w:p>
    <w:p w:rsidR="000E758F" w:rsidRPr="00A3191D" w:rsidRDefault="000E758F" w:rsidP="000C7C28">
      <w:pPr>
        <w:pStyle w:val="Default"/>
        <w:tabs>
          <w:tab w:val="clear" w:pos="709"/>
          <w:tab w:val="left" w:pos="567"/>
        </w:tabs>
        <w:spacing w:after="120"/>
        <w:jc w:val="center"/>
        <w:rPr>
          <w:rFonts w:ascii="Times New Roman" w:hAnsi="Times New Roman" w:cs="Times New Roman"/>
        </w:rPr>
      </w:pPr>
    </w:p>
    <w:p w:rsidR="00D34B79" w:rsidRPr="00A3191D" w:rsidRDefault="00D34B79" w:rsidP="000C7C28">
      <w:pPr>
        <w:tabs>
          <w:tab w:val="left" w:pos="567"/>
        </w:tabs>
        <w:spacing w:after="0" w:line="240" w:lineRule="auto"/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br w:type="page"/>
      </w:r>
    </w:p>
    <w:sdt>
      <w:sdtPr>
        <w:rPr>
          <w:rFonts w:cs="Times New Roman"/>
          <w:lang w:val="ru-RU"/>
        </w:rPr>
        <w:id w:val="187118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5B3F" w:rsidRPr="00A3191D" w:rsidRDefault="000C5B3F" w:rsidP="000C7C28">
          <w:pPr>
            <w:tabs>
              <w:tab w:val="left" w:pos="567"/>
            </w:tabs>
            <w:rPr>
              <w:rFonts w:cs="Times New Roman"/>
              <w:sz w:val="32"/>
              <w:lang w:val="ru-RU"/>
            </w:rPr>
          </w:pPr>
          <w:r w:rsidRPr="00A3191D">
            <w:rPr>
              <w:rFonts w:cs="Times New Roman"/>
              <w:sz w:val="32"/>
              <w:lang w:val="ru-RU"/>
            </w:rPr>
            <w:t>Оглавление</w:t>
          </w:r>
        </w:p>
        <w:p w:rsidR="000C7C28" w:rsidRPr="00A3191D" w:rsidRDefault="000C5B3F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r w:rsidRPr="00A3191D">
            <w:rPr>
              <w:rFonts w:cs="Times New Roman"/>
              <w:lang w:val="ru-RU"/>
            </w:rPr>
            <w:fldChar w:fldCharType="begin"/>
          </w:r>
          <w:r w:rsidRPr="00A3191D">
            <w:rPr>
              <w:rFonts w:cs="Times New Roman"/>
              <w:lang w:val="ru-RU"/>
            </w:rPr>
            <w:instrText xml:space="preserve"> TOC \o "1-3" \h \z \u </w:instrText>
          </w:r>
          <w:r w:rsidRPr="00A3191D">
            <w:rPr>
              <w:rFonts w:cs="Times New Roman"/>
              <w:lang w:val="ru-RU"/>
            </w:rPr>
            <w:fldChar w:fldCharType="separate"/>
          </w:r>
          <w:hyperlink w:anchor="_Toc6928461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Введение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_Toc6928461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3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62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1.1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Актуальность темы исследования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_Toc6928462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3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31"/>
            <w:rPr>
              <w:rFonts w:asciiTheme="minorHAnsi" w:hAnsiTheme="minorHAnsi"/>
              <w:noProof/>
              <w:lang w:val="ru-RU" w:eastAsia="ru-RU"/>
            </w:rPr>
          </w:pPr>
          <w:hyperlink w:anchor="_Toc6928463" w:history="1">
            <w:r w:rsidR="000C7C28" w:rsidRPr="00A3191D">
              <w:rPr>
                <w:rStyle w:val="aa"/>
                <w:noProof/>
                <w:lang w:val="ru-RU"/>
              </w:rPr>
              <w:t>1.1.1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Анализ данных в современном мире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_Toc6928463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3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64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1.2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Используемые подходы и методы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_Toc6928464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65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1.3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Цель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_Toc6928465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66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1.4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Краткое содержание работы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_Toc6928466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67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1.5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Основные результаты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_Toc6928467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hyperlink w:anchor="_Toc6928468" w:history="1">
            <w:r w:rsidR="000C7C28" w:rsidRPr="00A3191D">
              <w:rPr>
                <w:rStyle w:val="aa"/>
                <w:noProof/>
                <w:lang w:val="ru-RU"/>
              </w:rPr>
              <w:t>2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noProof/>
                <w:lang w:val="ru-RU"/>
              </w:rPr>
              <w:t>Вводные понятия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_Toc6928468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69" w:history="1">
            <w:r w:rsidR="000C7C28" w:rsidRPr="00A3191D">
              <w:rPr>
                <w:rStyle w:val="aa"/>
                <w:noProof/>
                <w:lang w:val="ru-RU"/>
              </w:rPr>
              <w:t>2.1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noProof/>
                <w:lang w:val="ru-RU"/>
              </w:rPr>
              <w:t>Смесь нормальных законов распределения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_Toc6928469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hyperlink w:anchor="_Toc6928470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3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ЕМ-алгоритм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_Toc6928470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hyperlink w:anchor="_Toc6928471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4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Скользящее разделение смесей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_Toc6928471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72" w:history="1">
            <w:r w:rsidR="000C7C28" w:rsidRPr="00A3191D">
              <w:rPr>
                <w:rStyle w:val="aa"/>
                <w:noProof/>
                <w:lang w:val="ru-RU"/>
              </w:rPr>
              <w:t>4.1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noProof/>
                <w:lang w:val="ru-RU"/>
              </w:rPr>
              <w:t>Описание метода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_Toc6928472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73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4.2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Декомпозиция волатильности финансовых индексов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_Toc6928473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31"/>
            <w:rPr>
              <w:rFonts w:asciiTheme="minorHAnsi" w:hAnsiTheme="minorHAnsi"/>
              <w:noProof/>
              <w:lang w:val="ru-RU" w:eastAsia="ru-RU"/>
            </w:rPr>
          </w:pPr>
          <w:hyperlink w:anchor="_Toc6928474" w:history="1">
            <w:r w:rsidR="000C7C28" w:rsidRPr="00A3191D">
              <w:rPr>
                <w:rStyle w:val="aa"/>
                <w:noProof/>
                <w:lang w:val="ru-RU"/>
              </w:rPr>
              <w:t>4.2.1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noProof/>
                <w:lang w:val="ru-RU"/>
              </w:rPr>
              <w:t>Волатильность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_Toc6928474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23"/>
            <w:rPr>
              <w:rFonts w:asciiTheme="minorHAnsi" w:hAnsiTheme="minorHAnsi"/>
              <w:noProof/>
              <w:lang w:val="ru-RU" w:eastAsia="ru-RU"/>
            </w:rPr>
          </w:pPr>
          <w:hyperlink w:anchor="_Toc6928475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4.3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Изучение турбулентности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_Toc6928475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hyperlink w:anchor="_Toc6928476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5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Заключение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_Toc6928476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hyperlink w:anchor="_Toc6928477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6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Список литературы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_Toc6928477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7C28" w:rsidRPr="00A3191D" w:rsidRDefault="006C40C3">
          <w:pPr>
            <w:pStyle w:val="11"/>
            <w:rPr>
              <w:rFonts w:asciiTheme="minorHAnsi" w:hAnsiTheme="minorHAnsi"/>
              <w:noProof/>
              <w:lang w:val="ru-RU" w:eastAsia="ru-RU"/>
            </w:rPr>
          </w:pPr>
          <w:hyperlink w:anchor="_Toc6928478" w:history="1"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7</w:t>
            </w:r>
            <w:r w:rsidR="000C7C28" w:rsidRPr="00A3191D"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="000C7C28" w:rsidRPr="00A3191D">
              <w:rPr>
                <w:rStyle w:val="aa"/>
                <w:rFonts w:cs="Times New Roman"/>
                <w:noProof/>
                <w:lang w:val="ru-RU"/>
              </w:rPr>
              <w:t>Приложение А</w:t>
            </w:r>
            <w:r w:rsidR="000C7C28" w:rsidRPr="00A3191D">
              <w:rPr>
                <w:noProof/>
                <w:webHidden/>
                <w:lang w:val="ru-RU"/>
              </w:rPr>
              <w:tab/>
            </w:r>
            <w:r w:rsidR="000C7C28" w:rsidRPr="00A3191D">
              <w:rPr>
                <w:noProof/>
                <w:webHidden/>
                <w:lang w:val="ru-RU"/>
              </w:rPr>
              <w:fldChar w:fldCharType="begin"/>
            </w:r>
            <w:r w:rsidR="000C7C28" w:rsidRPr="00A3191D">
              <w:rPr>
                <w:noProof/>
                <w:webHidden/>
                <w:lang w:val="ru-RU"/>
              </w:rPr>
              <w:instrText xml:space="preserve"> PAGEREF _Toc6928478 \h </w:instrText>
            </w:r>
            <w:r w:rsidR="000C7C28" w:rsidRPr="00A3191D">
              <w:rPr>
                <w:noProof/>
                <w:webHidden/>
                <w:lang w:val="ru-RU"/>
              </w:rPr>
            </w:r>
            <w:r w:rsidR="000C7C28" w:rsidRPr="00A3191D">
              <w:rPr>
                <w:noProof/>
                <w:webHidden/>
                <w:lang w:val="ru-RU"/>
              </w:rPr>
              <w:fldChar w:fldCharType="separate"/>
            </w:r>
            <w:r w:rsidR="000C7C28" w:rsidRPr="00A3191D">
              <w:rPr>
                <w:noProof/>
                <w:webHidden/>
                <w:lang w:val="ru-RU"/>
              </w:rPr>
              <w:t>5</w:t>
            </w:r>
            <w:r w:rsidR="000C7C28" w:rsidRPr="00A3191D">
              <w:rPr>
                <w:noProof/>
                <w:webHidden/>
                <w:lang w:val="ru-RU"/>
              </w:rPr>
              <w:fldChar w:fldCharType="end"/>
            </w:r>
          </w:hyperlink>
        </w:p>
        <w:p w:rsidR="000C5B3F" w:rsidRPr="00A3191D" w:rsidRDefault="000C5B3F" w:rsidP="000C7C28">
          <w:pPr>
            <w:tabs>
              <w:tab w:val="left" w:pos="567"/>
            </w:tabs>
            <w:rPr>
              <w:rFonts w:cs="Times New Roman"/>
              <w:lang w:val="ru-RU"/>
            </w:rPr>
          </w:pPr>
          <w:r w:rsidRPr="00A3191D">
            <w:rPr>
              <w:rFonts w:cs="Times New Roman"/>
              <w:b/>
              <w:bCs/>
              <w:lang w:val="ru-RU"/>
            </w:rPr>
            <w:fldChar w:fldCharType="end"/>
          </w:r>
        </w:p>
      </w:sdtContent>
    </w:sdt>
    <w:p w:rsidR="000C5B3F" w:rsidRPr="00A3191D" w:rsidRDefault="000C5B3F" w:rsidP="000C7C28">
      <w:pPr>
        <w:tabs>
          <w:tab w:val="left" w:pos="567"/>
        </w:tabs>
        <w:spacing w:after="0" w:line="240" w:lineRule="auto"/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br w:type="page"/>
      </w:r>
    </w:p>
    <w:p w:rsidR="000C5B3F" w:rsidRPr="00A3191D" w:rsidRDefault="000C5B3F" w:rsidP="000C7C28">
      <w:pPr>
        <w:pStyle w:val="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0" w:name="_Toc6928461"/>
      <w:r w:rsidRPr="00A3191D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:rsidR="003A0557" w:rsidRPr="00A3191D" w:rsidRDefault="00C362E5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" w:name="_Toc6928462"/>
      <w:r w:rsidRPr="00A3191D">
        <w:rPr>
          <w:rFonts w:ascii="Times New Roman" w:hAnsi="Times New Roman" w:cs="Times New Roman"/>
          <w:lang w:val="ru-RU"/>
        </w:rPr>
        <w:t>Актуальность темы исследования</w:t>
      </w:r>
      <w:bookmarkEnd w:id="1"/>
    </w:p>
    <w:p w:rsidR="005D353A" w:rsidRPr="00A3191D" w:rsidRDefault="003A0557" w:rsidP="000C7C28">
      <w:pPr>
        <w:pStyle w:val="3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2" w:name="_Toc6928463"/>
      <w:r w:rsidRPr="00A3191D">
        <w:rPr>
          <w:rFonts w:ascii="Times New Roman" w:hAnsi="Times New Roman" w:cs="Times New Roman"/>
          <w:lang w:val="ru-RU"/>
        </w:rPr>
        <w:t>Анализ данных в современном мире</w:t>
      </w:r>
      <w:bookmarkEnd w:id="2"/>
    </w:p>
    <w:p w:rsidR="005D353A" w:rsidRPr="00A3191D" w:rsidRDefault="005D353A" w:rsidP="000C7C28">
      <w:pPr>
        <w:pStyle w:val="4"/>
        <w:tabs>
          <w:tab w:val="left" w:pos="567"/>
        </w:tabs>
        <w:rPr>
          <w:rFonts w:ascii="Times New Roman" w:hAnsi="Times New Roman" w:cs="Times New Roman"/>
          <w:lang w:val="ru-RU"/>
        </w:rPr>
      </w:pPr>
      <w:r w:rsidRPr="00A3191D">
        <w:rPr>
          <w:rFonts w:ascii="Times New Roman" w:hAnsi="Times New Roman" w:cs="Times New Roman"/>
          <w:lang w:val="ru-RU"/>
        </w:rPr>
        <w:t>Наука о данных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Наука о данных (англ.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science</w:t>
      </w:r>
      <w:proofErr w:type="spellEnd"/>
      <w:r w:rsidRPr="00A3191D">
        <w:rPr>
          <w:rFonts w:cs="Times New Roman"/>
          <w:lang w:val="ru-RU"/>
        </w:rPr>
        <w:t xml:space="preserve">; иногда </w:t>
      </w:r>
      <w:proofErr w:type="spellStart"/>
      <w:r w:rsidRPr="00A3191D">
        <w:rPr>
          <w:rFonts w:cs="Times New Roman"/>
          <w:lang w:val="ru-RU"/>
        </w:rPr>
        <w:t>даталогия</w:t>
      </w:r>
      <w:proofErr w:type="spellEnd"/>
      <w:r w:rsidRPr="00A3191D">
        <w:rPr>
          <w:rFonts w:cs="Times New Roman"/>
          <w:lang w:val="ru-RU"/>
        </w:rPr>
        <w:t xml:space="preserve"> — </w:t>
      </w:r>
      <w:proofErr w:type="spellStart"/>
      <w:r w:rsidRPr="00A3191D">
        <w:rPr>
          <w:rFonts w:cs="Times New Roman"/>
          <w:lang w:val="ru-RU"/>
        </w:rPr>
        <w:t>datalogy</w:t>
      </w:r>
      <w:proofErr w:type="spellEnd"/>
      <w:r w:rsidRPr="00A3191D">
        <w:rPr>
          <w:rFonts w:cs="Times New Roman"/>
          <w:lang w:val="ru-RU"/>
        </w:rPr>
        <w:t>) — раздел информатики, изучающий проблемы анализа, обработки и представления данных в цифровой форме. Объединяет методы по обработке данных в условиях больших объёмов и высокого уровня параллелизма, статистические методы,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Началом формирования выделенной дисциплины считается 1966 год, когда был учреждён Комитет по данным для науки и техники (CODATA)[6], а первое введение термина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science</w:t>
      </w:r>
      <w:proofErr w:type="spellEnd"/>
      <w:r w:rsidRPr="00A3191D">
        <w:rPr>
          <w:rFonts w:cs="Times New Roman"/>
          <w:lang w:val="ru-RU"/>
        </w:rPr>
        <w:t xml:space="preserve"> относится к книге Петера Наура 1974 года, в которой он явно определил науку о данных как дисциплину, изучающую жизненный цикл цифровых данных — от появления до преобразования для представления в других областях знаний[7] (существует мнение, что Наур употреблял термин «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science</w:t>
      </w:r>
      <w:proofErr w:type="spellEnd"/>
      <w:r w:rsidRPr="00A3191D">
        <w:rPr>
          <w:rFonts w:cs="Times New Roman"/>
          <w:lang w:val="ru-RU"/>
        </w:rPr>
        <w:t>» ещё в конце 1960-х[8]).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Однако, только в 1990-е годы термин, обозначающий дисциплину, получил широкое употребление[9][6], и только в начале 2000-х стал общепризнанным, прежде всего, благодаря статье статистика </w:t>
      </w:r>
      <w:proofErr w:type="spellStart"/>
      <w:r w:rsidRPr="00A3191D">
        <w:rPr>
          <w:rFonts w:cs="Times New Roman"/>
          <w:lang w:val="ru-RU"/>
        </w:rPr>
        <w:t>Bell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Labs</w:t>
      </w:r>
      <w:proofErr w:type="spellEnd"/>
      <w:r w:rsidRPr="00A3191D">
        <w:rPr>
          <w:rFonts w:cs="Times New Roman"/>
          <w:lang w:val="ru-RU"/>
        </w:rPr>
        <w:t xml:space="preserve"> Уильяма Кливленда (по состоянию на 2012 год — профессор статистики в Университете Пердью), в которой он опубликовал план развития технических аспектов статистических исследований и выделил науку о данных как отдельную академическую дисциплину, в которой эти технические аспекты должны быть сконцентрированы[10][11].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В 2002 году Комитетом по данным для науки и техники начат выпуск журнала CODATA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Science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Journal</w:t>
      </w:r>
      <w:proofErr w:type="spellEnd"/>
      <w:r w:rsidRPr="00A3191D">
        <w:rPr>
          <w:rFonts w:cs="Times New Roman"/>
          <w:lang w:val="ru-RU"/>
        </w:rPr>
        <w:t xml:space="preserve">, содержащего в названии наименование дисциплины, а в январе 2003 года вышел первый номер </w:t>
      </w:r>
      <w:proofErr w:type="spellStart"/>
      <w:r w:rsidRPr="00A3191D">
        <w:rPr>
          <w:rFonts w:cs="Times New Roman"/>
          <w:lang w:val="ru-RU"/>
        </w:rPr>
        <w:t>The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Journal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of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Science</w:t>
      </w:r>
      <w:proofErr w:type="spellEnd"/>
      <w:r w:rsidRPr="00A3191D">
        <w:rPr>
          <w:rFonts w:cs="Times New Roman"/>
          <w:lang w:val="ru-RU"/>
        </w:rPr>
        <w:t xml:space="preserve"> Колумбийского университета.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Очередной взлёт широкого интереса к науке о данных относится к появлению парадигмы «больших данных», которая фокусируется на новых технологических возможностях обработки данных больших объёмов и разнообразия, в том числе, за счёт применения методов, разрабатываемых в 2000-е годы в науке о данных. С 2011 года </w:t>
      </w:r>
      <w:proofErr w:type="spellStart"/>
      <w:r w:rsidRPr="00A3191D">
        <w:rPr>
          <w:rFonts w:cs="Times New Roman"/>
          <w:lang w:val="ru-RU"/>
        </w:rPr>
        <w:t>O’Reilly</w:t>
      </w:r>
      <w:proofErr w:type="spellEnd"/>
      <w:r w:rsidRPr="00A3191D">
        <w:rPr>
          <w:rFonts w:cs="Times New Roman"/>
          <w:lang w:val="ru-RU"/>
        </w:rPr>
        <w:t xml:space="preserve"> проводит серию крупных конференций по науке о данных — </w:t>
      </w:r>
      <w:proofErr w:type="spellStart"/>
      <w:proofErr w:type="gramStart"/>
      <w:r w:rsidRPr="00A3191D">
        <w:rPr>
          <w:rFonts w:cs="Times New Roman"/>
          <w:lang w:val="ru-RU"/>
        </w:rPr>
        <w:t>Strata</w:t>
      </w:r>
      <w:proofErr w:type="spellEnd"/>
      <w:r w:rsidRPr="00A3191D">
        <w:rPr>
          <w:rFonts w:cs="Times New Roman"/>
          <w:lang w:val="ru-RU"/>
        </w:rPr>
        <w:t>[</w:t>
      </w:r>
      <w:proofErr w:type="gramEnd"/>
      <w:r w:rsidRPr="00A3191D">
        <w:rPr>
          <w:rFonts w:cs="Times New Roman"/>
          <w:lang w:val="ru-RU"/>
        </w:rPr>
        <w:t xml:space="preserve">12], корпорация EMC начиная с 2011 года проводит ежегодной саммит по науке о данных[13]. </w:t>
      </w:r>
      <w:proofErr w:type="spellStart"/>
      <w:r w:rsidRPr="00A3191D">
        <w:rPr>
          <w:rFonts w:cs="Times New Roman"/>
          <w:lang w:val="ru-RU"/>
        </w:rPr>
        <w:t>McKinsey</w:t>
      </w:r>
      <w:proofErr w:type="spellEnd"/>
      <w:r w:rsidRPr="00A3191D">
        <w:rPr>
          <w:rFonts w:cs="Times New Roman"/>
          <w:lang w:val="ru-RU"/>
        </w:rPr>
        <w:t xml:space="preserve"> в 2011 году спрогнозировал спрос в США на 440—490 тыс. новых специалистов с «глубокими аналитическими навыками по работе с большими данными» к 2018 году и дефицит в 50 % — 60 % в таких специалистах при сохранении образовательных трендов[14], в связи с этим прогнозом во многом был подогрет интерес к созданию учебных программ[15].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В 2012 году профессия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scientist</w:t>
      </w:r>
      <w:proofErr w:type="spellEnd"/>
      <w:r w:rsidRPr="00A3191D">
        <w:rPr>
          <w:rFonts w:cs="Times New Roman"/>
          <w:lang w:val="ru-RU"/>
        </w:rPr>
        <w:t xml:space="preserve"> неоднократно отмечается как одна из самых привлекательных (англ. </w:t>
      </w:r>
      <w:proofErr w:type="spellStart"/>
      <w:r w:rsidRPr="00A3191D">
        <w:rPr>
          <w:rFonts w:cs="Times New Roman"/>
          <w:lang w:val="ru-RU"/>
        </w:rPr>
        <w:t>sexy</w:t>
      </w:r>
      <w:proofErr w:type="spellEnd"/>
      <w:r w:rsidRPr="00A3191D">
        <w:rPr>
          <w:rFonts w:cs="Times New Roman"/>
          <w:lang w:val="ru-RU"/>
        </w:rPr>
        <w:t>) и перспективных в современном мире, утверждается, что такие специалисты будут играть ключевую роль в организациях, за счёт возможностей получения конкурентных преимуществ благодаря анализу, быстрой обработке и извлечению закономерностей в данных, прежде всего, в технологических отраслях[16][5].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С 2013 учебного года Университет Данди, Оклендский университет, Университет Южной Калифорнии запустили магистерские программы по науке о данных, а бизнес-школа Имперского колледжа Лондона — программу подготовки «магистров наук по науке о данных и менеджменту» (англ. </w:t>
      </w:r>
      <w:proofErr w:type="spellStart"/>
      <w:r w:rsidRPr="00A3191D">
        <w:rPr>
          <w:rFonts w:cs="Times New Roman"/>
          <w:lang w:val="ru-RU"/>
        </w:rPr>
        <w:t>MSc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Science</w:t>
      </w:r>
      <w:proofErr w:type="spellEnd"/>
      <w:r w:rsidRPr="00A3191D">
        <w:rPr>
          <w:rFonts w:cs="Times New Roman"/>
          <w:lang w:val="ru-RU"/>
        </w:rPr>
        <w:t xml:space="preserve"> &amp; </w:t>
      </w:r>
      <w:proofErr w:type="spellStart"/>
      <w:proofErr w:type="gramStart"/>
      <w:r w:rsidRPr="00A3191D">
        <w:rPr>
          <w:rFonts w:cs="Times New Roman"/>
          <w:lang w:val="ru-RU"/>
        </w:rPr>
        <w:t>Management</w:t>
      </w:r>
      <w:proofErr w:type="spellEnd"/>
      <w:r w:rsidRPr="00A3191D">
        <w:rPr>
          <w:rFonts w:cs="Times New Roman"/>
          <w:lang w:val="ru-RU"/>
        </w:rPr>
        <w:t>)[</w:t>
      </w:r>
      <w:proofErr w:type="gramEnd"/>
      <w:r w:rsidRPr="00A3191D">
        <w:rPr>
          <w:rFonts w:cs="Times New Roman"/>
          <w:lang w:val="ru-RU"/>
        </w:rPr>
        <w:t>17]. В том же году Вашингтонский университет, Университет Калифорнии в Беркли и Нью-Йоркский университет получили грант в размере $37,8 млн на развитие науки о данных, в рамках которого в течение пяти лет должны будут, в том числе, выстроить учебные программы и создать возможности для академической карьеры в данной области[18].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lastRenderedPageBreak/>
        <w:t xml:space="preserve">Основная практическая цель профессиональной деятельности в науке о данных — обнаружение закономерностей в </w:t>
      </w:r>
      <w:proofErr w:type="gramStart"/>
      <w:r w:rsidRPr="00A3191D">
        <w:rPr>
          <w:rFonts w:cs="Times New Roman"/>
          <w:lang w:val="ru-RU"/>
        </w:rPr>
        <w:t>данных[</w:t>
      </w:r>
      <w:proofErr w:type="gramEnd"/>
      <w:r w:rsidRPr="00A3191D">
        <w:rPr>
          <w:rFonts w:cs="Times New Roman"/>
          <w:lang w:val="ru-RU"/>
        </w:rPr>
        <w:t xml:space="preserve">19], извлечение знаний из данных в обобщённой форме[20]. Для объяснения навыков, необходимых для деятельности в этой области, часто используется диаграмма </w:t>
      </w:r>
      <w:proofErr w:type="gramStart"/>
      <w:r w:rsidRPr="00A3191D">
        <w:rPr>
          <w:rFonts w:cs="Times New Roman"/>
          <w:lang w:val="ru-RU"/>
        </w:rPr>
        <w:t>Венна[</w:t>
      </w:r>
      <w:proofErr w:type="gramEnd"/>
      <w:r w:rsidRPr="00A3191D">
        <w:rPr>
          <w:rFonts w:cs="Times New Roman"/>
          <w:lang w:val="ru-RU"/>
        </w:rPr>
        <w:t xml:space="preserve">21], на которой навыки, требуемые специалисту, отражены на пересечении сфер </w:t>
      </w:r>
      <w:proofErr w:type="spellStart"/>
      <w:r w:rsidRPr="00A3191D">
        <w:rPr>
          <w:rFonts w:cs="Times New Roman"/>
          <w:lang w:val="ru-RU"/>
        </w:rPr>
        <w:t>общепредметного</w:t>
      </w:r>
      <w:proofErr w:type="spellEnd"/>
      <w:r w:rsidRPr="00A3191D">
        <w:rPr>
          <w:rFonts w:cs="Times New Roman"/>
          <w:lang w:val="ru-RU"/>
        </w:rPr>
        <w:t xml:space="preserve"> опыта (англ. </w:t>
      </w:r>
      <w:proofErr w:type="spellStart"/>
      <w:r w:rsidRPr="00A3191D">
        <w:rPr>
          <w:rFonts w:cs="Times New Roman"/>
          <w:lang w:val="ru-RU"/>
        </w:rPr>
        <w:t>substantive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expertise</w:t>
      </w:r>
      <w:proofErr w:type="spellEnd"/>
      <w:r w:rsidRPr="00A3191D">
        <w:rPr>
          <w:rFonts w:cs="Times New Roman"/>
          <w:lang w:val="ru-RU"/>
        </w:rPr>
        <w:t>), практического опыта в информационных технологиях (</w:t>
      </w:r>
      <w:proofErr w:type="spellStart"/>
      <w:r w:rsidRPr="00A3191D">
        <w:rPr>
          <w:rFonts w:cs="Times New Roman"/>
          <w:lang w:val="ru-RU"/>
        </w:rPr>
        <w:t>hacking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skills</w:t>
      </w:r>
      <w:proofErr w:type="spellEnd"/>
      <w:r w:rsidRPr="00A3191D">
        <w:rPr>
          <w:rFonts w:cs="Times New Roman"/>
          <w:lang w:val="ru-RU"/>
        </w:rPr>
        <w:t>) и знания математической статистики[22].</w:t>
      </w:r>
    </w:p>
    <w:p w:rsidR="005D353A" w:rsidRPr="00A3191D" w:rsidRDefault="005D353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В качестве эпистемологической особенности дисциплины указывается приоритет практической применимости результатов, то есть, успешности предсказаний, перед их причинностью, тогда как в традиционных исследовательских областях существенно объяснение природы </w:t>
      </w:r>
      <w:proofErr w:type="gramStart"/>
      <w:r w:rsidRPr="00A3191D">
        <w:rPr>
          <w:rFonts w:cs="Times New Roman"/>
          <w:lang w:val="ru-RU"/>
        </w:rPr>
        <w:t>явления[</w:t>
      </w:r>
      <w:proofErr w:type="gramEnd"/>
      <w:r w:rsidRPr="00A3191D">
        <w:rPr>
          <w:rFonts w:cs="Times New Roman"/>
          <w:lang w:val="ru-RU"/>
        </w:rPr>
        <w:t xml:space="preserve">23]. В сравнении с классической статистикой, на методах которой во многом основывается и наука о данных, в ней подразумевается исследование сверхбольших разнородных массивов цифровой информации и неразрывная связь с информационными технологиями, обеспечивающими их обработку[24]. В сравнении с деятельностью в области проектирования и работы с базами данных, где предполагается предварительное проектирование модели данных, отражающей взаимосвязи предметной области и последующее исследование загруженных данных относительно простыми (арифметическими) методами, в науке о данных предполагается опора на аппарат математической статистики, искусственного интеллекта, машинного обучения, зачастую без предварительной загрузки данных в модели. В сравнении с профессией аналитика, основная цель деятельности которого в описании явлений на основе накопленных данных относительно простыми пользовательскими средствами (вроде электронных таблиц или средств класса </w:t>
      </w:r>
      <w:proofErr w:type="spellStart"/>
      <w:r w:rsidRPr="00A3191D">
        <w:rPr>
          <w:rFonts w:cs="Times New Roman"/>
          <w:lang w:val="ru-RU"/>
        </w:rPr>
        <w:t>Business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Intelligence</w:t>
      </w:r>
      <w:proofErr w:type="spellEnd"/>
      <w:r w:rsidRPr="00A3191D">
        <w:rPr>
          <w:rFonts w:cs="Times New Roman"/>
          <w:lang w:val="ru-RU"/>
        </w:rPr>
        <w:t xml:space="preserve">), профиль специалиста по науке о данных в меньшей степени требует концентрации на содержании предметных областей, но требует более глубоких знаний в математической статистике, машинном обучении, программировании, и в целом более высокого образовательного уровня (магистры, кандидаты наук, </w:t>
      </w:r>
      <w:proofErr w:type="spellStart"/>
      <w:r w:rsidRPr="00A3191D">
        <w:rPr>
          <w:rFonts w:cs="Times New Roman"/>
          <w:lang w:val="ru-RU"/>
        </w:rPr>
        <w:t>Ph.D</w:t>
      </w:r>
      <w:proofErr w:type="spellEnd"/>
      <w:r w:rsidRPr="00A3191D">
        <w:rPr>
          <w:rFonts w:cs="Times New Roman"/>
          <w:lang w:val="ru-RU"/>
        </w:rPr>
        <w:t xml:space="preserve"> в сравнении с бакалаврами и специалистами)[25].</w:t>
      </w:r>
    </w:p>
    <w:p w:rsidR="00AE0C15" w:rsidRPr="00A3191D" w:rsidRDefault="00AE0C15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fldChar w:fldCharType="begin" w:fldLock="1"/>
      </w:r>
      <w:r w:rsidRPr="00A3191D">
        <w:rPr>
          <w:rFonts w:cs="Times New Roman"/>
          <w:lang w:val="ru-RU"/>
        </w:rPr>
        <w:instrText>ADDIN CSL_CITATION {"citationItems":[{"id":"ITEM-1","itemData":{"URL":"https://ru.wikipedia.org/wiki/Наука_о_данных","accessed":{"date-parts":[["2019","4","23"]]},"container-title":"Википедия","id":"ITEM-1","issued":{"date-parts":[["0"]]},"title":"Наука о данных","type":"webpage"},"uris":["http://www.mendeley.com/documents/?uuid=9a92350d-e3a1-45b8-ba55-6c3d086c875f"]}],"mendeley":{"formattedCitation":"[Наука о данных, ]","plainTextFormattedCitation":"[Наука о данных, ]","previouslyFormattedCitation":"[Наука о данных, ]"},"properties":{"noteIndex":0},"schema":"https://github.com/citation-style-language/schema/raw/master/csl-citation.json"}</w:instrText>
      </w:r>
      <w:r w:rsidRPr="00A3191D">
        <w:rPr>
          <w:rFonts w:cs="Times New Roman"/>
          <w:lang w:val="ru-RU"/>
        </w:rPr>
        <w:fldChar w:fldCharType="separate"/>
      </w:r>
      <w:r w:rsidRPr="00A3191D">
        <w:rPr>
          <w:rFonts w:cs="Times New Roman"/>
          <w:noProof/>
          <w:lang w:val="ru-RU"/>
        </w:rPr>
        <w:t>[Наука о данных, ]</w:t>
      </w:r>
      <w:r w:rsidRPr="00A3191D">
        <w:rPr>
          <w:rFonts w:cs="Times New Roman"/>
          <w:lang w:val="ru-RU"/>
        </w:rPr>
        <w:fldChar w:fldCharType="end"/>
      </w:r>
    </w:p>
    <w:p w:rsidR="00A7687A" w:rsidRPr="00A3191D" w:rsidRDefault="002F10BD" w:rsidP="000C7C28">
      <w:pPr>
        <w:pStyle w:val="4"/>
        <w:tabs>
          <w:tab w:val="left" w:pos="567"/>
        </w:tabs>
        <w:rPr>
          <w:rFonts w:ascii="Times New Roman" w:hAnsi="Times New Roman" w:cs="Times New Roman"/>
          <w:lang w:val="ru-RU"/>
        </w:rPr>
      </w:pPr>
      <w:proofErr w:type="spellStart"/>
      <w:r w:rsidRPr="00A3191D">
        <w:rPr>
          <w:rFonts w:ascii="Times New Roman" w:hAnsi="Times New Roman" w:cs="Times New Roman"/>
          <w:lang w:val="ru-RU"/>
        </w:rPr>
        <w:t>Data</w:t>
      </w:r>
      <w:proofErr w:type="spellEnd"/>
      <w:r w:rsidRPr="00A3191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3191D">
        <w:rPr>
          <w:rFonts w:ascii="Times New Roman" w:hAnsi="Times New Roman" w:cs="Times New Roman"/>
          <w:lang w:val="ru-RU"/>
        </w:rPr>
        <w:t>mining</w:t>
      </w:r>
      <w:proofErr w:type="spellEnd"/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 (рус. добыча данных, интеллектуальный анализ данных, глубинный анализ данных) — собирательное название, используемое для обозначения совокупности методов обнаружения в данных ранее неизвестных, нетривиальных, практически полезных и доступных интерпретации знаний, необходимых для принятия решений в различных сферах человеческой деятельности. Термин введён Григорием </w:t>
      </w:r>
      <w:proofErr w:type="spellStart"/>
      <w:r w:rsidRPr="00A3191D">
        <w:rPr>
          <w:rFonts w:cs="Times New Roman"/>
          <w:lang w:val="ru-RU"/>
        </w:rPr>
        <w:t>Пятецким</w:t>
      </w:r>
      <w:proofErr w:type="spellEnd"/>
      <w:r w:rsidRPr="00A3191D">
        <w:rPr>
          <w:rFonts w:cs="Times New Roman"/>
          <w:lang w:val="ru-RU"/>
        </w:rPr>
        <w:t xml:space="preserve">-Шапиро в 1989 </w:t>
      </w:r>
      <w:proofErr w:type="gramStart"/>
      <w:r w:rsidRPr="00A3191D">
        <w:rPr>
          <w:rFonts w:cs="Times New Roman"/>
          <w:lang w:val="ru-RU"/>
        </w:rPr>
        <w:t>году[</w:t>
      </w:r>
      <w:proofErr w:type="gramEnd"/>
      <w:r w:rsidRPr="00A3191D">
        <w:rPr>
          <w:rFonts w:cs="Times New Roman"/>
          <w:lang w:val="ru-RU"/>
        </w:rPr>
        <w:t>1][2][3].</w:t>
      </w: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>Английское словосочетание «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» пока не имеет устоявшегося перевода на русский язык. При передаче на русском языке используются следующие </w:t>
      </w:r>
      <w:proofErr w:type="gramStart"/>
      <w:r w:rsidRPr="00A3191D">
        <w:rPr>
          <w:rFonts w:cs="Times New Roman"/>
          <w:lang w:val="ru-RU"/>
        </w:rPr>
        <w:t>словосочетания[</w:t>
      </w:r>
      <w:proofErr w:type="gramEnd"/>
      <w:r w:rsidRPr="00A3191D">
        <w:rPr>
          <w:rFonts w:cs="Times New Roman"/>
          <w:lang w:val="ru-RU"/>
        </w:rPr>
        <w:t xml:space="preserve">4]: просев информации, добыча данных, извлечение данных, а также интеллектуальный анализ данных[5][6][7]. Более полным и точным является словосочетание «обнаружение знаний в базах данных» (англ. </w:t>
      </w:r>
      <w:proofErr w:type="spellStart"/>
      <w:r w:rsidRPr="00A3191D">
        <w:rPr>
          <w:rFonts w:cs="Times New Roman"/>
          <w:lang w:val="ru-RU"/>
        </w:rPr>
        <w:t>knowledge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discovery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in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databases</w:t>
      </w:r>
      <w:proofErr w:type="spellEnd"/>
      <w:r w:rsidRPr="00A3191D">
        <w:rPr>
          <w:rFonts w:cs="Times New Roman"/>
          <w:lang w:val="ru-RU"/>
        </w:rPr>
        <w:t>, KDD).</w:t>
      </w: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 xml:space="preserve">Основу методов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 составляют всевозможные методы классификации, моделирования и прогнозирования, основанные на применении деревьев решений, искусственных нейронных сетей, генетических алгоритмов, эволюционного программирования, ассоциативной памяти, нечёткой логики. К методам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 нередко относят статистические методы (дескриптивный анализ, корреляционный и регрессионный анализ, факторный анализ, дисперсионный анализ, компонентный анализ, дискриминантный анализ, анализ временных рядов, анализ выживаемости, анализ связей). Такие методы, однако, предполагают некоторые априорные представления об анализируемых данных, что несколько расходится с целями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 (обнаружение ранее неизвестных нетривиальных и практически полезных знаний).</w:t>
      </w: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lastRenderedPageBreak/>
        <w:t xml:space="preserve">Одно из важнейших назначений методов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 состоит в наглядном представлении результатов вычислений (визуализация), что позволяет использовать инструментарий </w:t>
      </w:r>
      <w:proofErr w:type="spellStart"/>
      <w:r w:rsidRPr="00A3191D">
        <w:rPr>
          <w:rFonts w:cs="Times New Roman"/>
          <w:lang w:val="ru-RU"/>
        </w:rPr>
        <w:t>data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mining</w:t>
      </w:r>
      <w:proofErr w:type="spellEnd"/>
      <w:r w:rsidRPr="00A3191D">
        <w:rPr>
          <w:rFonts w:cs="Times New Roman"/>
          <w:lang w:val="ru-RU"/>
        </w:rPr>
        <w:t xml:space="preserve"> людьми, не имеющими специальной математической подготовки.</w:t>
      </w:r>
    </w:p>
    <w:p w:rsidR="00A7687A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</w:p>
    <w:p w:rsidR="00AE0C15" w:rsidRPr="00A3191D" w:rsidRDefault="00A7687A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>Применение статистических методов анализа данных требует хорошего владения теорией вероятностей и математической статистикой.</w:t>
      </w:r>
      <w:r w:rsidR="002F10BD" w:rsidRPr="00A3191D">
        <w:rPr>
          <w:rFonts w:cs="Times New Roman"/>
          <w:lang w:val="ru-RU"/>
        </w:rPr>
        <w:tab/>
      </w:r>
    </w:p>
    <w:p w:rsidR="00C362E5" w:rsidRPr="00A3191D" w:rsidRDefault="00C362E5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3" w:name="_Toc6928464"/>
      <w:r w:rsidRPr="00A3191D">
        <w:rPr>
          <w:rFonts w:ascii="Times New Roman" w:hAnsi="Times New Roman" w:cs="Times New Roman"/>
          <w:lang w:val="ru-RU"/>
        </w:rPr>
        <w:t>Используемые подходы и методы</w:t>
      </w:r>
      <w:bookmarkEnd w:id="3"/>
    </w:p>
    <w:p w:rsidR="00C362E5" w:rsidRPr="00A3191D" w:rsidRDefault="00C362E5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4" w:name="_Toc6928465"/>
      <w:r w:rsidRPr="00A3191D">
        <w:rPr>
          <w:rFonts w:ascii="Times New Roman" w:hAnsi="Times New Roman" w:cs="Times New Roman"/>
          <w:lang w:val="ru-RU"/>
        </w:rPr>
        <w:t>Цель</w:t>
      </w:r>
      <w:bookmarkEnd w:id="4"/>
    </w:p>
    <w:p w:rsidR="00C362E5" w:rsidRPr="00A3191D" w:rsidRDefault="00C362E5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5" w:name="_Toc6928466"/>
      <w:r w:rsidRPr="00A3191D">
        <w:rPr>
          <w:rFonts w:ascii="Times New Roman" w:hAnsi="Times New Roman" w:cs="Times New Roman"/>
          <w:lang w:val="ru-RU"/>
        </w:rPr>
        <w:t>Краткое содержание работы</w:t>
      </w:r>
      <w:bookmarkEnd w:id="5"/>
    </w:p>
    <w:p w:rsidR="00C362E5" w:rsidRPr="00A3191D" w:rsidRDefault="00C362E5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6" w:name="_Toc6928467"/>
      <w:r w:rsidRPr="00A3191D">
        <w:rPr>
          <w:rFonts w:ascii="Times New Roman" w:hAnsi="Times New Roman" w:cs="Times New Roman"/>
          <w:lang w:val="ru-RU"/>
        </w:rPr>
        <w:t>Основные результаты</w:t>
      </w:r>
      <w:bookmarkEnd w:id="6"/>
    </w:p>
    <w:p w:rsidR="004E66C9" w:rsidRPr="00A3191D" w:rsidRDefault="004E66C9" w:rsidP="000C7C28">
      <w:pPr>
        <w:tabs>
          <w:tab w:val="left" w:pos="567"/>
        </w:tabs>
        <w:rPr>
          <w:lang w:val="ru-RU"/>
        </w:rPr>
      </w:pPr>
    </w:p>
    <w:p w:rsidR="004E66C9" w:rsidRPr="00A3191D" w:rsidRDefault="004E66C9" w:rsidP="000C7C28">
      <w:pPr>
        <w:pStyle w:val="1"/>
        <w:tabs>
          <w:tab w:val="left" w:pos="567"/>
        </w:tabs>
        <w:rPr>
          <w:lang w:val="ru-RU"/>
        </w:rPr>
      </w:pPr>
      <w:bookmarkStart w:id="7" w:name="_Toc6928468"/>
      <w:r w:rsidRPr="00A3191D">
        <w:rPr>
          <w:lang w:val="ru-RU"/>
        </w:rPr>
        <w:t>Вводные понятия</w:t>
      </w:r>
      <w:bookmarkEnd w:id="7"/>
    </w:p>
    <w:p w:rsidR="004E66C9" w:rsidRPr="00A3191D" w:rsidRDefault="004E66C9" w:rsidP="000C7C28">
      <w:pPr>
        <w:pStyle w:val="2"/>
        <w:tabs>
          <w:tab w:val="left" w:pos="567"/>
        </w:tabs>
        <w:rPr>
          <w:lang w:val="ru-RU"/>
        </w:rPr>
      </w:pPr>
      <w:bookmarkStart w:id="8" w:name="_Toc6928469"/>
      <w:r w:rsidRPr="00A3191D">
        <w:rPr>
          <w:lang w:val="ru-RU"/>
        </w:rPr>
        <w:t>Смесь нормальных законов распределения</w:t>
      </w:r>
      <w:bookmarkEnd w:id="8"/>
    </w:p>
    <w:p w:rsidR="000C5B3F" w:rsidRPr="00A3191D" w:rsidRDefault="000C5B3F" w:rsidP="000C7C28">
      <w:pPr>
        <w:pStyle w:val="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9" w:name="_Toc6928470"/>
      <w:r w:rsidRPr="00A3191D">
        <w:rPr>
          <w:rFonts w:ascii="Times New Roman" w:hAnsi="Times New Roman" w:cs="Times New Roman"/>
          <w:lang w:val="ru-RU"/>
        </w:rPr>
        <w:t>ЕМ-алгоритм</w:t>
      </w:r>
      <w:bookmarkEnd w:id="9"/>
    </w:p>
    <w:p w:rsidR="00723F73" w:rsidRPr="00A3191D" w:rsidRDefault="00723F73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fldChar w:fldCharType="begin" w:fldLock="1"/>
      </w:r>
      <w:r w:rsidR="00AE0C15" w:rsidRPr="00A3191D">
        <w:rPr>
          <w:rFonts w:cs="Times New Roman"/>
          <w:lang w:val="ru-RU"/>
        </w:rPr>
        <w:instrText>ADDIN CSL_CITATION {"citationItems":[{"id":"ITEM-1","itemData":{"ISBN":"978-5-211-05863-7","author":[{"dropping-particle":"","family":"Королёв","given":"Виктор Юрьевич","non-dropping-particle":"","parse-names":false,"suffix":""}],"id":"ITEM-1","issued":{"date-parts":[["2011"]]},"number-of-pages":"512","publisher":"Издательство Московского университета","publisher-place":"Москва","title":"Вероятностно-статистические методы декомпозиции волатильности хаотических процессов","type":"book"},"uris":["http://www.mendeley.com/documents/?uuid=861fbde8-8f42-4ff3-9959-794d3b2d9742"]}],"mendeley":{"formattedCitation":"[Королёв, 2011]","plainTextFormattedCitation":"[Королёв, 2011]","previouslyFormattedCitation":"[Королёв, 2011]"},"properties":{"noteIndex":0},"schema":"https://github.com/citation-style-language/schema/raw/master/csl-citation.json"}</w:instrText>
      </w:r>
      <w:r w:rsidRPr="00A3191D">
        <w:rPr>
          <w:rFonts w:cs="Times New Roman"/>
          <w:lang w:val="ru-RU"/>
        </w:rPr>
        <w:fldChar w:fldCharType="separate"/>
      </w:r>
      <w:r w:rsidR="0029082F" w:rsidRPr="00A3191D">
        <w:rPr>
          <w:rFonts w:cs="Times New Roman"/>
          <w:noProof/>
          <w:lang w:val="ru-RU"/>
        </w:rPr>
        <w:t>[Королёв, 2011]</w:t>
      </w:r>
      <w:r w:rsidRPr="00A3191D">
        <w:rPr>
          <w:rFonts w:cs="Times New Roman"/>
          <w:lang w:val="ru-RU"/>
        </w:rPr>
        <w:fldChar w:fldCharType="end"/>
      </w:r>
      <w:r w:rsidR="00801EA6" w:rsidRPr="00A3191D">
        <w:rPr>
          <w:rFonts w:cs="Times New Roman"/>
          <w:lang w:val="ru-RU"/>
        </w:rPr>
        <w:t xml:space="preserve"> </w:t>
      </w:r>
      <w:r w:rsidR="0029082F" w:rsidRPr="00A3191D">
        <w:rPr>
          <w:rFonts w:cs="Times New Roman"/>
          <w:lang w:val="ru-RU"/>
        </w:rPr>
        <w:fldChar w:fldCharType="begin" w:fldLock="1"/>
      </w:r>
      <w:r w:rsidR="00AE0C15" w:rsidRPr="00A3191D">
        <w:rPr>
          <w:rFonts w:cs="Times New Roman"/>
          <w:lang w:val="ru-RU"/>
        </w:rPr>
        <w:instrText>ADDIN CSL_CITATION {"citationItems":[{"id":"ITEM-1","itemData":{"ISBN":"978-3-642-21550-6","author":[{"dropping-particle":"","family":"Gentle","given":"James E.","non-dropping-particle":"","parse-names":false,"suffix":""},{"dropping-particle":"","family":"Härdle","given":"Wolfgang K.","non-dropping-particle":"","parse-names":false,"suffix":""},{"dropping-particle":"","family":"Mori","given":"Yuichi","non-dropping-particle":"","parse-names":false,"suffix":""}],"id":"ITEM-1","issued":{"date-parts":[["2012"]]},"number-of-pages":"1192","publisher":"Springer","title":"Springer Handbooks of Computational Statistics","type":"book"},"uris":["http://www.mendeley.com/documents/?uuid=762cad2f-bbcd-45a9-8f2f-48d0c78643ba"]}],"mendeley":{"formattedCitation":"[Gentle, Härdle, Mori, 2012]","plainTextFormattedCitation":"[Gentle, Härdle, Mori, 2012]","previouslyFormattedCitation":"[Gentle, Härdle, Mori, 2012]"},"properties":{"noteIndex":0},"schema":"https://github.com/citation-style-language/schema/raw/master/csl-citation.json"}</w:instrText>
      </w:r>
      <w:r w:rsidR="0029082F" w:rsidRPr="00A3191D">
        <w:rPr>
          <w:rFonts w:cs="Times New Roman"/>
          <w:lang w:val="ru-RU"/>
        </w:rPr>
        <w:fldChar w:fldCharType="separate"/>
      </w:r>
      <w:r w:rsidR="0029082F" w:rsidRPr="00A3191D">
        <w:rPr>
          <w:rFonts w:cs="Times New Roman"/>
          <w:noProof/>
          <w:lang w:val="ru-RU"/>
        </w:rPr>
        <w:t>[Gentle, Härdle, Mori, 2012]</w:t>
      </w:r>
      <w:r w:rsidR="0029082F" w:rsidRPr="00A3191D">
        <w:rPr>
          <w:rFonts w:cs="Times New Roman"/>
          <w:lang w:val="ru-RU"/>
        </w:rPr>
        <w:fldChar w:fldCharType="end"/>
      </w:r>
    </w:p>
    <w:p w:rsidR="00723F73" w:rsidRPr="00A3191D" w:rsidRDefault="00723F73" w:rsidP="000C7C28">
      <w:pPr>
        <w:tabs>
          <w:tab w:val="left" w:pos="567"/>
        </w:tabs>
        <w:rPr>
          <w:rFonts w:cs="Times New Roman"/>
          <w:lang w:val="ru-RU"/>
        </w:rPr>
      </w:pPr>
    </w:p>
    <w:p w:rsidR="000C5B3F" w:rsidRPr="00A3191D" w:rsidRDefault="000C5B3F" w:rsidP="000C7C28">
      <w:pPr>
        <w:pStyle w:val="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0" w:name="_Toc6928471"/>
      <w:r w:rsidRPr="00A3191D">
        <w:rPr>
          <w:rFonts w:ascii="Times New Roman" w:hAnsi="Times New Roman" w:cs="Times New Roman"/>
          <w:lang w:val="ru-RU"/>
        </w:rPr>
        <w:t>Скользящее разделение смесей</w:t>
      </w:r>
      <w:bookmarkEnd w:id="10"/>
    </w:p>
    <w:p w:rsidR="007F47CA" w:rsidRPr="00A3191D" w:rsidRDefault="007F47CA" w:rsidP="000C7C28">
      <w:pPr>
        <w:pStyle w:val="2"/>
        <w:tabs>
          <w:tab w:val="left" w:pos="567"/>
        </w:tabs>
        <w:rPr>
          <w:lang w:val="ru-RU"/>
        </w:rPr>
      </w:pPr>
      <w:bookmarkStart w:id="11" w:name="_Toc6928472"/>
      <w:r w:rsidRPr="00A3191D">
        <w:rPr>
          <w:lang w:val="ru-RU"/>
        </w:rPr>
        <w:t>Описание метода</w:t>
      </w:r>
      <w:bookmarkEnd w:id="11"/>
    </w:p>
    <w:p w:rsidR="00586641" w:rsidRPr="00A3191D" w:rsidRDefault="00586641" w:rsidP="00586641">
      <w:pPr>
        <w:pStyle w:val="2"/>
        <w:rPr>
          <w:lang w:val="ru-RU"/>
        </w:rPr>
      </w:pPr>
      <w:r w:rsidRPr="00A3191D">
        <w:rPr>
          <w:lang w:val="ru-RU"/>
        </w:rPr>
        <w:t>Влияние выбора ширины окна</w:t>
      </w:r>
    </w:p>
    <w:p w:rsidR="00E16D09" w:rsidRPr="00A3191D" w:rsidRDefault="007F47CA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2" w:name="_Toc6928473"/>
      <w:r w:rsidRPr="00A3191D">
        <w:rPr>
          <w:rFonts w:ascii="Times New Roman" w:hAnsi="Times New Roman" w:cs="Times New Roman"/>
          <w:lang w:val="ru-RU"/>
        </w:rPr>
        <w:t>Декомпозиция волатильности финансовых</w:t>
      </w:r>
      <w:r w:rsidRPr="00A3191D">
        <w:rPr>
          <w:rFonts w:ascii="Times New Roman" w:hAnsi="Times New Roman" w:cs="Times New Roman"/>
          <w:lang w:val="ru-RU"/>
        </w:rPr>
        <w:tab/>
      </w:r>
      <w:r w:rsidR="00E16D09" w:rsidRPr="00A3191D">
        <w:rPr>
          <w:rFonts w:ascii="Times New Roman" w:hAnsi="Times New Roman" w:cs="Times New Roman"/>
          <w:lang w:val="ru-RU"/>
        </w:rPr>
        <w:t>индексов</w:t>
      </w:r>
      <w:bookmarkEnd w:id="12"/>
    </w:p>
    <w:p w:rsidR="00E16D09" w:rsidRPr="00A3191D" w:rsidRDefault="00E16D09" w:rsidP="000C7C28">
      <w:pPr>
        <w:pStyle w:val="3"/>
        <w:tabs>
          <w:tab w:val="left" w:pos="567"/>
        </w:tabs>
        <w:rPr>
          <w:lang w:val="ru-RU"/>
        </w:rPr>
      </w:pPr>
      <w:bookmarkStart w:id="13" w:name="_Toc6928474"/>
      <w:r w:rsidRPr="00A3191D">
        <w:rPr>
          <w:lang w:val="ru-RU"/>
        </w:rPr>
        <w:t>Волатильность</w:t>
      </w:r>
      <w:bookmarkEnd w:id="13"/>
    </w:p>
    <w:p w:rsidR="00723F73" w:rsidRPr="00A3191D" w:rsidRDefault="00723F73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fldChar w:fldCharType="begin" w:fldLock="1"/>
      </w:r>
      <w:r w:rsidR="00AE0C15" w:rsidRPr="00A3191D">
        <w:rPr>
          <w:rFonts w:cs="Times New Roman"/>
          <w:lang w:val="ru-RU"/>
        </w:rPr>
        <w:instrText>ADDIN CSL_CITATION {"citationItems":[{"id":"ITEM-1","itemData":{"ISBN":"978-5-211-05863-7","author":[{"dropping-particle":"","family":"Королёв","given":"Виктор Юрьевич","non-dropping-particle":"","parse-names":false,"suffix":""}],"id":"ITEM-1","issued":{"date-parts":[["2011"]]},"number-of-pages":"512","publisher":"Издательство Московского университета","publisher-place":"Москва","title":"Вероятностно-статистические методы декомпозиции волатильности хаотических процессов","type":"book"},"uris":["http://www.mendeley.com/documents/?uuid=861fbde8-8f42-4ff3-9959-794d3b2d9742"]}],"mendeley":{"formattedCitation":"[Королёв, 2011]","plainTextFormattedCitation":"[Королёв, 2011]","previouslyFormattedCitation":"[Королёв, 2011]"},"properties":{"noteIndex":0},"schema":"https://github.com/citation-style-language/schema/raw/master/csl-citation.json"}</w:instrText>
      </w:r>
      <w:r w:rsidRPr="00A3191D">
        <w:rPr>
          <w:rFonts w:cs="Times New Roman"/>
          <w:lang w:val="ru-RU"/>
        </w:rPr>
        <w:fldChar w:fldCharType="separate"/>
      </w:r>
      <w:r w:rsidR="0029082F" w:rsidRPr="00A3191D">
        <w:rPr>
          <w:rFonts w:cs="Times New Roman"/>
          <w:noProof/>
          <w:lang w:val="ru-RU"/>
        </w:rPr>
        <w:t>[Королёв, 2011]</w:t>
      </w:r>
      <w:r w:rsidRPr="00A3191D">
        <w:rPr>
          <w:rFonts w:cs="Times New Roman"/>
          <w:lang w:val="ru-RU"/>
        </w:rPr>
        <w:fldChar w:fldCharType="end"/>
      </w:r>
    </w:p>
    <w:p w:rsidR="007F47CA" w:rsidRPr="00A3191D" w:rsidRDefault="007F47CA" w:rsidP="000C7C28">
      <w:pPr>
        <w:pStyle w:val="2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4" w:name="_Toc6928475"/>
      <w:r w:rsidRPr="00A3191D">
        <w:rPr>
          <w:rFonts w:ascii="Times New Roman" w:hAnsi="Times New Roman" w:cs="Times New Roman"/>
          <w:lang w:val="ru-RU"/>
        </w:rPr>
        <w:t>Изучение турбулентности</w:t>
      </w:r>
      <w:bookmarkEnd w:id="14"/>
    </w:p>
    <w:p w:rsidR="00840472" w:rsidRPr="00A3191D" w:rsidRDefault="000C5B3F" w:rsidP="000C7C28">
      <w:pPr>
        <w:pStyle w:val="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5" w:name="_Toc6928476"/>
      <w:r w:rsidRPr="00A3191D">
        <w:rPr>
          <w:rFonts w:ascii="Times New Roman" w:hAnsi="Times New Roman" w:cs="Times New Roman"/>
          <w:lang w:val="ru-RU"/>
        </w:rPr>
        <w:t>Заключение</w:t>
      </w:r>
      <w:bookmarkEnd w:id="15"/>
    </w:p>
    <w:p w:rsidR="00840472" w:rsidRPr="00A3191D" w:rsidRDefault="003A0557" w:rsidP="000C7C28">
      <w:pPr>
        <w:tabs>
          <w:tab w:val="left" w:pos="567"/>
        </w:tabs>
        <w:spacing w:after="0" w:line="240" w:lineRule="auto"/>
        <w:rPr>
          <w:rFonts w:eastAsiaTheme="majorEastAsia" w:cs="Times New Roman"/>
          <w:color w:val="2F5496" w:themeColor="accent1" w:themeShade="BF"/>
          <w:sz w:val="32"/>
          <w:szCs w:val="32"/>
          <w:lang w:val="ru-RU"/>
        </w:rPr>
      </w:pPr>
      <w:r w:rsidRPr="00A3191D">
        <w:rPr>
          <w:rFonts w:cs="Times New Roman"/>
          <w:lang w:val="ru-RU"/>
        </w:rPr>
        <w:t xml:space="preserve">В данной работе было показано </w:t>
      </w:r>
      <w:proofErr w:type="spellStart"/>
      <w:r w:rsidRPr="00A3191D">
        <w:rPr>
          <w:rFonts w:cs="Times New Roman"/>
          <w:lang w:val="ru-RU"/>
        </w:rPr>
        <w:t>бла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бла</w:t>
      </w:r>
      <w:proofErr w:type="spellEnd"/>
      <w:r w:rsidRPr="00A3191D">
        <w:rPr>
          <w:rFonts w:cs="Times New Roman"/>
          <w:lang w:val="ru-RU"/>
        </w:rPr>
        <w:t xml:space="preserve"> </w:t>
      </w:r>
      <w:proofErr w:type="spellStart"/>
      <w:r w:rsidRPr="00A3191D">
        <w:rPr>
          <w:rFonts w:cs="Times New Roman"/>
          <w:lang w:val="ru-RU"/>
        </w:rPr>
        <w:t>б</w:t>
      </w:r>
      <w:bookmarkStart w:id="16" w:name="_GoBack"/>
      <w:bookmarkEnd w:id="16"/>
      <w:r w:rsidRPr="00A3191D">
        <w:rPr>
          <w:rFonts w:cs="Times New Roman"/>
          <w:lang w:val="ru-RU"/>
        </w:rPr>
        <w:t>ла</w:t>
      </w:r>
      <w:proofErr w:type="spellEnd"/>
      <w:r w:rsidRPr="00A3191D">
        <w:rPr>
          <w:rFonts w:cs="Times New Roman"/>
          <w:lang w:val="ru-RU"/>
        </w:rPr>
        <w:t>.</w:t>
      </w:r>
    </w:p>
    <w:p w:rsidR="00723F73" w:rsidRPr="00A3191D" w:rsidRDefault="00840472" w:rsidP="000C7C28">
      <w:pPr>
        <w:pStyle w:val="1"/>
        <w:tabs>
          <w:tab w:val="left" w:pos="567"/>
        </w:tabs>
        <w:rPr>
          <w:rFonts w:ascii="Times New Roman" w:hAnsi="Times New Roman" w:cs="Times New Roman"/>
          <w:lang w:val="ru-RU"/>
        </w:rPr>
      </w:pPr>
      <w:bookmarkStart w:id="17" w:name="_Toc6928477"/>
      <w:r w:rsidRPr="00A3191D">
        <w:rPr>
          <w:rFonts w:ascii="Times New Roman" w:hAnsi="Times New Roman" w:cs="Times New Roman"/>
          <w:lang w:val="ru-RU"/>
        </w:rPr>
        <w:t>Список литератур</w:t>
      </w:r>
      <w:r w:rsidR="00723F73" w:rsidRPr="00A3191D">
        <w:rPr>
          <w:rFonts w:ascii="Times New Roman" w:hAnsi="Times New Roman" w:cs="Times New Roman"/>
          <w:lang w:val="ru-RU"/>
        </w:rPr>
        <w:t>ы</w:t>
      </w:r>
      <w:bookmarkEnd w:id="17"/>
    </w:p>
    <w:p w:rsidR="00AE0C15" w:rsidRPr="00A3191D" w:rsidRDefault="00723F73" w:rsidP="000C7C28">
      <w:pPr>
        <w:tabs>
          <w:tab w:val="left" w:pos="567"/>
        </w:tabs>
        <w:rPr>
          <w:rFonts w:cs="Times New Roman"/>
          <w:noProof/>
          <w:lang w:val="ru-RU"/>
        </w:rPr>
      </w:pPr>
      <w:r w:rsidRPr="00A3191D">
        <w:rPr>
          <w:rFonts w:cs="Times New Roman"/>
          <w:lang w:val="ru-RU"/>
        </w:rPr>
        <w:fldChar w:fldCharType="begin" w:fldLock="1"/>
      </w:r>
      <w:r w:rsidRPr="00A3191D">
        <w:rPr>
          <w:rFonts w:cs="Times New Roman"/>
          <w:lang w:val="ru-RU"/>
        </w:rPr>
        <w:instrText xml:space="preserve">ADDIN Mendeley Bibliography CSL_BIBLIOGRAPHY </w:instrText>
      </w:r>
      <w:r w:rsidRPr="00A3191D">
        <w:rPr>
          <w:rFonts w:cs="Times New Roman"/>
          <w:lang w:val="ru-RU"/>
        </w:rPr>
        <w:fldChar w:fldCharType="separate"/>
      </w:r>
      <w:r w:rsidR="00AE0C15" w:rsidRPr="00A3191D">
        <w:rPr>
          <w:rFonts w:cs="Times New Roman"/>
          <w:noProof/>
          <w:lang w:val="ru-RU"/>
        </w:rPr>
        <w:t>1. Gentle J.E., Härdle W.K., Mori Y. Springer Handbooks of Computational Statistics. : Springer, 2012. 1192 с.</w:t>
      </w:r>
    </w:p>
    <w:p w:rsidR="00AE0C15" w:rsidRPr="00A3191D" w:rsidRDefault="00AE0C15" w:rsidP="000C7C28">
      <w:pPr>
        <w:tabs>
          <w:tab w:val="left" w:pos="567"/>
        </w:tabs>
        <w:rPr>
          <w:rFonts w:cs="Times New Roman"/>
          <w:noProof/>
          <w:lang w:val="ru-RU"/>
        </w:rPr>
      </w:pPr>
      <w:r w:rsidRPr="00A3191D">
        <w:rPr>
          <w:rFonts w:cs="Times New Roman"/>
          <w:noProof/>
          <w:lang w:val="ru-RU"/>
        </w:rPr>
        <w:t>2. Королёв В.Ю. Вероятностно-статистические методы декомпозиции волатильности хаотических процессов. Москва: Издательство Московского университета, 2011. 512 с.</w:t>
      </w:r>
    </w:p>
    <w:p w:rsidR="00AE0C15" w:rsidRPr="00A3191D" w:rsidRDefault="00AE0C15" w:rsidP="000C7C28">
      <w:pPr>
        <w:tabs>
          <w:tab w:val="left" w:pos="567"/>
        </w:tabs>
        <w:rPr>
          <w:rFonts w:cs="Times New Roman"/>
          <w:noProof/>
          <w:lang w:val="ru-RU"/>
        </w:rPr>
      </w:pPr>
      <w:r w:rsidRPr="00A3191D">
        <w:rPr>
          <w:rFonts w:cs="Times New Roman"/>
          <w:noProof/>
          <w:lang w:val="ru-RU"/>
        </w:rPr>
        <w:t>3. Наука о данных [Электронный ресурс]. URL: https://ru.wikipedia.org/wiki/Наука_о_данных (дата обращения: 23.04.2019).</w:t>
      </w:r>
    </w:p>
    <w:p w:rsidR="00723F73" w:rsidRPr="00A3191D" w:rsidRDefault="00723F73" w:rsidP="000C7C28">
      <w:pPr>
        <w:pStyle w:val="1"/>
        <w:tabs>
          <w:tab w:val="left" w:pos="567"/>
        </w:tabs>
        <w:rPr>
          <w:rFonts w:ascii="Times New Roman" w:hAnsi="Times New Roman" w:cs="Times New Roman"/>
          <w:lang w:val="ru-RU"/>
        </w:rPr>
      </w:pPr>
      <w:r w:rsidRPr="00A3191D">
        <w:rPr>
          <w:rFonts w:ascii="Times New Roman" w:hAnsi="Times New Roman" w:cs="Times New Roman"/>
          <w:lang w:val="ru-RU"/>
        </w:rPr>
        <w:fldChar w:fldCharType="end"/>
      </w:r>
      <w:bookmarkStart w:id="18" w:name="_Toc6928478"/>
      <w:r w:rsidR="00801EA6" w:rsidRPr="00A3191D">
        <w:rPr>
          <w:rFonts w:ascii="Times New Roman" w:hAnsi="Times New Roman" w:cs="Times New Roman"/>
          <w:lang w:val="ru-RU"/>
        </w:rPr>
        <w:t>Приложение А</w:t>
      </w:r>
      <w:bookmarkEnd w:id="18"/>
    </w:p>
    <w:p w:rsidR="00801EA6" w:rsidRPr="00A3191D" w:rsidRDefault="00801EA6" w:rsidP="000C7C28">
      <w:pPr>
        <w:tabs>
          <w:tab w:val="left" w:pos="567"/>
        </w:tabs>
        <w:rPr>
          <w:rFonts w:cs="Times New Roman"/>
          <w:lang w:val="ru-RU"/>
        </w:rPr>
      </w:pPr>
      <w:r w:rsidRPr="00A3191D">
        <w:rPr>
          <w:rFonts w:cs="Times New Roman"/>
          <w:lang w:val="ru-RU"/>
        </w:rPr>
        <w:t>Рисунки схемы таблицы</w:t>
      </w:r>
    </w:p>
    <w:sectPr w:rsidR="00801EA6" w:rsidRPr="00A3191D" w:rsidSect="005B7B8A">
      <w:footerReference w:type="default" r:id="rId9"/>
      <w:footerReference w:type="first" r:id="rId10"/>
      <w:pgSz w:w="11906" w:h="16838"/>
      <w:pgMar w:top="1134" w:right="850" w:bottom="1134" w:left="1701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0C3" w:rsidRDefault="006C40C3" w:rsidP="005B7B8A">
      <w:pPr>
        <w:spacing w:after="0" w:line="240" w:lineRule="auto"/>
      </w:pPr>
      <w:r>
        <w:separator/>
      </w:r>
    </w:p>
  </w:endnote>
  <w:endnote w:type="continuationSeparator" w:id="0">
    <w:p w:rsidR="006C40C3" w:rsidRDefault="006C40C3" w:rsidP="005B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teraturnaya">
    <w:panose1 w:val="02020503060505020403"/>
    <w:charset w:val="00"/>
    <w:family w:val="roman"/>
    <w:notTrueType/>
    <w:pitch w:val="variable"/>
    <w:sig w:usb0="800002E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584656"/>
      <w:docPartObj>
        <w:docPartGallery w:val="Page Numbers (Bottom of Page)"/>
        <w:docPartUnique/>
      </w:docPartObj>
    </w:sdtPr>
    <w:sdtEndPr/>
    <w:sdtContent>
      <w:p w:rsidR="000C5B3F" w:rsidRDefault="000C5B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B7B8A" w:rsidRDefault="005B7B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B8A" w:rsidRPr="00D3432C" w:rsidRDefault="005B7B8A" w:rsidP="005B7B8A">
    <w:pPr>
      <w:pStyle w:val="a5"/>
      <w:jc w:val="center"/>
      <w:rPr>
        <w:rFonts w:ascii="Literaturnaya" w:hAnsi="Literaturnaya"/>
      </w:rPr>
    </w:pPr>
    <w:r w:rsidRPr="00D3432C">
      <w:rPr>
        <w:rFonts w:ascii="Literaturnaya" w:hAnsi="Literaturnaya" w:cs="Times New Roman"/>
        <w:sz w:val="24"/>
        <w:szCs w:val="24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0C3" w:rsidRDefault="006C40C3" w:rsidP="005B7B8A">
      <w:pPr>
        <w:spacing w:after="0" w:line="240" w:lineRule="auto"/>
      </w:pPr>
      <w:r>
        <w:separator/>
      </w:r>
    </w:p>
  </w:footnote>
  <w:footnote w:type="continuationSeparator" w:id="0">
    <w:p w:rsidR="006C40C3" w:rsidRDefault="006C40C3" w:rsidP="005B7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EF5"/>
    <w:multiLevelType w:val="multilevel"/>
    <w:tmpl w:val="8342F8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4B63A6"/>
    <w:multiLevelType w:val="hybridMultilevel"/>
    <w:tmpl w:val="6B16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3912BD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3D13FD"/>
    <w:multiLevelType w:val="multilevel"/>
    <w:tmpl w:val="F3CCA38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C4A3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D207AA"/>
    <w:multiLevelType w:val="hybridMultilevel"/>
    <w:tmpl w:val="7CE25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93F60"/>
    <w:multiLevelType w:val="hybridMultilevel"/>
    <w:tmpl w:val="BB843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30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F"/>
    <w:rsid w:val="00014A64"/>
    <w:rsid w:val="000743AA"/>
    <w:rsid w:val="000C5B3F"/>
    <w:rsid w:val="000C7C28"/>
    <w:rsid w:val="000E758F"/>
    <w:rsid w:val="00100945"/>
    <w:rsid w:val="001B72A3"/>
    <w:rsid w:val="001E523B"/>
    <w:rsid w:val="0029082F"/>
    <w:rsid w:val="002D1852"/>
    <w:rsid w:val="002F10BD"/>
    <w:rsid w:val="003306DD"/>
    <w:rsid w:val="003A0557"/>
    <w:rsid w:val="004A2985"/>
    <w:rsid w:val="004B249A"/>
    <w:rsid w:val="004E66C9"/>
    <w:rsid w:val="00586641"/>
    <w:rsid w:val="005B7B8A"/>
    <w:rsid w:val="005D353A"/>
    <w:rsid w:val="005E2E44"/>
    <w:rsid w:val="006C40C3"/>
    <w:rsid w:val="00723F73"/>
    <w:rsid w:val="007F47CA"/>
    <w:rsid w:val="00801EA6"/>
    <w:rsid w:val="00840472"/>
    <w:rsid w:val="00847908"/>
    <w:rsid w:val="008C6407"/>
    <w:rsid w:val="009440BE"/>
    <w:rsid w:val="00A3191D"/>
    <w:rsid w:val="00A362A0"/>
    <w:rsid w:val="00A7687A"/>
    <w:rsid w:val="00AE0C15"/>
    <w:rsid w:val="00AE4D61"/>
    <w:rsid w:val="00BC1FB6"/>
    <w:rsid w:val="00C362E5"/>
    <w:rsid w:val="00D33C4C"/>
    <w:rsid w:val="00D3432C"/>
    <w:rsid w:val="00D34B79"/>
    <w:rsid w:val="00D716DE"/>
    <w:rsid w:val="00E16D09"/>
    <w:rsid w:val="00E660CC"/>
    <w:rsid w:val="00E81FCF"/>
    <w:rsid w:val="00E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5EDFA7-D400-2D4D-84C0-1FD4C8B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32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F47C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47C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47C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C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F47C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C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C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C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C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58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B8A"/>
    <w:rPr>
      <w:sz w:val="22"/>
      <w:szCs w:val="22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B8A"/>
    <w:rPr>
      <w:sz w:val="22"/>
      <w:szCs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F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F47CA"/>
    <w:pPr>
      <w:outlineLvl w:val="9"/>
    </w:pPr>
  </w:style>
  <w:style w:type="paragraph" w:styleId="a8">
    <w:name w:val="Title"/>
    <w:basedOn w:val="a"/>
    <w:next w:val="a"/>
    <w:link w:val="a9"/>
    <w:uiPriority w:val="10"/>
    <w:qFormat/>
    <w:rsid w:val="007F4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F47C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C7C28"/>
    <w:pPr>
      <w:tabs>
        <w:tab w:val="left" w:pos="567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0C5B3F"/>
    <w:rPr>
      <w:color w:val="0563C1" w:themeColor="hyperlink"/>
      <w:u w:val="single"/>
    </w:rPr>
  </w:style>
  <w:style w:type="paragraph" w:styleId="ab">
    <w:name w:val="No Spacing"/>
    <w:uiPriority w:val="1"/>
    <w:qFormat/>
    <w:rsid w:val="007F47CA"/>
    <w:pPr>
      <w:spacing w:after="0" w:line="240" w:lineRule="auto"/>
    </w:pPr>
  </w:style>
  <w:style w:type="paragraph" w:styleId="ac">
    <w:name w:val="Bibliography"/>
    <w:basedOn w:val="a"/>
    <w:next w:val="a"/>
    <w:uiPriority w:val="37"/>
    <w:unhideWhenUsed/>
    <w:rsid w:val="00E660CC"/>
  </w:style>
  <w:style w:type="paragraph" w:styleId="ad">
    <w:name w:val="Balloon Text"/>
    <w:basedOn w:val="a"/>
    <w:link w:val="ae"/>
    <w:uiPriority w:val="99"/>
    <w:semiHidden/>
    <w:unhideWhenUsed/>
    <w:rsid w:val="004B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B249A"/>
    <w:rPr>
      <w:rFonts w:ascii="Segoe UI" w:hAnsi="Segoe UI" w:cs="Segoe UI"/>
      <w:sz w:val="18"/>
      <w:szCs w:val="18"/>
      <w:lang w:val="ru-RU" w:eastAsia="ru-RU"/>
    </w:rPr>
  </w:style>
  <w:style w:type="paragraph" w:styleId="af">
    <w:name w:val="footnote text"/>
    <w:basedOn w:val="a"/>
    <w:link w:val="af0"/>
    <w:uiPriority w:val="99"/>
    <w:semiHidden/>
    <w:unhideWhenUsed/>
    <w:rsid w:val="004B249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B249A"/>
    <w:rPr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4B249A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F47C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f2">
    <w:name w:val="List Paragraph"/>
    <w:basedOn w:val="a"/>
    <w:uiPriority w:val="34"/>
    <w:qFormat/>
    <w:rsid w:val="00C362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F47C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F47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47C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F47C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F47C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C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7F4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7F47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7F47CA"/>
    <w:rPr>
      <w:color w:val="5A5A5A" w:themeColor="text1" w:themeTint="A5"/>
      <w:spacing w:val="15"/>
    </w:rPr>
  </w:style>
  <w:style w:type="character" w:styleId="af6">
    <w:name w:val="Strong"/>
    <w:basedOn w:val="a0"/>
    <w:uiPriority w:val="22"/>
    <w:qFormat/>
    <w:rsid w:val="007F47CA"/>
    <w:rPr>
      <w:b/>
      <w:bCs/>
      <w:color w:val="auto"/>
    </w:rPr>
  </w:style>
  <w:style w:type="character" w:styleId="af7">
    <w:name w:val="Emphasis"/>
    <w:basedOn w:val="a0"/>
    <w:uiPriority w:val="20"/>
    <w:qFormat/>
    <w:rsid w:val="007F47CA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7F47C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47CA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F4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7F47CA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F47CA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F47CA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F47CA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F47CA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F47CA"/>
    <w:rPr>
      <w:b/>
      <w:bCs/>
      <w:i/>
      <w:iCs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0C7C28"/>
    <w:pPr>
      <w:tabs>
        <w:tab w:val="left" w:pos="567"/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C7C28"/>
    <w:pPr>
      <w:tabs>
        <w:tab w:val="left" w:pos="567"/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Кор11</b:Tag>
    <b:SourceType>Book</b:SourceType>
    <b:Guid>{7429F832-F7BF-43DE-9978-61A6F22AAE8B}</b:Guid>
    <b:Author>
      <b:Author>
        <b:NameList>
          <b:Person>
            <b:Last>Королев</b:Last>
            <b:First>В.</b:First>
            <b:Middle>Ю.</b:Middle>
          </b:Person>
        </b:NameList>
      </b:Author>
    </b:Author>
    <b:Title>Вероятностно-статистические методы декомпозиции волатильности хаотических процессов.</b:Title>
    <b:Year>2011</b:Year>
    <b:City>Москва</b:City>
    <b:Publisher>Издательство Московского университета</b:Publisher>
    <b:Pages>512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4DC95E36-5BBE-45BC-B56F-E1F8B649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Птицын</cp:lastModifiedBy>
  <cp:revision>28</cp:revision>
  <dcterms:created xsi:type="dcterms:W3CDTF">2019-02-28T21:21:00Z</dcterms:created>
  <dcterms:modified xsi:type="dcterms:W3CDTF">2019-04-25T14:20:00Z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</vt:lpwstr>
  </property>
  <property fmtid="{D5CDD505-2E9C-101B-9397-08002B2CF9AE}" pid="17" name="Mendeley Recent Style Name 7_1">
    <vt:lpwstr>Russian GOST R 7.0.5-2008 (Russian)</vt:lpwstr>
  </property>
  <property fmtid="{D5CDD505-2E9C-101B-9397-08002B2CF9AE}" pid="18" name="Mendeley Recent Style Id 8_1">
    <vt:lpwstr>http://www.zotero.org/styles/gost-r-7-0-5-2008-numeric</vt:lpwstr>
  </property>
  <property fmtid="{D5CDD505-2E9C-101B-9397-08002B2CF9AE}" pid="19" name="Mendeley Recent Style Name 8_1">
    <vt:lpwstr>Russian GOST R 7.0.5-2008 (numeric)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4543f7bb-eb5d-3f07-9242-8c81d33de60f</vt:lpwstr>
  </property>
  <property fmtid="{D5CDD505-2E9C-101B-9397-08002B2CF9AE}" pid="24" name="Mendeley Citation Style_1">
    <vt:lpwstr>http://www.zotero.org/styles/gost-r-7-0-5-2008</vt:lpwstr>
  </property>
</Properties>
</file>