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plane must meet the requirements specified in this advisory circular.</w:t>
      </w:r>
    </w:p>
    <w:p>
      <w:r>
        <w:t>The driver must maintain visual contact with the runway.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