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RELATÓRIO DE INICIAÇÃO CIENTÍFICA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TÍTULO: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ANÁLISE DE DADOS ABERTOS DO ENSINO SUPERIOR BRASILEIRO: UM ESTUDO SOBRE O PERFIL DO FINANCIAMENTO ESTUDANTIL VIA MINERAÇÃO DE DADOS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AUTOR: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LUCAS FERREIRA DIAS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ORIENTADOR: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ANDRÉ LUIS SCHWERZ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INSTITUIÇÃO: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UTFPR - CAMPUS CAMPO MOURÃO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RESUMO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 Fundo de Financiamento Estudantil (FIES) é a principal política pública de financiamento reembolsável para o ensino superior no Brasil. Este trabalho de Iniciação Científica teve como objetivo aplicar técnicas de Ciência de Dados para auditar, higienizar e analisar os microdados do FIES referentes ao triênio 2019-2021, abrangendo todas as áreas do conhecimento. Desenvolveu-se um pipeline de Engenharia de Dados (ETL) automatizado em Python capaz de processar mais de 2,1 milhões de registros, resolvendo inconsistências de formatação, codificação e integrando as bases com o Censo da Educação Superior (INEP). Para mensurar a demanda real, criou-se a métrica de "Candidatos Únicos por Prioridade", eliminando duplicidades estatísticas. Os resultados revelam uma ociosidade estrutural de vagas em nível nacional e confirmam a hipótese da "seletividade financeira": candidatos de baixa renda, mesmo com notas inferiores, apresentam taxas de contratação superiores devido à garantia do subsídio governamental, enquanto candidatos de renda intermediária com alto desempenho acadêmico enfrentam barreiras de crédito, evidenciando que a gestão de risco assumiu protagonismo sobre o mérito acadêmico.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Palavras-chave: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FIES. Mineração de Dados. Políticas Públicas. Seletividade Financeira. Engenharia de Dados.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1. INTRODUÇÃO</w:t>
      </w:r>
    </w:p>
    <w:p w:rsidR="00000000" w:rsidDel="00000000" w:rsidP="00000000" w:rsidRDefault="00000000" w:rsidRPr="00000000" w14:paraId="0000000F">
      <w:pPr>
        <w:spacing w:after="24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 Fundo de Financiamento Estudantil (FIES) passou por uma reestruturação profunda em 2018 (o "Novo Fies"), que prometia sustentabilidade fiscal e foco na meritocracia. No entanto, dados recentes indicam um paradoxo: enquanto o discurso oficial aponta para a "sobra de vagas" por suposta falta de qualificação dos candidatos, a realidade social sugere uma demanda reprimida por ensino superior.</w:t>
      </w:r>
    </w:p>
    <w:p w:rsidR="00000000" w:rsidDel="00000000" w:rsidP="00000000" w:rsidRDefault="00000000" w:rsidRPr="00000000" w14:paraId="00000010">
      <w:pPr>
        <w:spacing w:after="240" w:before="24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 disponibilização dos microdados pelo Ministério da Educação (MEC) permite auditar essa contradição. Contudo, os dados brutos apresentam desafios de "Big Data", duplicidade de registros, inconsistências de formatação e falta de integração com o Censo da Educação Superior que historicamente dificultaram diagnósticos precisos sobre a eficácia do programa.</w:t>
      </w:r>
    </w:p>
    <w:p w:rsidR="00000000" w:rsidDel="00000000" w:rsidP="00000000" w:rsidRDefault="00000000" w:rsidRPr="00000000" w14:paraId="00000011">
      <w:pPr>
        <w:spacing w:after="240" w:before="24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Nesse contexto, este projeto de Iniciação Científica não se limitou a higienizar a base de dados (processo de ETL), mas utilizou a Mineração de Dados para investigar a hipótese da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"Seletividade Financeira"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. O estudo parte da premissa de que a ociosidade de vagas no triênio 2019-2021 não decorre apenas da falta de nota (mérito acadêmico), mas de barreiras de solvência (capacidade de pagamento e fiador) impostas pelo novo desenho da política pública.</w:t>
      </w:r>
    </w:p>
    <w:p w:rsidR="00000000" w:rsidDel="00000000" w:rsidP="00000000" w:rsidRDefault="00000000" w:rsidRPr="00000000" w14:paraId="00000012">
      <w:pPr>
        <w:spacing w:after="240" w:before="24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Ao estruturar um pipeline de dados capaz de identificar a "Demanda Real" (Candidatos Únicos) e cruzar o desempenho acadêmico (Notas do ENEM) com a condição socioeconômica (Renda), este trabalho busca evidenciar se o FIES atual prioriza o aluno com melhor desempenho pedagógico ou o aluno com menor risco financeiro para o agente bancário.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2. OBJETIVOS</w:t>
      </w:r>
    </w:p>
    <w:p w:rsidR="00000000" w:rsidDel="00000000" w:rsidP="00000000" w:rsidRDefault="00000000" w:rsidRPr="00000000" w14:paraId="0000001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2.1. Objetivo Geral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Realizar uma Análise Exploratória de Dados (AED) abrangente sobre o cenário do FIES no Brasil, investigando o fenômeno da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ociosidade estrutural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 da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seletividade financeira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no Novo Fies (2019-2021), analisando se os gargalos de acesso ao ensino superior são motivados por insuficiência de mérito acadêmico ou por barreiras de solvência financeira e burocrática.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2.2. Objetivos Específicos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Engenharia de Dados: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Implementar um pipeline ETL (Extract, Transform, Load) automatizado em Python para a ingestão, limpeza e padronização dos microdados do MEC.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Integridade: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Sanear a base de dados, removendo duplicatas e corrigindo inconsistências de tipagem através de algoritmos de validação de integridade onde Total de Linhas = Total de Linhas Únicas.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Classificação CINE: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Enriquecer os dados integrando-os com o Censo da Educação Superior, utilizando algoritmos de "autocura" para classificar cursos com códigos ausentes e criando as colunas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codigo_cine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 nome_area_cine.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Implementar a segmentação de candidatos por Modalidade (1, 2, 3, P-FIES ou Eliminado) baseada no salário mínimo vigente de cada ano.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Análise de Eficiência: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Mensurar a demanda real utilizando a métrica de "Candidatos Únicos por Prioridade" e analisar o funil de conversão por Grandes Regiões.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firstLine="0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3. MATERIAIS E MÉTODOS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 metodologia foi estruturada em um fluxo de maturação da informação, dividido em módulos sequenciais de processamento auditável, conforme detalhado a seguir.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3.1. Ferramentas e Tecnologias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 projeto foi desenvolvido utilizando a linguagem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Python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 as seguintes bibliotecas e ferramentas: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Pandas: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Para manipulação de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DataFrames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, leitura de arquivos CSV de grande porte e operações vetoriais.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OS 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Shutil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Para manipulação programática do sistema de arquivos e organização de diretórios.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Git: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Para versionamento do código.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Ambiente: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VS Code integrado com Jupyter Notebooks para prototipagem.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firstLine="0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3.2. Arquitetura do Pipeline ETL e Ingestão (Pipeline Inicial)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 primeira etapa técnica consistiu na resolução da heterogeneidade dos dados brutos baixados do Portal de Dados Abertos.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Padronização de Nomenclatura: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Script de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renomeação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automática para o formato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ano_tipo_semestre.csv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Tratamento de Encoding: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Leitura forçada em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Latin-1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para preservar a acentuação e conversão de separadores decimais (vírgula para ponto) para viabilizar cálculos numéricos.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Deduplicação: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Aplicação de algoritmos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drop_duplicates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para remover redundâncias exatas geradas na origem.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firstLine="0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3.3. Normalização e Validação de Integridade (Módulo 1)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Nesta etapa, os dados foram preparados para operações relacionais.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Sanitização via Regex: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Aplicação de Expressões Regulares para limpar cabeçalhos, removendo espaços extras e convertendo para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snake_case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(ex: "Renda mensal" -&gt; "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renda_mensal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").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Sufixação: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Adição automática de sufixos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_inscricao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_ofertas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para evitar colisão de nomes durante o cruzamento das bases.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firstLine="0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  <w:b w:val="1"/>
          <w:bCs w:val="1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Validação de Integridade (Chaves Primárias):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Para garantir a unicidade, foram definidas Chaves Primárias (PK) compostas.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Inscrições: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id_estudante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+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opcoes_cursos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Ofertas: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codigo_mantenedora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+ local + curso + turno.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Executou-se um algoritmo de verificação a cada etapa do processo que comparou: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Total de Linhas vs. Total de Linhas Únicas (Agrupadas pela PK)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. O teste confirmou a integridade de 100% da base de inscrições e detectou/corrigiu linhas vazias espúrias na base de ofertas de 2020.1.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firstLine="0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3.4. Enriquecimento e Classificação CINE (Módulo 1.3 e Módulo 2)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 classificação baseada apenas em nomes de cursos é imprecisa. Realizou-se a integração com os Microdados do Censo da Educação Superior (INEP 2016-2024).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  <w:b w:val="1"/>
          <w:bCs w:val="1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A. Construção do Dataset Mestre: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Unificação de 9 anos de Censo em um dicionário histórico, selecionando apenas colunas estáveis (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CO_CURSO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NO_CINE_AREA_GERAL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) para evitar erros de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rtl w:val="0"/>
        </w:rPr>
        <w:t xml:space="preserve">Schema Drift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detectados no Censo de 2020.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  <w:b w:val="1"/>
          <w:bCs w:val="1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B. Autocura de Dados (Data Healing - Módulo 2):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Após o cruzamento inicial (Left Join), cerca de 25.000 registros de inscrições permaneceram sem código CINE (NaN). Desenvolveu-se um algoritmo de imputação baseado em conhecimento prévio: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Criou-se uma tabela auxiliar mapeando "Nome do Curso" -&gt; "Área CINE" a partir dos registros válidos.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Aplicou-se esse dicionário aos registros órfãos.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Resultado: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Foram criadas e populadas as colunas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codigo_cine_area_geral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e nome_cine_area_geral. A base de inscrições atingiu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100% de preenchimento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(0 NaNs) e a de ofertas 99,9%, garantindo que nenhuma área do conhecimento fosse excluída da análise.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firstLine="0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3.5. Regras de Negócio: Modalidades e Regionalização (Módulo 3)</w:t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Para a análise socioeconômica, implementou-se a classificação oficial do FIES baseada no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Salário Mínimo (SM)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nominal de cada ano (2019: R$998; 2020: R$1.045; 2021: R$1.100). Foi criada a coluna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modalidade_fies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com as seguintes categorias: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Modalidade 1: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Renda per capita até 3 SM.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Modalidade 2: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Renda entre 3 e 5 SM (Regiões N/NE/CO).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Modalidade 3 (P-FIES):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Renda entre 3 e 5 SM (Regiões S/SE/CO).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  <w:jc w:val="both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Eliminado: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Candidatos com renda nula, superior a 5 SM ou inconsistentes (P-FIES em curso sem oferta P-FIES).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Adicionalmente, criou-se a coluna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regiao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(Norte, Sul, etc.) baseada na UF, para permitir análises macro regionais em vez de estaduais.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3.6. Consolidação (Módulo 4)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Os dados semestrais foram concatenados (pd.concat) e ordenados cronologicamente, gerando os arquivos mestres finais: inscritos_limpo.csv (2.197.234 registros) e ofertas_limpo.csv (143.622 registros).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spacing w:after="120" w:before="0" w:line="276" w:lineRule="auto"/>
        <w:jc w:val="both"/>
        <w:rPr>
          <w:rFonts w:ascii="Google Sans" w:cs="Google Sans" w:eastAsia="Google Sans" w:hAnsi="Google Sans"/>
          <w:sz w:val="36"/>
          <w:szCs w:val="36"/>
        </w:rPr>
      </w:pPr>
      <w:bookmarkStart w:colFirst="0" w:colLast="0" w:name="_8kd9lccb5sj" w:id="0"/>
      <w:bookmarkEnd w:id="0"/>
      <w:r w:rsidDel="00000000" w:rsidR="00000000" w:rsidRPr="00000000">
        <w:rPr>
          <w:rFonts w:ascii="Google Sans" w:cs="Google Sans" w:eastAsia="Google Sans" w:hAnsi="Google Sans"/>
          <w:sz w:val="36"/>
          <w:szCs w:val="36"/>
          <w:rtl w:val="0"/>
        </w:rPr>
        <w:t xml:space="preserve">4. ANÁLISE EXPLORATÓRIA: O FUNIL E A DEMANDA REAL</w:t>
      </w:r>
    </w:p>
    <w:p w:rsidR="00000000" w:rsidDel="00000000" w:rsidP="00000000" w:rsidRDefault="00000000" w:rsidRPr="00000000" w14:paraId="00000050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A compreensão da dinâmica do FIES exige superar a análise superficial do número bruto de inscrições, que frequentemente infla a percepção de demanda devido à duplicidade de tentativas por um mesmo indivíduo. Para mensurar a eficiência real da política pública, este trabalho desenvolveu métricas de unicidade e taxas de conversão baseadas no pipeline de contratação.</w:t>
      </w:r>
    </w:p>
    <w:p w:rsidR="00000000" w:rsidDel="00000000" w:rsidP="00000000" w:rsidRDefault="00000000" w:rsidRPr="00000000" w14:paraId="00000051">
      <w:pPr>
        <w:pStyle w:val="Heading2"/>
        <w:spacing w:after="80" w:before="0" w:line="276" w:lineRule="auto"/>
        <w:jc w:val="both"/>
        <w:rPr>
          <w:rFonts w:ascii="Google Sans" w:cs="Google Sans" w:eastAsia="Google Sans" w:hAnsi="Google Sans"/>
          <w:sz w:val="28"/>
          <w:szCs w:val="28"/>
        </w:rPr>
      </w:pPr>
      <w:bookmarkStart w:colFirst="0" w:colLast="0" w:name="_l5q3qqqnpgwf" w:id="1"/>
      <w:bookmarkEnd w:id="1"/>
      <w:r w:rsidDel="00000000" w:rsidR="00000000" w:rsidRPr="00000000">
        <w:rPr>
          <w:rFonts w:ascii="Google Sans" w:cs="Google Sans" w:eastAsia="Google Sans" w:hAnsi="Google Sans"/>
          <w:sz w:val="28"/>
          <w:szCs w:val="28"/>
          <w:rtl w:val="0"/>
        </w:rPr>
        <w:t xml:space="preserve">4.1. Metodologia: Candidatos Únicos por Prioridade</w:t>
      </w:r>
    </w:p>
    <w:p w:rsidR="00000000" w:rsidDel="00000000" w:rsidP="00000000" w:rsidRDefault="00000000" w:rsidRPr="00000000" w14:paraId="00000052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O FIES permite que um mesmo estudante se inscreva em múltiplas opções de curso ou participe de diferentes semestres. Para evitar distorções estatísticas, implementou-se o algoritmo de </w:t>
      </w:r>
      <w:r w:rsidDel="00000000" w:rsidR="00000000" w:rsidRPr="00000000">
        <w:rPr>
          <w:b w:val="1"/>
          <w:bCs w:val="1"/>
          <w:rtl w:val="0"/>
        </w:rPr>
        <w:t xml:space="preserve">"Candidatos Únicos por Prioridade"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3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O método agrupa os registros pelo CPF (</w:t>
      </w:r>
      <w:r w:rsidDel="00000000" w:rsidR="00000000" w:rsidRPr="00000000">
        <w:rPr>
          <w:b w:val="1"/>
          <w:bCs w:val="1"/>
          <w:rtl w:val="0"/>
        </w:rPr>
        <w:t xml:space="preserve">id_estudante</w:t>
      </w:r>
      <w:r w:rsidDel="00000000" w:rsidR="00000000" w:rsidRPr="00000000">
        <w:rPr>
          <w:rtl w:val="0"/>
        </w:rPr>
        <w:t xml:space="preserve">) e condensa o histórico do candidato em um único status final, respeitando a hierarquia de sucesso do programa: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Contratada</w:t>
      </w:r>
      <w:r w:rsidDel="00000000" w:rsidR="00000000" w:rsidRPr="00000000">
        <w:rPr>
          <w:rtl w:val="0"/>
        </w:rPr>
        <w:t xml:space="preserve"> (Maior prioridade: o aluno obteve o financiamento).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Pré-Selecionado</w:t>
      </w:r>
      <w:r w:rsidDel="00000000" w:rsidR="00000000" w:rsidRPr="00000000">
        <w:rPr>
          <w:rtl w:val="0"/>
        </w:rPr>
        <w:t xml:space="preserve"> (O aluno foi chamado, mas não contratou).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Não Contratado</w:t>
      </w:r>
      <w:r w:rsidDel="00000000" w:rsidR="00000000" w:rsidRPr="00000000">
        <w:rPr>
          <w:rtl w:val="0"/>
        </w:rPr>
        <w:t xml:space="preserve"> ( Desfechos de insucesso burocrático).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Lista de Espera</w:t>
      </w:r>
      <w:r w:rsidDel="00000000" w:rsidR="00000000" w:rsidRPr="00000000">
        <w:rPr>
          <w:rtl w:val="0"/>
        </w:rPr>
        <w:t xml:space="preserve"> (O aluno não foi chamado a priori).</w:t>
      </w:r>
    </w:p>
    <w:p w:rsidR="00000000" w:rsidDel="00000000" w:rsidP="00000000" w:rsidRDefault="00000000" w:rsidRPr="00000000" w14:paraId="00000058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Essa abordagem permitiu identificar </w:t>
      </w:r>
      <w:r w:rsidDel="00000000" w:rsidR="00000000" w:rsidRPr="00000000">
        <w:rPr>
          <w:b w:val="1"/>
          <w:bCs w:val="1"/>
          <w:rtl w:val="0"/>
        </w:rPr>
        <w:t xml:space="preserve">1.109.893 indivíduos únicos</w:t>
      </w:r>
      <w:r w:rsidDel="00000000" w:rsidR="00000000" w:rsidRPr="00000000">
        <w:rPr>
          <w:rtl w:val="0"/>
        </w:rPr>
        <w:t xml:space="preserve"> no triênio 2019-2021, purificando a base de dados de mais de 2,1 milhões de registros brutos.</w:t>
      </w:r>
    </w:p>
    <w:p w:rsidR="00000000" w:rsidDel="00000000" w:rsidP="00000000" w:rsidRDefault="00000000" w:rsidRPr="00000000" w14:paraId="00000059">
      <w:pPr>
        <w:pStyle w:val="Heading2"/>
        <w:spacing w:after="80" w:before="0" w:line="276" w:lineRule="auto"/>
        <w:jc w:val="both"/>
        <w:rPr>
          <w:rFonts w:ascii="Google Sans" w:cs="Google Sans" w:eastAsia="Google Sans" w:hAnsi="Google Sans"/>
          <w:sz w:val="28"/>
          <w:szCs w:val="28"/>
        </w:rPr>
      </w:pPr>
      <w:bookmarkStart w:colFirst="0" w:colLast="0" w:name="_xd60jd492ahi" w:id="2"/>
      <w:bookmarkEnd w:id="2"/>
      <w:r w:rsidDel="00000000" w:rsidR="00000000" w:rsidRPr="00000000">
        <w:rPr>
          <w:rFonts w:ascii="Google Sans" w:cs="Google Sans" w:eastAsia="Google Sans" w:hAnsi="Google Sans"/>
          <w:sz w:val="28"/>
          <w:szCs w:val="28"/>
          <w:rtl w:val="0"/>
        </w:rPr>
        <w:t xml:space="preserve">4.2. O Funil de Conversão e a Ociosidade Estrutural</w:t>
      </w:r>
    </w:p>
    <w:p w:rsidR="00000000" w:rsidDel="00000000" w:rsidP="00000000" w:rsidRDefault="00000000" w:rsidRPr="00000000" w14:paraId="0000005A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A análise do funil de conversão (Vagas -&gt; Candidatos Únicos -&gt; Aptos com Nota -&gt; Contratados) revelou uma </w:t>
      </w:r>
      <w:r w:rsidDel="00000000" w:rsidR="00000000" w:rsidRPr="00000000">
        <w:rPr>
          <w:b w:val="1"/>
          <w:bCs w:val="1"/>
          <w:rtl w:val="0"/>
        </w:rPr>
        <w:t xml:space="preserve">ociosidade estrutural</w:t>
      </w:r>
      <w:r w:rsidDel="00000000" w:rsidR="00000000" w:rsidRPr="00000000">
        <w:rPr>
          <w:rtl w:val="0"/>
        </w:rPr>
        <w:t xml:space="preserve"> sistêmica. Ao contrário do senso comum de que vagas sobram por falta de mérito acadêmico, os dados processados indicam o oposto.</w:t>
      </w:r>
    </w:p>
    <w:p w:rsidR="00000000" w:rsidDel="00000000" w:rsidP="00000000" w:rsidRDefault="00000000" w:rsidRPr="00000000" w14:paraId="0000005B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Definiu-se a métrica de </w:t>
      </w:r>
      <w:r w:rsidDel="00000000" w:rsidR="00000000" w:rsidRPr="00000000">
        <w:rPr>
          <w:b w:val="1"/>
          <w:bCs w:val="1"/>
          <w:rtl w:val="0"/>
        </w:rPr>
        <w:t xml:space="preserve">"Candidatos Aptos"</w:t>
      </w:r>
      <w:r w:rsidDel="00000000" w:rsidR="00000000" w:rsidRPr="00000000">
        <w:rPr>
          <w:rtl w:val="0"/>
        </w:rPr>
        <w:t xml:space="preserve"> como aqueles cuja média no ENEM foi igual ou superior à nota de corte do grupo de preferência (Média maior ou igual à Nota de Corte). A análise das taxas de conversão calculadas (vide </w:t>
      </w:r>
      <w:r w:rsidDel="00000000" w:rsidR="00000000" w:rsidRPr="00000000">
        <w:rPr>
          <w:i w:val="1"/>
          <w:iCs w:val="1"/>
          <w:rtl w:val="0"/>
        </w:rPr>
        <w:t xml:space="preserve">Tabela de Taxas Regionais</w:t>
      </w:r>
      <w:r w:rsidDel="00000000" w:rsidR="00000000" w:rsidRPr="00000000">
        <w:rPr>
          <w:rtl w:val="0"/>
        </w:rPr>
        <w:t xml:space="preserve">) demonstra que o número de </w:t>
      </w:r>
      <w:r w:rsidDel="00000000" w:rsidR="00000000" w:rsidRPr="00000000">
        <w:rPr>
          <w:b w:val="1"/>
          <w:bCs w:val="1"/>
          <w:rtl w:val="0"/>
        </w:rPr>
        <w:t xml:space="preserve">Candidatos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Inscritos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Aptos</w:t>
      </w:r>
      <w:r w:rsidDel="00000000" w:rsidR="00000000" w:rsidRPr="00000000">
        <w:rPr>
          <w:rtl w:val="0"/>
        </w:rPr>
        <w:t xml:space="preserve"> é frequentemente superior ao número de </w:t>
      </w:r>
      <w:r w:rsidDel="00000000" w:rsidR="00000000" w:rsidRPr="00000000">
        <w:rPr>
          <w:rtl w:val="0"/>
        </w:rPr>
        <w:t xml:space="preserve">Vagas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Ocupadas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spacing w:after="24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Imagem 1 de Funil de Seleção do Fies: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2540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Imagem</w:t>
      </w:r>
      <w:r w:rsidDel="00000000" w:rsidR="00000000" w:rsidRPr="00000000">
        <w:rPr>
          <w:b w:val="1"/>
          <w:bCs w:val="1"/>
          <w:rtl w:val="0"/>
        </w:rPr>
        <w:t xml:space="preserve"> 2 de Taxas Regionais: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2540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Observa-se visualmente que a quebra do funil não ocorre na etapa de qualificação ( inscritos com notas acima da nota de corte), mas na etapa de efetivação do contrato. A </w:t>
      </w:r>
      <w:r w:rsidDel="00000000" w:rsidR="00000000" w:rsidRPr="00000000">
        <w:rPr>
          <w:b w:val="1"/>
          <w:bCs w:val="1"/>
          <w:rtl w:val="0"/>
        </w:rPr>
        <w:t xml:space="preserve">taxa_candidatos_capacitados</w:t>
      </w:r>
      <w:r w:rsidDel="00000000" w:rsidR="00000000" w:rsidRPr="00000000">
        <w:rPr>
          <w:rtl w:val="0"/>
        </w:rPr>
        <w:t xml:space="preserve"> (Contratos / Candidatos Aptos) ou mesmo a </w:t>
      </w:r>
      <w:r w:rsidDel="00000000" w:rsidR="00000000" w:rsidRPr="00000000">
        <w:rPr>
          <w:b w:val="1"/>
          <w:bCs w:val="1"/>
          <w:rtl w:val="0"/>
        </w:rPr>
        <w:t xml:space="preserve">taxa_inscritos_capacitados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evidencia que uma parcela significativa de estudantes elegíveis e com mérito acadêmico suficiente é barrada antes da matrícula. Isso sugere que o gargalo do FIES 2019-2021 deslocou-se do desempenho pedagógico para a viabilidade burocrática e financeira.</w:t>
      </w:r>
    </w:p>
    <w:p w:rsidR="00000000" w:rsidDel="00000000" w:rsidP="00000000" w:rsidRDefault="00000000" w:rsidRPr="00000000" w14:paraId="00000061">
      <w:pPr>
        <w:pStyle w:val="Heading1"/>
        <w:spacing w:after="120" w:before="0" w:line="276" w:lineRule="auto"/>
        <w:jc w:val="both"/>
        <w:rPr>
          <w:rFonts w:ascii="Google Sans" w:cs="Google Sans" w:eastAsia="Google Sans" w:hAnsi="Google Sans"/>
          <w:sz w:val="36"/>
          <w:szCs w:val="36"/>
        </w:rPr>
      </w:pPr>
      <w:bookmarkStart w:colFirst="0" w:colLast="0" w:name="_spx50doaylwq" w:id="3"/>
      <w:bookmarkEnd w:id="3"/>
      <w:r w:rsidDel="00000000" w:rsidR="00000000" w:rsidRPr="00000000">
        <w:rPr>
          <w:rFonts w:ascii="Google Sans" w:cs="Google Sans" w:eastAsia="Google Sans" w:hAnsi="Google Sans"/>
          <w:sz w:val="36"/>
          <w:szCs w:val="36"/>
          <w:rtl w:val="0"/>
        </w:rPr>
        <w:t xml:space="preserve">5. EM BUSCA DAS EXPLICAÇÕES: A MATRIZ DE SELETIVIDADE (MÓDULO 5)</w:t>
      </w:r>
    </w:p>
    <w:p w:rsidR="00000000" w:rsidDel="00000000" w:rsidP="00000000" w:rsidRDefault="00000000" w:rsidRPr="00000000" w14:paraId="00000062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Para investigar as causas da retenção de candidatos aptos, desenvolveu-se uma análise matricial cruzando as duas variáveis determinantes do acesso: </w:t>
      </w:r>
      <w:r w:rsidDel="00000000" w:rsidR="00000000" w:rsidRPr="00000000">
        <w:rPr>
          <w:b w:val="1"/>
          <w:bCs w:val="1"/>
          <w:rtl w:val="0"/>
        </w:rPr>
        <w:t xml:space="preserve">Renda Familiar per Capita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Desempenho Acadêmico Relativo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pStyle w:val="Heading2"/>
        <w:spacing w:after="80" w:before="0" w:line="276" w:lineRule="auto"/>
        <w:jc w:val="both"/>
        <w:rPr>
          <w:rFonts w:ascii="Google Sans" w:cs="Google Sans" w:eastAsia="Google Sans" w:hAnsi="Google Sans"/>
          <w:sz w:val="28"/>
          <w:szCs w:val="28"/>
        </w:rPr>
      </w:pPr>
      <w:bookmarkStart w:colFirst="0" w:colLast="0" w:name="_tyivw5kg8doj" w:id="4"/>
      <w:bookmarkEnd w:id="4"/>
      <w:r w:rsidDel="00000000" w:rsidR="00000000" w:rsidRPr="00000000">
        <w:rPr>
          <w:rFonts w:ascii="Google Sans" w:cs="Google Sans" w:eastAsia="Google Sans" w:hAnsi="Google Sans"/>
          <w:sz w:val="28"/>
          <w:szCs w:val="28"/>
          <w:rtl w:val="0"/>
        </w:rPr>
        <w:t xml:space="preserve">5.1. Metodologia do "Gap de Nota" e Níveis de Desempenho</w:t>
      </w:r>
    </w:p>
    <w:p w:rsidR="00000000" w:rsidDel="00000000" w:rsidP="00000000" w:rsidRDefault="00000000" w:rsidRPr="00000000" w14:paraId="00000064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A nota bruta do ENEM, isoladamente, não reflete a competitividade do candidato em relação ao curso desejado. Por isso, criou-se a métrica matemática de </w:t>
      </w:r>
      <w:r w:rsidDel="00000000" w:rsidR="00000000" w:rsidRPr="00000000">
        <w:rPr>
          <w:b w:val="1"/>
          <w:bCs w:val="1"/>
          <w:rtl w:val="0"/>
        </w:rPr>
        <w:t xml:space="preserve">Gap de Nota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5">
      <w:pPr>
        <w:spacing w:line="276" w:lineRule="auto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Gap = Média ENEM do Candidato - Nota de Corte do Grupo</w:t>
      </w:r>
    </w:p>
    <w:p w:rsidR="00000000" w:rsidDel="00000000" w:rsidP="00000000" w:rsidRDefault="00000000" w:rsidRPr="00000000" w14:paraId="00000066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Com base no Gap, os candidatos foram segmentados em 6 níveis de desempenho, variando de </w:t>
      </w:r>
      <w:r w:rsidDel="00000000" w:rsidR="00000000" w:rsidRPr="00000000">
        <w:rPr>
          <w:b w:val="1"/>
          <w:bCs w:val="1"/>
          <w:rtl w:val="0"/>
        </w:rPr>
        <w:t xml:space="preserve">"Muito Inferior"</w:t>
      </w:r>
      <w:r w:rsidDel="00000000" w:rsidR="00000000" w:rsidRPr="00000000">
        <w:rPr>
          <w:rtl w:val="0"/>
        </w:rPr>
        <w:t xml:space="preserve"> (Gap menor ou igual á -150, sem chance matemática de aprovação) a </w:t>
      </w:r>
      <w:r w:rsidDel="00000000" w:rsidR="00000000" w:rsidRPr="00000000">
        <w:rPr>
          <w:b w:val="1"/>
          <w:bCs w:val="1"/>
          <w:rtl w:val="0"/>
        </w:rPr>
        <w:t xml:space="preserve">"Muito Superior"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Gap ou</w:t>
      </w:r>
      <w:r w:rsidDel="00000000" w:rsidR="00000000" w:rsidRPr="00000000">
        <w:rPr>
          <w:rtl w:val="0"/>
        </w:rPr>
        <w:t xml:space="preserve"> igual 150, aprovados com ampla folga). Simultaneamente, a renda foi estratificada em 6 faixas, de 0 a 3 salários mínimos ou mais.</w:t>
      </w:r>
    </w:p>
    <w:p w:rsidR="00000000" w:rsidDel="00000000" w:rsidP="00000000" w:rsidRDefault="00000000" w:rsidRPr="00000000" w14:paraId="00000068">
      <w:pPr>
        <w:pStyle w:val="Heading2"/>
        <w:spacing w:after="80" w:before="0" w:line="276" w:lineRule="auto"/>
        <w:jc w:val="both"/>
        <w:rPr>
          <w:rFonts w:ascii="Google Sans" w:cs="Google Sans" w:eastAsia="Google Sans" w:hAnsi="Google Sans"/>
          <w:sz w:val="28"/>
          <w:szCs w:val="28"/>
        </w:rPr>
      </w:pPr>
      <w:bookmarkStart w:colFirst="0" w:colLast="0" w:name="_mm7hqcjjjmyc" w:id="5"/>
      <w:bookmarkEnd w:id="5"/>
      <w:r w:rsidDel="00000000" w:rsidR="00000000" w:rsidRPr="00000000">
        <w:rPr>
          <w:rFonts w:ascii="Google Sans" w:cs="Google Sans" w:eastAsia="Google Sans" w:hAnsi="Google Sans"/>
          <w:sz w:val="28"/>
          <w:szCs w:val="28"/>
          <w:rtl w:val="0"/>
        </w:rPr>
        <w:t xml:space="preserve">5.2. O Paradoxo do Mérito: Dois Muros Distintos</w:t>
      </w:r>
    </w:p>
    <w:p w:rsidR="00000000" w:rsidDel="00000000" w:rsidP="00000000" w:rsidRDefault="00000000" w:rsidRPr="00000000" w14:paraId="00000069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A aplicação dos </w:t>
      </w:r>
      <w:r w:rsidDel="00000000" w:rsidR="00000000" w:rsidRPr="00000000">
        <w:rPr>
          <w:i w:val="1"/>
          <w:iCs w:val="1"/>
          <w:rtl w:val="0"/>
        </w:rPr>
        <w:t xml:space="preserve">Heatmaps</w:t>
      </w:r>
      <w:r w:rsidDel="00000000" w:rsidR="00000000" w:rsidRPr="00000000">
        <w:rPr>
          <w:rtl w:val="0"/>
        </w:rPr>
        <w:t xml:space="preserve"> (mapas de calor) sobre essa matriz 6x6 revelou que o insucesso no FIES possui duas naturezas distintas, dependendo da classe social do candidato:</w:t>
      </w:r>
    </w:p>
    <w:p w:rsidR="00000000" w:rsidDel="00000000" w:rsidP="00000000" w:rsidRDefault="00000000" w:rsidRPr="00000000" w14:paraId="0000006A">
      <w:pPr>
        <w:spacing w:after="240" w:line="276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Imagem 3 sobre Heatmap taxa de contratados:</w:t>
      </w:r>
    </w:p>
    <w:p w:rsidR="00000000" w:rsidDel="00000000" w:rsidP="00000000" w:rsidRDefault="00000000" w:rsidRPr="00000000" w14:paraId="0000006B">
      <w:pPr>
        <w:pStyle w:val="Heading3"/>
        <w:spacing w:after="80" w:before="0" w:line="276" w:lineRule="auto"/>
        <w:jc w:val="both"/>
        <w:rPr>
          <w:rFonts w:ascii="Google Sans" w:cs="Google Sans" w:eastAsia="Google Sans" w:hAnsi="Google Sans"/>
          <w:sz w:val="26"/>
          <w:szCs w:val="26"/>
        </w:rPr>
      </w:pPr>
      <w:bookmarkStart w:colFirst="0" w:colLast="0" w:name="_v1v2hlq7uedp" w:id="6"/>
      <w:bookmarkEnd w:id="6"/>
      <w:r w:rsidDel="00000000" w:rsidR="00000000" w:rsidRPr="00000000">
        <w:rPr>
          <w:rFonts w:ascii="Google Sans" w:cs="Google Sans" w:eastAsia="Google Sans" w:hAnsi="Google Sans"/>
          <w:sz w:val="26"/>
          <w:szCs w:val="26"/>
        </w:rPr>
        <w:drawing>
          <wp:inline distB="114300" distT="114300" distL="114300" distR="114300">
            <wp:extent cx="5943600" cy="35941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Imagem 4 sobre Heatmap taxa de lista de espera ( não selecionados a priori 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5941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Imagem 4 sobre Heatmap taxa de não contratados (selecionados mas não efetivaram):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5941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80" w:before="0" w:line="276" w:lineRule="auto"/>
        <w:jc w:val="both"/>
        <w:rPr>
          <w:rFonts w:ascii="Google Sans" w:cs="Google Sans" w:eastAsia="Google Sans" w:hAnsi="Google Sans"/>
          <w:sz w:val="22"/>
          <w:szCs w:val="22"/>
        </w:rPr>
      </w:pPr>
      <w:bookmarkStart w:colFirst="0" w:colLast="0" w:name="_9xyuk6j7j94c" w:id="7"/>
      <w:bookmarkEnd w:id="7"/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A. O "Muro do Banco" (Renda Alta + Nota Alta)</w:t>
      </w:r>
    </w:p>
    <w:p w:rsidR="00000000" w:rsidDel="00000000" w:rsidP="00000000" w:rsidRDefault="00000000" w:rsidRPr="00000000" w14:paraId="00000071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Os dados evidenciam um fenômeno contra-intuitivo: candidatos nas faixas de renda mais altas do programa (acima de R$ 2.400 per capita), mesmo possuindo um </w:t>
      </w:r>
      <w:r w:rsidDel="00000000" w:rsidR="00000000" w:rsidRPr="00000000">
        <w:rPr>
          <w:b w:val="1"/>
          <w:bCs w:val="1"/>
          <w:rtl w:val="0"/>
        </w:rPr>
        <w:t xml:space="preserve">Gap Muito Superior (&gt; +150 pontos)</w:t>
      </w:r>
      <w:r w:rsidDel="00000000" w:rsidR="00000000" w:rsidRPr="00000000">
        <w:rPr>
          <w:rtl w:val="0"/>
        </w:rPr>
        <w:t xml:space="preserve">, apresentam as maiores taxas de status </w:t>
      </w:r>
      <w:r w:rsidDel="00000000" w:rsidR="00000000" w:rsidRPr="00000000">
        <w:rPr>
          <w:b w:val="1"/>
          <w:bCs w:val="1"/>
          <w:rtl w:val="0"/>
        </w:rPr>
        <w:t xml:space="preserve">"Pré-Selecionado (Não Contratou)"</w:t>
      </w:r>
      <w:r w:rsidDel="00000000" w:rsidR="00000000" w:rsidRPr="00000000">
        <w:rPr>
          <w:rtl w:val="0"/>
        </w:rPr>
        <w:t xml:space="preserve"> (manchas vermelhas no gráfico 3).</w:t>
      </w:r>
    </w:p>
    <w:p w:rsidR="00000000" w:rsidDel="00000000" w:rsidP="00000000" w:rsidRDefault="00000000" w:rsidRPr="00000000" w14:paraId="00000072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Esses alunos superam a barreira acadêmica (são chamados pelo MEC), mas esbarram na barreira financeira. Como o percentual de financiamento para essa faixa é reduzido (frequentemente cobrindo apenas 50% a 60% da mensalidade), a exigência de coparticipação financeira e de fiadores com renda compatível torna o contrato inviável, resultando na "expulsão" do candidato qualificado.</w:t>
      </w:r>
    </w:p>
    <w:p w:rsidR="00000000" w:rsidDel="00000000" w:rsidP="00000000" w:rsidRDefault="00000000" w:rsidRPr="00000000" w14:paraId="00000073">
      <w:pPr>
        <w:pStyle w:val="Heading3"/>
        <w:spacing w:after="80" w:before="0" w:line="276" w:lineRule="auto"/>
        <w:jc w:val="both"/>
        <w:rPr>
          <w:rFonts w:ascii="Google Sans" w:cs="Google Sans" w:eastAsia="Google Sans" w:hAnsi="Google Sans"/>
          <w:sz w:val="22"/>
          <w:szCs w:val="22"/>
        </w:rPr>
      </w:pPr>
      <w:bookmarkStart w:colFirst="0" w:colLast="0" w:name="_tsvlgn8u3ruk" w:id="8"/>
      <w:bookmarkEnd w:id="8"/>
      <w:r w:rsidDel="00000000" w:rsidR="00000000" w:rsidRPr="00000000">
        <w:rPr>
          <w:rFonts w:ascii="Google Sans" w:cs="Google Sans" w:eastAsia="Google Sans" w:hAnsi="Google Sans"/>
          <w:sz w:val="22"/>
          <w:szCs w:val="22"/>
          <w:rtl w:val="0"/>
        </w:rPr>
        <w:t xml:space="preserve">B. A "Repescagem Social" (Renda Baixa + Nota Inferior)</w:t>
      </w:r>
    </w:p>
    <w:p w:rsidR="00000000" w:rsidDel="00000000" w:rsidP="00000000" w:rsidRDefault="00000000" w:rsidRPr="00000000" w14:paraId="00000074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Em contrapartida, observa-se uma alta taxa de contratação (manchas verdes no gráfico 1) entre candidatos de </w:t>
      </w:r>
      <w:r w:rsidDel="00000000" w:rsidR="00000000" w:rsidRPr="00000000">
        <w:rPr>
          <w:b w:val="1"/>
          <w:bCs w:val="1"/>
          <w:rtl w:val="0"/>
        </w:rPr>
        <w:t xml:space="preserve">Baixíssima Renda (0-600 reais)</w:t>
      </w:r>
      <w:r w:rsidDel="00000000" w:rsidR="00000000" w:rsidRPr="00000000">
        <w:rPr>
          <w:rtl w:val="0"/>
        </w:rPr>
        <w:t xml:space="preserve">, inclusive aqueles com </w:t>
      </w:r>
      <w:r w:rsidDel="00000000" w:rsidR="00000000" w:rsidRPr="00000000">
        <w:rPr>
          <w:b w:val="1"/>
          <w:bCs w:val="1"/>
          <w:rtl w:val="0"/>
        </w:rPr>
        <w:t xml:space="preserve">Gap Negativo</w:t>
      </w:r>
      <w:r w:rsidDel="00000000" w:rsidR="00000000" w:rsidRPr="00000000">
        <w:rPr>
          <w:rtl w:val="0"/>
        </w:rPr>
        <w:t xml:space="preserve"> (notas inferiores ao corte inicial).</w:t>
      </w:r>
    </w:p>
    <w:p w:rsidR="00000000" w:rsidDel="00000000" w:rsidP="00000000" w:rsidRDefault="00000000" w:rsidRPr="00000000" w14:paraId="00000075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Isso ocorre devido à dinâmica de rodagem da lista: à medida que os candidatos de renda mais alta e nota superior desistem por entraves financeiros, a lista roda até alcançar candidatos de renda baixa com notas menores. Para este grupo, o Fundo Garantidor (FG-Fies) cobre até 100% da mensalidade e flexibiliza as exigências de fiança.</w:t>
      </w:r>
    </w:p>
    <w:p w:rsidR="00000000" w:rsidDel="00000000" w:rsidP="00000000" w:rsidRDefault="00000000" w:rsidRPr="00000000" w14:paraId="00000076">
      <w:pPr>
        <w:pStyle w:val="Heading2"/>
        <w:spacing w:after="80" w:before="0" w:line="276" w:lineRule="auto"/>
        <w:jc w:val="both"/>
        <w:rPr>
          <w:rFonts w:ascii="Google Sans" w:cs="Google Sans" w:eastAsia="Google Sans" w:hAnsi="Google Sans"/>
          <w:sz w:val="28"/>
          <w:szCs w:val="28"/>
        </w:rPr>
      </w:pPr>
      <w:bookmarkStart w:colFirst="0" w:colLast="0" w:name="_cxwh52ctnh1j" w:id="9"/>
      <w:bookmarkEnd w:id="9"/>
      <w:r w:rsidDel="00000000" w:rsidR="00000000" w:rsidRPr="00000000">
        <w:rPr>
          <w:rFonts w:ascii="Google Sans" w:cs="Google Sans" w:eastAsia="Google Sans" w:hAnsi="Google Sans"/>
          <w:sz w:val="28"/>
          <w:szCs w:val="28"/>
          <w:rtl w:val="0"/>
        </w:rPr>
        <w:t xml:space="preserve">5.3. Síntese da Análise Matricial</w:t>
      </w:r>
    </w:p>
    <w:p w:rsidR="00000000" w:rsidDel="00000000" w:rsidP="00000000" w:rsidRDefault="00000000" w:rsidRPr="00000000" w14:paraId="00000077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O sistema opera sob uma lógica de solvência: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rtl w:val="0"/>
        </w:rPr>
        <w:t xml:space="preserve"> candidato "ideal" para o FIES atual não é necessariamente o de maior nota, mas aquele cujo perfil financeiro garante</w:t>
      </w:r>
      <w:r w:rsidDel="00000000" w:rsidR="00000000" w:rsidRPr="00000000">
        <w:rPr>
          <w:b w:val="1"/>
          <w:bCs w:val="1"/>
          <w:rtl w:val="0"/>
        </w:rPr>
        <w:t xml:space="preserve"> a assinatura do contrato.</w:t>
      </w:r>
      <w:r w:rsidDel="00000000" w:rsidR="00000000" w:rsidRPr="00000000">
        <w:rPr>
          <w:rtl w:val="0"/>
        </w:rPr>
        <w:t xml:space="preserve"> O subsídio integral do governo para os mais pobres remove o risco de inadimplência bancária, facilitando a entrada destes em detrimento da classe média, que representa um "risco de crédito" para as instituições financeiras.</w:t>
      </w:r>
    </w:p>
    <w:p w:rsidR="00000000" w:rsidDel="00000000" w:rsidP="00000000" w:rsidRDefault="00000000" w:rsidRPr="00000000" w14:paraId="00000078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spacing w:after="80" w:before="280" w:line="276" w:lineRule="auto"/>
        <w:jc w:val="both"/>
        <w:rPr>
          <w:sz w:val="36"/>
          <w:szCs w:val="36"/>
        </w:rPr>
      </w:pPr>
      <w:bookmarkStart w:colFirst="0" w:colLast="0" w:name="_x7gobzp2akko" w:id="10"/>
      <w:bookmarkEnd w:id="10"/>
      <w:r w:rsidDel="00000000" w:rsidR="00000000" w:rsidRPr="00000000">
        <w:rPr>
          <w:sz w:val="36"/>
          <w:szCs w:val="36"/>
          <w:rtl w:val="0"/>
        </w:rPr>
        <w:t xml:space="preserve">6. DISCUSSÃO</w:t>
      </w:r>
    </w:p>
    <w:p w:rsidR="00000000" w:rsidDel="00000000" w:rsidP="00000000" w:rsidRDefault="00000000" w:rsidRPr="00000000" w14:paraId="0000007A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Os resultados empíricos obtidos através da mineração de dados confirmam, com evidência quantitativa, as hipóteses sobre a mudança de paradigma do financiamento estudantil no Brasil recente. A análise dos dados de 2019-2021 dialoga diretamente com a avaliação de desenho da política pública.</w:t>
      </w:r>
    </w:p>
    <w:p w:rsidR="00000000" w:rsidDel="00000000" w:rsidP="00000000" w:rsidRDefault="00000000" w:rsidRPr="00000000" w14:paraId="0000007B">
      <w:pPr>
        <w:pStyle w:val="Heading4"/>
        <w:spacing w:after="40" w:before="240" w:line="276" w:lineRule="auto"/>
        <w:jc w:val="both"/>
        <w:rPr>
          <w:sz w:val="22"/>
          <w:szCs w:val="22"/>
        </w:rPr>
      </w:pPr>
      <w:bookmarkStart w:colFirst="0" w:colLast="0" w:name="_22jydfs27oc9" w:id="11"/>
      <w:bookmarkEnd w:id="11"/>
      <w:r w:rsidDel="00000000" w:rsidR="00000000" w:rsidRPr="00000000">
        <w:rPr>
          <w:sz w:val="22"/>
          <w:szCs w:val="22"/>
          <w:rtl w:val="0"/>
        </w:rPr>
        <w:t xml:space="preserve">6.1. A Renda como Filtro Real</w:t>
      </w:r>
    </w:p>
    <w:p w:rsidR="00000000" w:rsidDel="00000000" w:rsidP="00000000" w:rsidRDefault="00000000" w:rsidRPr="00000000" w14:paraId="0000007C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A análise matricial corrobora que o programa sofreu uma reorientação estrutural. Conforme detalhado por Meneguin e Bezerra (2022), o redesenho do FIES em 2018 (Lei nº 13.530/2017) teve como objetivo central a sustentabilidade fiscal, impondo travas orçamentárias rígidas para evitar o crescimento exponencial da dívida pública observado até 2016.</w:t>
      </w:r>
    </w:p>
    <w:p w:rsidR="00000000" w:rsidDel="00000000" w:rsidP="00000000" w:rsidRDefault="00000000" w:rsidRPr="00000000" w14:paraId="0000007D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Os autores destacam que a União limitou sua participação no fundo garantidor a um teto global de R$ 3 bilhões. Os dados processados nesta pesquisa demonstram que essa "trava fiscal" teórica se traduziu, na prática, em uma barreira de entrada. A nota do ENEM tornou-se apenas um pré-requisito; a viabilidade do contrato (risco vs. garantia do fundo) assumiu o papel de critério decisivo, priorizando a solvência do sistema em detrimento da pura expansão do acesso.</w:t>
      </w:r>
    </w:p>
    <w:p w:rsidR="00000000" w:rsidDel="00000000" w:rsidP="00000000" w:rsidRDefault="00000000" w:rsidRPr="00000000" w14:paraId="0000007E">
      <w:pPr>
        <w:pStyle w:val="Heading4"/>
        <w:spacing w:after="40" w:before="240" w:line="276" w:lineRule="auto"/>
        <w:jc w:val="both"/>
        <w:rPr>
          <w:sz w:val="22"/>
          <w:szCs w:val="22"/>
        </w:rPr>
      </w:pPr>
      <w:bookmarkStart w:colFirst="0" w:colLast="0" w:name="_v344w26froti" w:id="12"/>
      <w:bookmarkEnd w:id="12"/>
      <w:r w:rsidDel="00000000" w:rsidR="00000000" w:rsidRPr="00000000">
        <w:rPr>
          <w:sz w:val="22"/>
          <w:szCs w:val="22"/>
          <w:rtl w:val="0"/>
        </w:rPr>
        <w:t xml:space="preserve">6.2. Gestão de Risco em Detrimento do Mérito</w:t>
      </w:r>
    </w:p>
    <w:p w:rsidR="00000000" w:rsidDel="00000000" w:rsidP="00000000" w:rsidRDefault="00000000" w:rsidRPr="00000000" w14:paraId="0000007F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Os resultados do Módulo 5 evidenciam que o FIES atua hoje primordialmente como um instrumento de gestão de risco. Meneguin e Bezerra (2022) explicam que, no novo modelo, as Instituições de Ensino Superior tornaram-se cotistas obrigatórias do Fundo Garantidor (FG-FIES), que possui natureza privada, compartilhando o risco da inadimplência diretamente com a União.</w:t>
      </w:r>
    </w:p>
    <w:p w:rsidR="00000000" w:rsidDel="00000000" w:rsidP="00000000" w:rsidRDefault="00000000" w:rsidRPr="00000000" w14:paraId="00000080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Isso cria um incentivo econômico para mitigar riscos: o sistema favorece candidatos com subsídio integral (risco absorvido pelo governo), em detrimento da classe média. Para o agente financeiro e para as mantenedoras, o aluno de baixa renda com 100% de cobertura é um ativo seguro, enquanto o estudante que necessita de coparticipação representa um risco de crédito que o novo desenho do programa busca evitar para manter a sustentabilidade do fundo.</w:t>
      </w:r>
    </w:p>
    <w:p w:rsidR="00000000" w:rsidDel="00000000" w:rsidP="00000000" w:rsidRDefault="00000000" w:rsidRPr="00000000" w14:paraId="00000081">
      <w:pPr>
        <w:pStyle w:val="Heading4"/>
        <w:spacing w:after="40" w:before="240" w:line="276" w:lineRule="auto"/>
        <w:jc w:val="both"/>
        <w:rPr>
          <w:sz w:val="22"/>
          <w:szCs w:val="22"/>
        </w:rPr>
      </w:pPr>
      <w:bookmarkStart w:colFirst="0" w:colLast="0" w:name="_mm6nj1pj41pe" w:id="13"/>
      <w:bookmarkEnd w:id="13"/>
      <w:r w:rsidDel="00000000" w:rsidR="00000000" w:rsidRPr="00000000">
        <w:rPr>
          <w:sz w:val="22"/>
          <w:szCs w:val="22"/>
          <w:rtl w:val="0"/>
        </w:rPr>
        <w:t xml:space="preserve">6.3. O Muro Burocrático e a Ociosidade</w:t>
      </w:r>
    </w:p>
    <w:p w:rsidR="00000000" w:rsidDel="00000000" w:rsidP="00000000" w:rsidRDefault="00000000" w:rsidRPr="00000000" w14:paraId="00000082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A ociosidade estrutural detectada no funil de conversão deste estudo reflete a severa retração na execução da política descrita na literatura. Segundo Meneguin e Bezerra (2022), no primeiro ano de vigência do Novo FIES (2018), embora a dotação inicial fosse de aproximadamente R$ 19 bilhões, o montante efetivamente executado foi de apenas R$ 1,3 bilhão, representando menos de 7% do previsto.</w:t>
      </w:r>
    </w:p>
    <w:p w:rsidR="00000000" w:rsidDel="00000000" w:rsidP="00000000" w:rsidRDefault="00000000" w:rsidRPr="00000000" w14:paraId="00000083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Essa </w:t>
      </w:r>
      <w:r w:rsidDel="00000000" w:rsidR="00000000" w:rsidRPr="00000000">
        <w:rPr>
          <w:rtl w:val="0"/>
        </w:rPr>
        <w:t xml:space="preserve">subexecução</w:t>
      </w:r>
      <w:r w:rsidDel="00000000" w:rsidR="00000000" w:rsidRPr="00000000">
        <w:rPr>
          <w:rtl w:val="0"/>
        </w:rPr>
        <w:t xml:space="preserve"> orçamentária valida a hipótese de que as vagas permanecem ociosas não por ausência de demanda qualificada ou mérito acadêmico, mas devido aos mecanismos de contenção de despesas e controle de risco desenhados na nova estrutura do programa. Existem vagas e existem alunos aptos, mas as travas institucionais financeiras impedem a efetivação do contrato.</w:t>
      </w:r>
    </w:p>
    <w:p w:rsidR="00000000" w:rsidDel="00000000" w:rsidP="00000000" w:rsidRDefault="00000000" w:rsidRPr="00000000" w14:paraId="00000084">
      <w:pPr>
        <w:pStyle w:val="Heading4"/>
        <w:spacing w:after="40" w:before="240" w:line="276" w:lineRule="auto"/>
        <w:jc w:val="both"/>
        <w:rPr>
          <w:sz w:val="22"/>
          <w:szCs w:val="22"/>
        </w:rPr>
      </w:pPr>
      <w:bookmarkStart w:colFirst="0" w:colLast="0" w:name="_ugduztmyozry" w:id="14"/>
      <w:bookmarkEnd w:id="14"/>
      <w:r w:rsidDel="00000000" w:rsidR="00000000" w:rsidRPr="00000000">
        <w:rPr>
          <w:sz w:val="22"/>
          <w:szCs w:val="22"/>
          <w:rtl w:val="0"/>
        </w:rPr>
        <w:t xml:space="preserve">6.4. A Lógica da Solvência</w:t>
      </w:r>
    </w:p>
    <w:p w:rsidR="00000000" w:rsidDel="00000000" w:rsidP="00000000" w:rsidRDefault="00000000" w:rsidRPr="00000000" w14:paraId="00000085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Por fim, o fenômeno da "Repescagem Social" observado nos dados alinha-se à necessidade de preenchimento de vagas com segurança financeira. O sistema prioriza candidatos que possuem garantia de solvência (subsídio integral via FG-FIES), independentemente de estarem em posições inferiores na classificação acadêmica. Isso ocorre para evitar o prejuízo da vaga ociosa sem, contudo, expor o fundo garantidor aos riscos de inadimplência associados aos contratos de coparticipação parcial, garantindo a continuidade da política de maneira financeiramente sustentável, conforme preconizado pelo novo desenho do FIES.</w:t>
      </w:r>
    </w:p>
    <w:p w:rsidR="00000000" w:rsidDel="00000000" w:rsidP="00000000" w:rsidRDefault="00000000" w:rsidRPr="00000000" w14:paraId="00000086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spacing w:after="120" w:before="0" w:line="276" w:lineRule="auto"/>
        <w:jc w:val="both"/>
        <w:rPr>
          <w:rFonts w:ascii="Google Sans" w:cs="Google Sans" w:eastAsia="Google Sans" w:hAnsi="Google Sans"/>
          <w:sz w:val="36"/>
          <w:szCs w:val="36"/>
        </w:rPr>
      </w:pPr>
      <w:bookmarkStart w:colFirst="0" w:colLast="0" w:name="_w3nlyh45tj7g" w:id="15"/>
      <w:bookmarkEnd w:id="15"/>
      <w:r w:rsidDel="00000000" w:rsidR="00000000" w:rsidRPr="00000000">
        <w:rPr>
          <w:rFonts w:ascii="Google Sans" w:cs="Google Sans" w:eastAsia="Google Sans" w:hAnsi="Google Sans"/>
          <w:sz w:val="36"/>
          <w:szCs w:val="36"/>
          <w:rtl w:val="0"/>
        </w:rPr>
        <w:t xml:space="preserve">7. CONCLUSÃO</w:t>
      </w:r>
    </w:p>
    <w:p w:rsidR="00000000" w:rsidDel="00000000" w:rsidP="00000000" w:rsidRDefault="00000000" w:rsidRPr="00000000" w14:paraId="00000088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  <w:t xml:space="preserve">O presente trabalho cumpriu seu objetivo duplo de entregar uma infraestrutura de Engenharia de Dados robusta e uma análise crítica do FIES. Sob a ótica técnica, o pipeline de ETL garantiu a integridade e higienização de mais de 2,1 milhões de registros, permitindo uma visão inédita baseada na métrica de "Candidatos Únicos", superando as limitações dos dados brutos disponibilizados pelo governo.</w:t>
      </w:r>
    </w:p>
    <w:p w:rsidR="00000000" w:rsidDel="00000000" w:rsidP="00000000" w:rsidRDefault="00000000" w:rsidRPr="00000000" w14:paraId="00000089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Analiticamente, conclui-se que o FIES (2019-2021) operou sob a lógica do "Funil de Solvência". Os dados confirmam que o redesenho da política pública, focado na sustentabilidade fiscal e na mitigação de riscos conforme descrito por Meneguin e Bezerra (2022), gerou uma barreira de entrada seletiva. O sistema favorece a contratação de candidatos de baixíssima renda (protegidos pelo subsídio integral do fundo garantidor) e penaliza a classe média baixa, cujo risco de crédito e exigência de coparticipação resultam em indeferimentos, mesmo diante de alto desempenho pedagógico.</w:t>
      </w:r>
    </w:p>
    <w:p w:rsidR="00000000" w:rsidDel="00000000" w:rsidP="00000000" w:rsidRDefault="00000000" w:rsidRPr="00000000" w14:paraId="0000008A">
      <w:pPr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Portanto, a ociosidade estrutural de vagas detectada neste estudo não decorre da falta de mérito acadêmico dos estudantes brasileiros, mas sim de um desenho institucional que prioriza a segurança orçamentária e a gestão de risco bancário. O "gap" de nota deixou de ser o principal obstáculo; o verdadeiro muro para o acesso ao ensino superior tornou-se a capacidade de solvência exigida pelas novas regras do FIES.</w:t>
      </w:r>
    </w:p>
    <w:p w:rsidR="00000000" w:rsidDel="00000000" w:rsidP="00000000" w:rsidRDefault="00000000" w:rsidRPr="00000000" w14:paraId="0000008B">
      <w:pPr>
        <w:spacing w:after="240"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spacing w:before="0" w:line="275.9999942779541" w:lineRule="auto"/>
        <w:jc w:val="both"/>
        <w:rPr>
          <w:rFonts w:ascii="Google Sans" w:cs="Google Sans" w:eastAsia="Google Sans" w:hAnsi="Google Sans"/>
        </w:rPr>
      </w:pPr>
      <w:bookmarkStart w:colFirst="0" w:colLast="0" w:name="_vdqckdsc6ux9" w:id="16"/>
      <w:bookmarkEnd w:id="16"/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REFERÊNCIAS</w:t>
      </w:r>
    </w:p>
    <w:p w:rsidR="00000000" w:rsidDel="00000000" w:rsidP="00000000" w:rsidRDefault="00000000" w:rsidRPr="00000000" w14:paraId="0000008E">
      <w:pPr>
        <w:spacing w:line="275.9999942779541" w:lineRule="auto"/>
        <w:jc w:val="both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MENEGUIN, Fernando B.; BEZERRA, Felipe Portela.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A evolução do FIES: uma avaliação de desenho sobre mudanças e continuidade do programa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rtl w:val="0"/>
        </w:rPr>
        <w:t xml:space="preserve">Revista de Administração Pública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, [S.l.], 2022.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