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66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002683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7646ADB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NORTH CENTRAL UNIVERSITY</w:t>
      </w:r>
    </w:p>
    <w:p w14:paraId="726436D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998A36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FC29E2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283B482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919D2A6" w14:textId="2F52C392" w:rsidR="000A746B" w:rsidRDefault="00C11B08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LITERATURE REVIEW PART 1</w:t>
      </w:r>
    </w:p>
    <w:p w14:paraId="2EB2EAA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20E17D1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5887C1A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87D66E8" w14:textId="77777777" w:rsidR="00DC4510" w:rsidRPr="00DC4510" w:rsidRDefault="00DC4510" w:rsidP="00DC4510">
      <w:pPr>
        <w:spacing w:line="480" w:lineRule="auto"/>
        <w:jc w:val="center"/>
        <w:rPr>
          <w:lang w:bidi="he-IL"/>
        </w:rPr>
      </w:pPr>
      <w:r w:rsidRPr="00DC4510">
        <w:rPr>
          <w:lang w:bidi="he-IL"/>
        </w:rPr>
        <w:t>SUBMITTED TO [PROFESSOR NAME] IN PARTIAL FULFILLMENT OF GBT640 THESIS</w:t>
      </w:r>
    </w:p>
    <w:p w14:paraId="08A78A73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E771B12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5A564B58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B954596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BY</w:t>
      </w:r>
    </w:p>
    <w:p w14:paraId="689B646E" w14:textId="0AA639B2" w:rsidR="000A746B" w:rsidRDefault="00631179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[YOUR NAME]</w:t>
      </w:r>
    </w:p>
    <w:p w14:paraId="2C68C11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9C4E6ED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A8D23AB" w14:textId="77777777" w:rsidR="000A746B" w:rsidRDefault="000A746B" w:rsidP="000A746B">
      <w:pPr>
        <w:spacing w:line="480" w:lineRule="auto"/>
        <w:rPr>
          <w:lang w:bidi="he-IL"/>
        </w:rPr>
      </w:pPr>
    </w:p>
    <w:p w14:paraId="639E0DD1" w14:textId="1A15D179" w:rsidR="000A746B" w:rsidRDefault="00DA66FA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[MONTH] [DAY] [YEAR]</w:t>
      </w:r>
    </w:p>
    <w:p w14:paraId="4184FBB1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677714F" w14:textId="77777777" w:rsidR="000A746B" w:rsidRDefault="000A746B" w:rsidP="000A746B">
      <w:pPr>
        <w:spacing w:line="480" w:lineRule="auto"/>
        <w:rPr>
          <w:lang w:bidi="he-IL"/>
        </w:rPr>
      </w:pPr>
    </w:p>
    <w:p w14:paraId="11D7049F" w14:textId="3B328C39" w:rsidR="006876A3" w:rsidRDefault="00C11B08" w:rsidP="006876A3">
      <w:pPr>
        <w:spacing w:line="480" w:lineRule="auto"/>
        <w:jc w:val="center"/>
        <w:rPr>
          <w:lang w:bidi="he-IL"/>
        </w:rPr>
      </w:pPr>
      <w:r>
        <w:rPr>
          <w:lang w:bidi="he-IL"/>
        </w:rPr>
        <w:lastRenderedPageBreak/>
        <w:t>LITERATURE REVIEW: PART 1</w:t>
      </w:r>
    </w:p>
    <w:p w14:paraId="5D557466" w14:textId="1178CACF" w:rsidR="00C11B08" w:rsidRPr="00C11B08" w:rsidRDefault="00C11B08" w:rsidP="00C11B08">
      <w:pPr>
        <w:spacing w:line="480" w:lineRule="auto"/>
        <w:jc w:val="center"/>
        <w:rPr>
          <w:b/>
          <w:bCs/>
          <w:color w:val="0E101A"/>
          <w:lang w:bidi="he-IL"/>
        </w:rPr>
      </w:pPr>
      <w:r w:rsidRPr="00C11B08">
        <w:rPr>
          <w:b/>
          <w:bCs/>
          <w:color w:val="0E101A"/>
          <w:lang w:bidi="he-IL"/>
        </w:rPr>
        <w:t>Victor H. Matthews, "Gender and Law in the Hebrew Bible and the Ancient Near East" (1998)</w:t>
      </w:r>
    </w:p>
    <w:p w14:paraId="325F4D30" w14:textId="3876908A" w:rsidR="00C11B08" w:rsidRDefault="00C11B08" w:rsidP="00C11B08">
      <w:pPr>
        <w:spacing w:line="480" w:lineRule="auto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Matthew explores </w:t>
      </w:r>
      <w:r w:rsidR="00DB7D68">
        <w:rPr>
          <w:color w:val="0E101A"/>
          <w:lang w:bidi="he-IL"/>
        </w:rPr>
        <w:t>[authors thesis]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1"/>
      </w:r>
      <w:r w:rsidRPr="00C11B08">
        <w:rPr>
          <w:color w:val="0E101A"/>
          <w:lang w:bidi="he-IL"/>
        </w:rPr>
        <w:t xml:space="preserve"> He argues </w:t>
      </w:r>
      <w:r w:rsidR="00DB7D68">
        <w:rPr>
          <w:color w:val="0E101A"/>
          <w:lang w:bidi="he-IL"/>
        </w:rPr>
        <w:t xml:space="preserve">[main point one], </w:t>
      </w:r>
      <w:r w:rsidR="00FB04EB">
        <w:rPr>
          <w:color w:val="0E101A"/>
          <w:lang w:bidi="he-IL"/>
        </w:rPr>
        <w:t xml:space="preserve">[main point two] and [main point three]. </w:t>
      </w:r>
      <w:r w:rsidR="005E6D71">
        <w:rPr>
          <w:color w:val="0E101A"/>
          <w:lang w:bidi="he-IL"/>
        </w:rPr>
        <w:t>[</w:t>
      </w:r>
      <w:r w:rsidR="00FB04EB">
        <w:rPr>
          <w:color w:val="0E101A"/>
          <w:lang w:bidi="he-IL"/>
        </w:rPr>
        <w:t>Explain the relevance to your research</w:t>
      </w:r>
      <w:r w:rsidR="005E6D71">
        <w:rPr>
          <w:color w:val="0E101A"/>
          <w:lang w:bidi="he-IL"/>
        </w:rPr>
        <w:t>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2"/>
      </w:r>
    </w:p>
    <w:p w14:paraId="106BDCCA" w14:textId="77777777" w:rsidR="00C11B08" w:rsidRPr="00C11B08" w:rsidRDefault="00C11B08" w:rsidP="00C11B08">
      <w:pPr>
        <w:spacing w:line="480" w:lineRule="auto"/>
        <w:rPr>
          <w:color w:val="0E101A"/>
          <w:lang w:bidi="he-IL"/>
        </w:rPr>
      </w:pPr>
    </w:p>
    <w:p w14:paraId="0D210601" w14:textId="482E8FC8" w:rsidR="00C11B08" w:rsidRPr="00C11B08" w:rsidRDefault="00C11B08" w:rsidP="00C11B08">
      <w:pPr>
        <w:spacing w:line="480" w:lineRule="auto"/>
        <w:jc w:val="center"/>
        <w:rPr>
          <w:b/>
          <w:bCs/>
          <w:color w:val="0E101A"/>
          <w:lang w:bidi="he-IL"/>
        </w:rPr>
      </w:pPr>
      <w:r w:rsidRPr="00C11B08">
        <w:rPr>
          <w:b/>
          <w:bCs/>
          <w:color w:val="0E101A"/>
          <w:lang w:bidi="he-IL"/>
        </w:rPr>
        <w:t>Ilana Pardes, "The Biography of Ancient Israel: National Narratives in the Bible" (2000)</w:t>
      </w:r>
    </w:p>
    <w:p w14:paraId="46F0067D" w14:textId="470E4625" w:rsidR="00C11B08" w:rsidRPr="00C11B08" w:rsidRDefault="00C11B08" w:rsidP="00C11B08">
      <w:pPr>
        <w:spacing w:line="480" w:lineRule="auto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Pardes approaches </w:t>
      </w:r>
      <w:r w:rsidR="00041BA3">
        <w:rPr>
          <w:color w:val="0E101A"/>
          <w:lang w:bidi="he-IL"/>
        </w:rPr>
        <w:t>[authors thesis]</w:t>
      </w:r>
      <w:r w:rsidRPr="00C11B08">
        <w:rPr>
          <w:color w:val="0E101A"/>
          <w:lang w:bidi="he-IL"/>
        </w:rPr>
        <w:t xml:space="preserve">. As she puts it, </w:t>
      </w:r>
      <w:r w:rsidR="007B17CA">
        <w:rPr>
          <w:color w:val="0E101A"/>
          <w:lang w:bidi="he-IL"/>
        </w:rPr>
        <w:t xml:space="preserve">[main point </w:t>
      </w:r>
      <w:r w:rsidR="007B17CA">
        <w:rPr>
          <w:color w:val="0E101A"/>
          <w:lang w:bidi="he-IL"/>
        </w:rPr>
        <w:t>one], [main point two] and [main point three]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3"/>
      </w:r>
      <w:r w:rsidRPr="00C11B08">
        <w:rPr>
          <w:color w:val="0E101A"/>
          <w:lang w:bidi="he-IL"/>
        </w:rPr>
        <w:t xml:space="preserve"> </w:t>
      </w:r>
      <w:r w:rsidR="0004085D">
        <w:rPr>
          <w:color w:val="0E101A"/>
          <w:lang w:bidi="he-IL"/>
        </w:rPr>
        <w:t>[</w:t>
      </w:r>
      <w:r w:rsidR="007B17CA">
        <w:rPr>
          <w:color w:val="0E101A"/>
          <w:lang w:bidi="he-IL"/>
        </w:rPr>
        <w:t>Explain the relevance to your research</w:t>
      </w:r>
      <w:r w:rsidR="005E6D71">
        <w:rPr>
          <w:color w:val="0E101A"/>
          <w:lang w:bidi="he-IL"/>
        </w:rPr>
        <w:t>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4"/>
      </w:r>
    </w:p>
    <w:p w14:paraId="24FFA2E2" w14:textId="65116838" w:rsidR="00C11B08" w:rsidRDefault="00C11B08" w:rsidP="00C11B08">
      <w:pPr>
        <w:spacing w:line="480" w:lineRule="auto"/>
        <w:ind w:firstLine="720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Pardes expands on Matthews by </w:t>
      </w:r>
      <w:r w:rsidR="009E3F15">
        <w:rPr>
          <w:color w:val="0E101A"/>
          <w:lang w:bidi="he-IL"/>
        </w:rPr>
        <w:t>[explain how this research builds upon each other]</w:t>
      </w:r>
      <w:r w:rsidRPr="00C11B08">
        <w:rPr>
          <w:color w:val="0E101A"/>
          <w:lang w:bidi="he-IL"/>
        </w:rPr>
        <w:t>.</w:t>
      </w:r>
    </w:p>
    <w:p w14:paraId="043FC2E6" w14:textId="77777777" w:rsidR="00C11B08" w:rsidRPr="00C11B08" w:rsidRDefault="00C11B08" w:rsidP="00C11B08">
      <w:pPr>
        <w:spacing w:line="480" w:lineRule="auto"/>
        <w:rPr>
          <w:color w:val="0E101A"/>
          <w:lang w:bidi="he-IL"/>
        </w:rPr>
      </w:pPr>
    </w:p>
    <w:p w14:paraId="7E1877AD" w14:textId="232DE88C" w:rsidR="00C11B08" w:rsidRPr="00C11B08" w:rsidRDefault="00C11B08" w:rsidP="00C11B08">
      <w:pPr>
        <w:spacing w:line="480" w:lineRule="auto"/>
        <w:jc w:val="center"/>
        <w:rPr>
          <w:b/>
          <w:bCs/>
          <w:color w:val="0E101A"/>
          <w:lang w:bidi="he-IL"/>
        </w:rPr>
      </w:pPr>
      <w:r w:rsidRPr="00C11B08">
        <w:rPr>
          <w:b/>
          <w:bCs/>
          <w:color w:val="0E101A"/>
          <w:lang w:bidi="he-IL"/>
        </w:rPr>
        <w:t>Baruch J. Schwartz, "The Holiness Legislation: Studies in the Priestly Code" (1999)</w:t>
      </w:r>
    </w:p>
    <w:p w14:paraId="0BB4198E" w14:textId="369EC4AF" w:rsidR="00C11B08" w:rsidRPr="00C11B08" w:rsidRDefault="00C11B08" w:rsidP="00C11B08">
      <w:pPr>
        <w:spacing w:line="480" w:lineRule="auto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Schwartz follows an in-depth theological discussion </w:t>
      </w:r>
      <w:r w:rsidR="0004085D">
        <w:rPr>
          <w:color w:val="0E101A"/>
          <w:lang w:bidi="he-IL"/>
        </w:rPr>
        <w:t xml:space="preserve">of </w:t>
      </w:r>
      <w:r w:rsidR="0004085D">
        <w:rPr>
          <w:color w:val="0E101A"/>
          <w:lang w:bidi="he-IL"/>
        </w:rPr>
        <w:t>[authors thesis]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5"/>
      </w:r>
      <w:r w:rsidRPr="00C11B08">
        <w:rPr>
          <w:color w:val="0E101A"/>
          <w:lang w:bidi="he-IL"/>
        </w:rPr>
        <w:t xml:space="preserve"> He focuses on </w:t>
      </w:r>
      <w:r w:rsidR="0004085D">
        <w:rPr>
          <w:color w:val="0E101A"/>
          <w:lang w:bidi="he-IL"/>
        </w:rPr>
        <w:t>[main point one], [main point two] and [main point three]</w:t>
      </w:r>
      <w:r w:rsidRPr="00C11B08">
        <w:rPr>
          <w:color w:val="0E101A"/>
          <w:lang w:bidi="he-IL"/>
        </w:rPr>
        <w:t xml:space="preserve">. In his thinking, </w:t>
      </w:r>
      <w:r w:rsidR="0004085D">
        <w:rPr>
          <w:color w:val="0E101A"/>
          <w:lang w:bidi="he-IL"/>
        </w:rPr>
        <w:t>[explain relevance to your research]</w:t>
      </w:r>
      <w:r w:rsidRPr="00C11B08">
        <w:rPr>
          <w:color w:val="0E101A"/>
          <w:lang w:bidi="he-IL"/>
        </w:rPr>
        <w:t>.</w:t>
      </w:r>
      <w:r>
        <w:rPr>
          <w:rStyle w:val="FootnoteReference"/>
          <w:color w:val="0E101A"/>
          <w:lang w:bidi="he-IL"/>
        </w:rPr>
        <w:footnoteReference w:id="6"/>
      </w:r>
    </w:p>
    <w:p w14:paraId="67A7C190" w14:textId="7B811987" w:rsidR="00C11B08" w:rsidRDefault="00C11B08" w:rsidP="00C11B08">
      <w:pPr>
        <w:spacing w:line="480" w:lineRule="auto"/>
        <w:ind w:firstLine="720"/>
        <w:rPr>
          <w:color w:val="0E101A"/>
          <w:lang w:bidi="he-IL"/>
        </w:rPr>
      </w:pPr>
      <w:r w:rsidRPr="00C11B08">
        <w:rPr>
          <w:color w:val="0E101A"/>
          <w:lang w:bidi="he-IL"/>
        </w:rPr>
        <w:lastRenderedPageBreak/>
        <w:t xml:space="preserve">Schwartz adds another layer to Matthews' and Pardes' perspectives regarding </w:t>
      </w:r>
      <w:r w:rsidR="005E6D71">
        <w:rPr>
          <w:color w:val="0E101A"/>
          <w:lang w:bidi="he-IL"/>
        </w:rPr>
        <w:t>[explain how this research builds upon each other]</w:t>
      </w:r>
      <w:r w:rsidRPr="00C11B08">
        <w:rPr>
          <w:color w:val="0E101A"/>
          <w:lang w:bidi="he-IL"/>
        </w:rPr>
        <w:t xml:space="preserve">. While Matthews and Pardes dealt respectively with </w:t>
      </w:r>
      <w:r w:rsidR="007363AF">
        <w:rPr>
          <w:color w:val="0E101A"/>
          <w:lang w:bidi="he-IL"/>
        </w:rPr>
        <w:t>[show similarities]</w:t>
      </w:r>
      <w:r w:rsidRPr="00C11B08">
        <w:rPr>
          <w:color w:val="0E101A"/>
          <w:lang w:bidi="he-IL"/>
        </w:rPr>
        <w:t xml:space="preserve">, Schwartz brings </w:t>
      </w:r>
      <w:r w:rsidR="007363AF">
        <w:rPr>
          <w:color w:val="0E101A"/>
          <w:lang w:bidi="he-IL"/>
        </w:rPr>
        <w:t>[show differences]</w:t>
      </w:r>
      <w:r w:rsidRPr="00C11B08">
        <w:rPr>
          <w:color w:val="0E101A"/>
          <w:lang w:bidi="he-IL"/>
        </w:rPr>
        <w:t xml:space="preserve">. His theological perspective differs from earlier authors who think </w:t>
      </w:r>
      <w:r w:rsidR="008E5B35">
        <w:rPr>
          <w:color w:val="0E101A"/>
          <w:lang w:bidi="he-IL"/>
        </w:rPr>
        <w:t>[demonstrate importance]</w:t>
      </w:r>
      <w:r w:rsidRPr="00C11B08">
        <w:rPr>
          <w:color w:val="0E101A"/>
          <w:lang w:bidi="he-IL"/>
        </w:rPr>
        <w:t>.</w:t>
      </w:r>
    </w:p>
    <w:p w14:paraId="1E1ED0FB" w14:textId="77777777" w:rsidR="00C11B08" w:rsidRDefault="00C11B08" w:rsidP="00C11B08">
      <w:pPr>
        <w:spacing w:line="480" w:lineRule="auto"/>
        <w:rPr>
          <w:color w:val="0E101A"/>
          <w:lang w:bidi="he-IL"/>
        </w:rPr>
      </w:pPr>
    </w:p>
    <w:p w14:paraId="29B99A83" w14:textId="5871BAF9" w:rsidR="00C11B08" w:rsidRPr="00C11B08" w:rsidRDefault="00C11B08" w:rsidP="00C11B08">
      <w:pPr>
        <w:spacing w:line="480" w:lineRule="auto"/>
        <w:jc w:val="center"/>
        <w:rPr>
          <w:b/>
          <w:bCs/>
          <w:color w:val="0E101A"/>
          <w:lang w:bidi="he-IL"/>
        </w:rPr>
      </w:pPr>
      <w:r w:rsidRPr="00C11B08">
        <w:rPr>
          <w:b/>
          <w:bCs/>
          <w:color w:val="0E101A"/>
          <w:lang w:bidi="he-IL"/>
        </w:rPr>
        <w:t>Jacob Milgrom, "Leviticus 1-16: A New Translation with Introduction and Commentary" (2009)</w:t>
      </w:r>
    </w:p>
    <w:p w14:paraId="50696E54" w14:textId="62BBD1B6" w:rsidR="00C11B08" w:rsidRPr="00C11B08" w:rsidRDefault="00C11B08" w:rsidP="00C11B08">
      <w:pPr>
        <w:spacing w:line="480" w:lineRule="auto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Milgrom gives a commentary on </w:t>
      </w:r>
      <w:r w:rsidR="008E5B35">
        <w:rPr>
          <w:color w:val="0E101A"/>
          <w:lang w:bidi="he-IL"/>
        </w:rPr>
        <w:t>[authors thesis]</w:t>
      </w:r>
      <w:r w:rsidRPr="00C11B08">
        <w:rPr>
          <w:color w:val="0E101A"/>
          <w:lang w:bidi="he-IL"/>
        </w:rPr>
        <w:t>.</w:t>
      </w:r>
      <w:r w:rsidR="00E76C06">
        <w:rPr>
          <w:rStyle w:val="FootnoteReference"/>
          <w:color w:val="0E101A"/>
          <w:lang w:bidi="he-IL"/>
        </w:rPr>
        <w:footnoteReference w:id="7"/>
      </w:r>
      <w:r w:rsidRPr="00C11B08">
        <w:rPr>
          <w:color w:val="0E101A"/>
          <w:lang w:bidi="he-IL"/>
        </w:rPr>
        <w:t xml:space="preserve"> He argues that </w:t>
      </w:r>
      <w:r w:rsidR="008E5B35" w:rsidRPr="00C11B08">
        <w:rPr>
          <w:color w:val="0E101A"/>
          <w:lang w:bidi="he-IL"/>
        </w:rPr>
        <w:t xml:space="preserve">on </w:t>
      </w:r>
      <w:r w:rsidR="008E5B35">
        <w:rPr>
          <w:color w:val="0E101A"/>
          <w:lang w:bidi="he-IL"/>
        </w:rPr>
        <w:t>[main point one], [main point two] and [main point three]</w:t>
      </w:r>
      <w:r w:rsidRPr="00C11B08">
        <w:rPr>
          <w:color w:val="0E101A"/>
          <w:lang w:bidi="he-IL"/>
        </w:rPr>
        <w:t xml:space="preserve">. His interpretation emphasizes </w:t>
      </w:r>
      <w:r w:rsidR="004C3855">
        <w:rPr>
          <w:color w:val="0E101A"/>
          <w:lang w:bidi="he-IL"/>
        </w:rPr>
        <w:t>[explain relevance to your research]</w:t>
      </w:r>
      <w:r w:rsidRPr="00C11B08">
        <w:rPr>
          <w:color w:val="0E101A"/>
          <w:lang w:bidi="he-IL"/>
        </w:rPr>
        <w:t>.</w:t>
      </w:r>
      <w:r w:rsidR="00E76C06">
        <w:rPr>
          <w:rStyle w:val="FootnoteReference"/>
          <w:color w:val="0E101A"/>
          <w:lang w:bidi="he-IL"/>
        </w:rPr>
        <w:footnoteReference w:id="8"/>
      </w:r>
    </w:p>
    <w:p w14:paraId="46F81142" w14:textId="328CB644" w:rsidR="00C11B08" w:rsidRPr="00C11B08" w:rsidRDefault="00C11B08" w:rsidP="00C11B08">
      <w:pPr>
        <w:spacing w:line="480" w:lineRule="auto"/>
        <w:ind w:firstLine="720"/>
        <w:rPr>
          <w:color w:val="0E101A"/>
          <w:lang w:bidi="he-IL"/>
        </w:rPr>
      </w:pPr>
      <w:r w:rsidRPr="00C11B08">
        <w:rPr>
          <w:color w:val="0E101A"/>
          <w:lang w:bidi="he-IL"/>
        </w:rPr>
        <w:t xml:space="preserve">Milgrom extends Schwartz's theological argument by explaining </w:t>
      </w:r>
      <w:r w:rsidR="00330ABE">
        <w:rPr>
          <w:color w:val="0E101A"/>
          <w:lang w:bidi="he-IL"/>
        </w:rPr>
        <w:t xml:space="preserve">[show how these </w:t>
      </w:r>
      <w:r w:rsidR="00CF0BD6">
        <w:rPr>
          <w:color w:val="0E101A"/>
          <w:lang w:bidi="he-IL"/>
        </w:rPr>
        <w:t xml:space="preserve">authors ideas </w:t>
      </w:r>
      <w:r w:rsidR="00330ABE">
        <w:rPr>
          <w:color w:val="0E101A"/>
          <w:lang w:bidi="he-IL"/>
        </w:rPr>
        <w:t>connect]</w:t>
      </w:r>
      <w:r w:rsidRPr="00C11B08">
        <w:rPr>
          <w:color w:val="0E101A"/>
          <w:lang w:bidi="he-IL"/>
        </w:rPr>
        <w:t xml:space="preserve">. Milgrom furthers Schwartz's assertion by highlighting </w:t>
      </w:r>
      <w:r w:rsidR="00CF0BD6">
        <w:rPr>
          <w:color w:val="0E101A"/>
          <w:lang w:bidi="he-IL"/>
        </w:rPr>
        <w:t>[demonstrate similarities]</w:t>
      </w:r>
      <w:r w:rsidRPr="00C11B08">
        <w:rPr>
          <w:color w:val="0E101A"/>
          <w:lang w:bidi="he-IL"/>
        </w:rPr>
        <w:t xml:space="preserve">. Milgrom supports Schwarz in his belief that </w:t>
      </w:r>
      <w:r w:rsidR="004A591D">
        <w:rPr>
          <w:color w:val="0E101A"/>
          <w:lang w:bidi="he-IL"/>
        </w:rPr>
        <w:t>[assertion</w:t>
      </w:r>
      <w:r w:rsidR="00E41828">
        <w:rPr>
          <w:color w:val="0E101A"/>
          <w:lang w:bidi="he-IL"/>
        </w:rPr>
        <w:t xml:space="preserve"> they have in common</w:t>
      </w:r>
      <w:r w:rsidR="004A591D">
        <w:rPr>
          <w:color w:val="0E101A"/>
          <w:lang w:bidi="he-IL"/>
        </w:rPr>
        <w:t>]</w:t>
      </w:r>
      <w:r w:rsidRPr="00C11B08">
        <w:rPr>
          <w:color w:val="0E101A"/>
          <w:lang w:bidi="he-IL"/>
        </w:rPr>
        <w:t xml:space="preserve">, while Milgrom </w:t>
      </w:r>
      <w:r w:rsidR="00E41828">
        <w:rPr>
          <w:color w:val="0E101A"/>
          <w:lang w:bidi="he-IL"/>
        </w:rPr>
        <w:t>provides [show how they differ and why that is important]</w:t>
      </w:r>
      <w:r w:rsidRPr="00C11B08">
        <w:rPr>
          <w:color w:val="0E101A"/>
          <w:lang w:bidi="he-IL"/>
        </w:rPr>
        <w:t>.</w:t>
      </w:r>
    </w:p>
    <w:p w14:paraId="7BF7F322" w14:textId="1567250E" w:rsidR="00F33F6B" w:rsidRDefault="00F33F6B">
      <w:pPr>
        <w:rPr>
          <w:color w:val="0E101A"/>
          <w:lang w:bidi="he-IL"/>
        </w:rPr>
      </w:pPr>
      <w:r>
        <w:rPr>
          <w:color w:val="0E101A"/>
          <w:lang w:bidi="he-IL"/>
        </w:rPr>
        <w:br w:type="page"/>
      </w:r>
    </w:p>
    <w:p w14:paraId="650FA6DC" w14:textId="77777777" w:rsidR="00F33F6B" w:rsidRDefault="00F33F6B" w:rsidP="00F33F6B">
      <w:pPr>
        <w:spacing w:line="480" w:lineRule="auto"/>
        <w:jc w:val="center"/>
        <w:rPr>
          <w:b/>
          <w:bCs/>
        </w:rPr>
      </w:pPr>
    </w:p>
    <w:p w14:paraId="097B4434" w14:textId="77777777" w:rsidR="00F33F6B" w:rsidRDefault="00F33F6B" w:rsidP="00F33F6B">
      <w:pPr>
        <w:spacing w:line="480" w:lineRule="auto"/>
        <w:jc w:val="center"/>
        <w:rPr>
          <w:b/>
          <w:bCs/>
        </w:rPr>
      </w:pPr>
    </w:p>
    <w:p w14:paraId="2CB2C102" w14:textId="5B6992BD" w:rsidR="00F33F6B" w:rsidRDefault="00F33F6B" w:rsidP="00F33F6B">
      <w:pPr>
        <w:spacing w:line="480" w:lineRule="auto"/>
        <w:jc w:val="center"/>
        <w:rPr>
          <w:b/>
          <w:bCs/>
        </w:rPr>
      </w:pPr>
      <w:r w:rsidRPr="00F33F6B">
        <w:rPr>
          <w:b/>
          <w:bCs/>
        </w:rPr>
        <w:t>Bibliography</w:t>
      </w:r>
    </w:p>
    <w:p w14:paraId="30EF9FC1" w14:textId="77777777" w:rsidR="00F33F6B" w:rsidRDefault="00F33F6B" w:rsidP="00F33F6B">
      <w:r w:rsidRPr="00F33F6B">
        <w:t>Matthews, Victor H. </w:t>
      </w:r>
      <w:r w:rsidRPr="00F33F6B">
        <w:rPr>
          <w:i/>
          <w:iCs/>
        </w:rPr>
        <w:t>Gender and Law in the Hebrew Bible and the Ancient Near East</w:t>
      </w:r>
      <w:r w:rsidRPr="00F33F6B">
        <w:t xml:space="preserve">. Sheffield: </w:t>
      </w:r>
    </w:p>
    <w:p w14:paraId="136AB23D" w14:textId="6F97E315" w:rsidR="00F33F6B" w:rsidRDefault="00F33F6B" w:rsidP="00F33F6B">
      <w:pPr>
        <w:ind w:firstLine="720"/>
      </w:pPr>
      <w:r w:rsidRPr="00F33F6B">
        <w:t>Sheffield Academic Press, 1998.</w:t>
      </w:r>
    </w:p>
    <w:p w14:paraId="3AE5D730" w14:textId="77777777" w:rsidR="00F33F6B" w:rsidRPr="00F33F6B" w:rsidRDefault="00F33F6B" w:rsidP="00F33F6B"/>
    <w:p w14:paraId="0D6E7D7D" w14:textId="77777777" w:rsidR="00F33F6B" w:rsidRDefault="00F33F6B" w:rsidP="00F33F6B">
      <w:r w:rsidRPr="00F33F6B">
        <w:t>Milgrom, Jacob. </w:t>
      </w:r>
      <w:r w:rsidRPr="00F33F6B">
        <w:rPr>
          <w:i/>
          <w:iCs/>
        </w:rPr>
        <w:t>Leviticus 1-16: A New Translation with Introduction and Commentary</w:t>
      </w:r>
      <w:r w:rsidRPr="00F33F6B">
        <w:t xml:space="preserve">. New </w:t>
      </w:r>
    </w:p>
    <w:p w14:paraId="7F449A35" w14:textId="7DF3CF8E" w:rsidR="00F33F6B" w:rsidRDefault="00F33F6B" w:rsidP="00F33F6B">
      <w:pPr>
        <w:ind w:firstLine="720"/>
      </w:pPr>
      <w:r w:rsidRPr="00F33F6B">
        <w:t>Haven: Yale University Press, 2009.</w:t>
      </w:r>
    </w:p>
    <w:p w14:paraId="4346370D" w14:textId="77777777" w:rsidR="00F33F6B" w:rsidRPr="00F33F6B" w:rsidRDefault="00F33F6B" w:rsidP="00F33F6B"/>
    <w:p w14:paraId="02D9DB6A" w14:textId="77777777" w:rsidR="00F33F6B" w:rsidRDefault="00F33F6B" w:rsidP="00F33F6B">
      <w:r w:rsidRPr="00F33F6B">
        <w:t>Pardes, Ilana. </w:t>
      </w:r>
      <w:r w:rsidRPr="00F33F6B">
        <w:rPr>
          <w:i/>
          <w:iCs/>
        </w:rPr>
        <w:t>The Biography of Ancient Israel: National Narratives in the Bible</w:t>
      </w:r>
      <w:r w:rsidRPr="00F33F6B">
        <w:t xml:space="preserve">. Berkeley: </w:t>
      </w:r>
    </w:p>
    <w:p w14:paraId="05DCF179" w14:textId="62D0E479" w:rsidR="00F33F6B" w:rsidRDefault="00F33F6B" w:rsidP="00F33F6B">
      <w:pPr>
        <w:ind w:firstLine="720"/>
      </w:pPr>
      <w:r w:rsidRPr="00F33F6B">
        <w:t>University of California Press, 2000.</w:t>
      </w:r>
    </w:p>
    <w:p w14:paraId="51A98674" w14:textId="77777777" w:rsidR="00F33F6B" w:rsidRPr="00F33F6B" w:rsidRDefault="00F33F6B" w:rsidP="00F33F6B"/>
    <w:p w14:paraId="2B186D1A" w14:textId="77777777" w:rsidR="00F33F6B" w:rsidRDefault="00F33F6B" w:rsidP="00F33F6B">
      <w:r w:rsidRPr="00F33F6B">
        <w:t>Schwartz, Baruch J. </w:t>
      </w:r>
      <w:r w:rsidRPr="00F33F6B">
        <w:rPr>
          <w:i/>
          <w:iCs/>
        </w:rPr>
        <w:t>The Holiness Legislation: Studies in the Priestly Code</w:t>
      </w:r>
      <w:r w:rsidRPr="00F33F6B">
        <w:t xml:space="preserve">. Jerusalem: Magnes </w:t>
      </w:r>
    </w:p>
    <w:p w14:paraId="08285925" w14:textId="7AC322BC" w:rsidR="00F33F6B" w:rsidRPr="00F33F6B" w:rsidRDefault="00F33F6B" w:rsidP="00F33F6B">
      <w:pPr>
        <w:ind w:firstLine="720"/>
      </w:pPr>
      <w:r w:rsidRPr="00F33F6B">
        <w:t>Press, 1999.</w:t>
      </w:r>
    </w:p>
    <w:p w14:paraId="728661CB" w14:textId="77777777" w:rsidR="00F33F6B" w:rsidRPr="00F33F6B" w:rsidRDefault="00F33F6B" w:rsidP="00F33F6B">
      <w:pPr>
        <w:spacing w:line="480" w:lineRule="auto"/>
        <w:rPr>
          <w:b/>
          <w:bCs/>
        </w:rPr>
      </w:pPr>
    </w:p>
    <w:sectPr w:rsidR="00F33F6B" w:rsidRPr="00F33F6B" w:rsidSect="00C96B7F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CA3E" w14:textId="77777777" w:rsidR="000E66D3" w:rsidRDefault="000E66D3" w:rsidP="00FC05AF">
      <w:r>
        <w:separator/>
      </w:r>
    </w:p>
  </w:endnote>
  <w:endnote w:type="continuationSeparator" w:id="0">
    <w:p w14:paraId="5642A032" w14:textId="77777777" w:rsidR="000E66D3" w:rsidRDefault="000E66D3" w:rsidP="00FC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1728" w14:textId="77777777" w:rsidR="000E66D3" w:rsidRDefault="000E66D3" w:rsidP="00FC05AF">
      <w:r>
        <w:separator/>
      </w:r>
    </w:p>
  </w:footnote>
  <w:footnote w:type="continuationSeparator" w:id="0">
    <w:p w14:paraId="67128484" w14:textId="77777777" w:rsidR="000E66D3" w:rsidRDefault="000E66D3" w:rsidP="00FC05AF">
      <w:r>
        <w:continuationSeparator/>
      </w:r>
    </w:p>
  </w:footnote>
  <w:footnote w:id="1">
    <w:p w14:paraId="0A16CE97" w14:textId="7BF200C4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Victor H. Matthews, </w:t>
      </w:r>
      <w:r w:rsidRPr="00C11B08">
        <w:rPr>
          <w:i/>
          <w:iCs/>
        </w:rPr>
        <w:t>Gender and Law in the Hebrew Bible and the Ancient Near East</w:t>
      </w:r>
      <w:r w:rsidRPr="00C11B08">
        <w:t> (Sheffield: Sheffield Academic Press, 1998), 98-100.</w:t>
      </w:r>
    </w:p>
    <w:p w14:paraId="76B08CD5" w14:textId="77777777" w:rsidR="00E76C06" w:rsidRDefault="00E76C06" w:rsidP="00E76C06">
      <w:pPr>
        <w:pStyle w:val="FootnoteText"/>
        <w:ind w:firstLine="720"/>
      </w:pPr>
    </w:p>
  </w:footnote>
  <w:footnote w:id="2">
    <w:p w14:paraId="1943FFFD" w14:textId="79F2B45B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Matthews, </w:t>
      </w:r>
      <w:r w:rsidRPr="00C11B08">
        <w:rPr>
          <w:i/>
          <w:iCs/>
        </w:rPr>
        <w:t>Gender and Law in the Hebrew Bible</w:t>
      </w:r>
      <w:r w:rsidRPr="00C11B08">
        <w:t>, 98-100.</w:t>
      </w:r>
    </w:p>
    <w:p w14:paraId="1EA16FB6" w14:textId="77777777" w:rsidR="00E76C06" w:rsidRDefault="00E76C06" w:rsidP="00E76C06">
      <w:pPr>
        <w:pStyle w:val="FootnoteText"/>
        <w:ind w:firstLine="720"/>
      </w:pPr>
    </w:p>
  </w:footnote>
  <w:footnote w:id="3">
    <w:p w14:paraId="5E33ED39" w14:textId="4D01C63E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Ilana Pardes, </w:t>
      </w:r>
      <w:r w:rsidRPr="00C11B08">
        <w:rPr>
          <w:i/>
          <w:iCs/>
        </w:rPr>
        <w:t>The Biography of Ancient Israel: National Narratives in the Bible</w:t>
      </w:r>
      <w:r w:rsidRPr="00C11B08">
        <w:t> (Berkeley: University of California Press, 2000), 78-80.</w:t>
      </w:r>
    </w:p>
    <w:p w14:paraId="782388EB" w14:textId="77777777" w:rsidR="00E76C06" w:rsidRDefault="00E76C06" w:rsidP="00E76C06">
      <w:pPr>
        <w:pStyle w:val="FootnoteText"/>
        <w:ind w:firstLine="720"/>
      </w:pPr>
    </w:p>
  </w:footnote>
  <w:footnote w:id="4">
    <w:p w14:paraId="1B950EF9" w14:textId="02D9F8A1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Pardes, </w:t>
      </w:r>
      <w:r w:rsidRPr="00C11B08">
        <w:rPr>
          <w:i/>
          <w:iCs/>
        </w:rPr>
        <w:t>The Biography of Ancient Israel</w:t>
      </w:r>
      <w:r w:rsidRPr="00C11B08">
        <w:t>, 78-80.</w:t>
      </w:r>
    </w:p>
    <w:p w14:paraId="280AFF96" w14:textId="77777777" w:rsidR="00E76C06" w:rsidRDefault="00E76C06" w:rsidP="00E76C06">
      <w:pPr>
        <w:pStyle w:val="FootnoteText"/>
        <w:ind w:firstLine="720"/>
      </w:pPr>
    </w:p>
  </w:footnote>
  <w:footnote w:id="5">
    <w:p w14:paraId="32A57EB4" w14:textId="3CCCB01B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Baruch J. Schwartz, </w:t>
      </w:r>
      <w:r w:rsidRPr="00C11B08">
        <w:rPr>
          <w:i/>
          <w:iCs/>
        </w:rPr>
        <w:t>The Holiness Legislation: Studies in the Priestly Code</w:t>
      </w:r>
      <w:r w:rsidRPr="00C11B08">
        <w:t> (Jerusalem: Magnes Press, 1999), 89-91.</w:t>
      </w:r>
    </w:p>
    <w:p w14:paraId="0304C3CF" w14:textId="77777777" w:rsidR="00E76C06" w:rsidRDefault="00E76C06" w:rsidP="00E76C06">
      <w:pPr>
        <w:pStyle w:val="FootnoteText"/>
        <w:ind w:firstLine="720"/>
      </w:pPr>
    </w:p>
  </w:footnote>
  <w:footnote w:id="6">
    <w:p w14:paraId="6CD1132D" w14:textId="7C528702" w:rsidR="00C11B08" w:rsidRDefault="00C11B08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C11B08">
        <w:t>Schwartz, </w:t>
      </w:r>
      <w:r w:rsidRPr="00C11B08">
        <w:rPr>
          <w:i/>
          <w:iCs/>
        </w:rPr>
        <w:t>The Holiness Legislation</w:t>
      </w:r>
      <w:r w:rsidRPr="00C11B08">
        <w:t>, 89-91.</w:t>
      </w:r>
    </w:p>
    <w:p w14:paraId="55DEDF1A" w14:textId="77777777" w:rsidR="00E76C06" w:rsidRDefault="00E76C06" w:rsidP="00E76C06">
      <w:pPr>
        <w:pStyle w:val="FootnoteText"/>
        <w:ind w:firstLine="720"/>
      </w:pPr>
    </w:p>
  </w:footnote>
  <w:footnote w:id="7">
    <w:p w14:paraId="06C991C5" w14:textId="04D0CE80" w:rsidR="00E76C06" w:rsidRDefault="00E76C06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E76C06">
        <w:t>Jacob Milgrom, </w:t>
      </w:r>
      <w:r w:rsidRPr="00E76C06">
        <w:rPr>
          <w:i/>
          <w:iCs/>
        </w:rPr>
        <w:t>Leviticus 1-16: A New Translation with Introduction and Commentary</w:t>
      </w:r>
      <w:r w:rsidRPr="00E76C06">
        <w:t> (New Haven: Yale University Press, 2009), 147-150.</w:t>
      </w:r>
    </w:p>
    <w:p w14:paraId="4363C4FC" w14:textId="77777777" w:rsidR="00E76C06" w:rsidRDefault="00E76C06" w:rsidP="00E76C06">
      <w:pPr>
        <w:pStyle w:val="FootnoteText"/>
        <w:ind w:firstLine="720"/>
      </w:pPr>
    </w:p>
  </w:footnote>
  <w:footnote w:id="8">
    <w:p w14:paraId="1270099F" w14:textId="16403CD0" w:rsidR="00E76C06" w:rsidRDefault="00E76C06" w:rsidP="00E76C06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E76C06">
        <w:t>Milgrom, </w:t>
      </w:r>
      <w:r w:rsidRPr="00E76C06">
        <w:rPr>
          <w:i/>
          <w:iCs/>
        </w:rPr>
        <w:t>Leviticus 1-16</w:t>
      </w:r>
      <w:r w:rsidRPr="00E76C06">
        <w:t>, 147-150.</w:t>
      </w:r>
    </w:p>
    <w:p w14:paraId="4E84C13D" w14:textId="77777777" w:rsidR="00E76C06" w:rsidRDefault="00E76C06" w:rsidP="00E76C06">
      <w:pPr>
        <w:pStyle w:val="FootnoteText"/>
        <w:ind w:firstLine="7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27720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AC23439" w14:textId="58934E99" w:rsidR="00FC05AF" w:rsidRDefault="00FC05AF" w:rsidP="0040095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2644826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2D11554" w14:textId="38B69551" w:rsidR="00FC05AF" w:rsidRDefault="00FC05AF" w:rsidP="00FC05AF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98C97F" w14:textId="77777777" w:rsidR="00FC05AF" w:rsidRDefault="00FC05AF" w:rsidP="00FC05A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8882581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B8001DD" w14:textId="08362B25" w:rsidR="00FC05AF" w:rsidRPr="00FC05AF" w:rsidRDefault="00FC05AF" w:rsidP="00FC05A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FC05AF">
          <w:rPr>
            <w:rStyle w:val="PageNumber"/>
            <w:rFonts w:ascii="Times New Roman" w:hAnsi="Times New Roman" w:cs="Times New Roman"/>
          </w:rPr>
          <w:fldChar w:fldCharType="begin"/>
        </w:r>
        <w:r w:rsidRPr="00FC05A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C05AF">
          <w:rPr>
            <w:rStyle w:val="PageNumber"/>
            <w:rFonts w:ascii="Times New Roman" w:hAnsi="Times New Roman" w:cs="Times New Roman"/>
          </w:rPr>
          <w:fldChar w:fldCharType="separate"/>
        </w:r>
        <w:r w:rsidRPr="00FC05AF">
          <w:rPr>
            <w:rStyle w:val="PageNumber"/>
            <w:rFonts w:ascii="Times New Roman" w:hAnsi="Times New Roman" w:cs="Times New Roman"/>
            <w:noProof/>
          </w:rPr>
          <w:t>1</w:t>
        </w:r>
        <w:r w:rsidRPr="00FC05A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3179006" w14:textId="77777777" w:rsidR="00FC05AF" w:rsidRDefault="00FC05AF" w:rsidP="00FC05A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2A8A"/>
    <w:multiLevelType w:val="multilevel"/>
    <w:tmpl w:val="76D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519B1"/>
    <w:multiLevelType w:val="multilevel"/>
    <w:tmpl w:val="C52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30EDF"/>
    <w:multiLevelType w:val="multilevel"/>
    <w:tmpl w:val="4A3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5282">
    <w:abstractNumId w:val="2"/>
  </w:num>
  <w:num w:numId="2" w16cid:durableId="1276718632">
    <w:abstractNumId w:val="1"/>
  </w:num>
  <w:num w:numId="3" w16cid:durableId="165433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C4"/>
    <w:rsid w:val="00027F24"/>
    <w:rsid w:val="00037CD6"/>
    <w:rsid w:val="0004085D"/>
    <w:rsid w:val="00041BA3"/>
    <w:rsid w:val="00067258"/>
    <w:rsid w:val="000707CA"/>
    <w:rsid w:val="000A2136"/>
    <w:rsid w:val="000A534E"/>
    <w:rsid w:val="000A746B"/>
    <w:rsid w:val="000E66D3"/>
    <w:rsid w:val="00122C83"/>
    <w:rsid w:val="00123217"/>
    <w:rsid w:val="001A015C"/>
    <w:rsid w:val="001A4221"/>
    <w:rsid w:val="001D1345"/>
    <w:rsid w:val="0020295F"/>
    <w:rsid w:val="00215631"/>
    <w:rsid w:val="00255FB7"/>
    <w:rsid w:val="00286538"/>
    <w:rsid w:val="002C097A"/>
    <w:rsid w:val="002C278B"/>
    <w:rsid w:val="002C327C"/>
    <w:rsid w:val="002C557C"/>
    <w:rsid w:val="002E3D9D"/>
    <w:rsid w:val="002F2F75"/>
    <w:rsid w:val="00330ABE"/>
    <w:rsid w:val="00367C1C"/>
    <w:rsid w:val="003B41E9"/>
    <w:rsid w:val="003B60AF"/>
    <w:rsid w:val="003C540C"/>
    <w:rsid w:val="00402306"/>
    <w:rsid w:val="0041028F"/>
    <w:rsid w:val="00414EE8"/>
    <w:rsid w:val="004340AE"/>
    <w:rsid w:val="0043673A"/>
    <w:rsid w:val="004862EE"/>
    <w:rsid w:val="0048635C"/>
    <w:rsid w:val="00491C0A"/>
    <w:rsid w:val="00493DCC"/>
    <w:rsid w:val="004A4BE3"/>
    <w:rsid w:val="004A591D"/>
    <w:rsid w:val="004C22F0"/>
    <w:rsid w:val="004C3855"/>
    <w:rsid w:val="00527BBA"/>
    <w:rsid w:val="005458FA"/>
    <w:rsid w:val="00554A4C"/>
    <w:rsid w:val="0055554A"/>
    <w:rsid w:val="005711BF"/>
    <w:rsid w:val="005844E6"/>
    <w:rsid w:val="00590E22"/>
    <w:rsid w:val="005C360A"/>
    <w:rsid w:val="005E6D71"/>
    <w:rsid w:val="00620F1D"/>
    <w:rsid w:val="00623775"/>
    <w:rsid w:val="00623C9D"/>
    <w:rsid w:val="00627593"/>
    <w:rsid w:val="00631179"/>
    <w:rsid w:val="00657E28"/>
    <w:rsid w:val="006876A3"/>
    <w:rsid w:val="00696D0C"/>
    <w:rsid w:val="006A26E0"/>
    <w:rsid w:val="00720C0C"/>
    <w:rsid w:val="007363AF"/>
    <w:rsid w:val="00736822"/>
    <w:rsid w:val="007753CC"/>
    <w:rsid w:val="0079367A"/>
    <w:rsid w:val="0079510A"/>
    <w:rsid w:val="007B17CA"/>
    <w:rsid w:val="00810850"/>
    <w:rsid w:val="008333F4"/>
    <w:rsid w:val="0085055A"/>
    <w:rsid w:val="008703C7"/>
    <w:rsid w:val="008A4159"/>
    <w:rsid w:val="008C423D"/>
    <w:rsid w:val="008E2ACE"/>
    <w:rsid w:val="008E5B35"/>
    <w:rsid w:val="008E72C7"/>
    <w:rsid w:val="009076AF"/>
    <w:rsid w:val="00915754"/>
    <w:rsid w:val="00953970"/>
    <w:rsid w:val="0096451F"/>
    <w:rsid w:val="009E3F15"/>
    <w:rsid w:val="00A22423"/>
    <w:rsid w:val="00A82034"/>
    <w:rsid w:val="00A92334"/>
    <w:rsid w:val="00A95914"/>
    <w:rsid w:val="00AA025D"/>
    <w:rsid w:val="00AB4157"/>
    <w:rsid w:val="00AC0867"/>
    <w:rsid w:val="00AC728A"/>
    <w:rsid w:val="00B0625E"/>
    <w:rsid w:val="00B367A9"/>
    <w:rsid w:val="00B509BC"/>
    <w:rsid w:val="00B73DFD"/>
    <w:rsid w:val="00BB06F8"/>
    <w:rsid w:val="00BC00A1"/>
    <w:rsid w:val="00BF0C5C"/>
    <w:rsid w:val="00C11B08"/>
    <w:rsid w:val="00C52EE3"/>
    <w:rsid w:val="00C63DDE"/>
    <w:rsid w:val="00C65C4A"/>
    <w:rsid w:val="00C96B7F"/>
    <w:rsid w:val="00CA3149"/>
    <w:rsid w:val="00CD53DE"/>
    <w:rsid w:val="00CE1BDD"/>
    <w:rsid w:val="00CF0BD6"/>
    <w:rsid w:val="00D409F9"/>
    <w:rsid w:val="00D43360"/>
    <w:rsid w:val="00D50B16"/>
    <w:rsid w:val="00D81522"/>
    <w:rsid w:val="00D922FF"/>
    <w:rsid w:val="00DA05E8"/>
    <w:rsid w:val="00DA66FA"/>
    <w:rsid w:val="00DB121B"/>
    <w:rsid w:val="00DB56D4"/>
    <w:rsid w:val="00DB7D68"/>
    <w:rsid w:val="00DC4510"/>
    <w:rsid w:val="00DD2CFA"/>
    <w:rsid w:val="00DD732C"/>
    <w:rsid w:val="00DE3AC5"/>
    <w:rsid w:val="00DE495E"/>
    <w:rsid w:val="00E11F19"/>
    <w:rsid w:val="00E41828"/>
    <w:rsid w:val="00E7165B"/>
    <w:rsid w:val="00E74F49"/>
    <w:rsid w:val="00E7590D"/>
    <w:rsid w:val="00E76C06"/>
    <w:rsid w:val="00EC17D4"/>
    <w:rsid w:val="00F012AE"/>
    <w:rsid w:val="00F04E58"/>
    <w:rsid w:val="00F33F6B"/>
    <w:rsid w:val="00F51887"/>
    <w:rsid w:val="00F72F91"/>
    <w:rsid w:val="00F777A1"/>
    <w:rsid w:val="00FB04EB"/>
    <w:rsid w:val="00FB08C4"/>
    <w:rsid w:val="00FB5FA7"/>
    <w:rsid w:val="00FC05AF"/>
    <w:rsid w:val="00FD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7A88"/>
  <w15:chartTrackingRefBased/>
  <w15:docId w15:val="{5AB4D916-9CC9-4149-B39F-D306B90F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DF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73D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C05AF"/>
  </w:style>
  <w:style w:type="paragraph" w:styleId="Footer">
    <w:name w:val="footer"/>
    <w:basedOn w:val="Normal"/>
    <w:link w:val="Foot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C05AF"/>
  </w:style>
  <w:style w:type="character" w:styleId="PageNumber">
    <w:name w:val="page number"/>
    <w:basedOn w:val="DefaultParagraphFont"/>
    <w:uiPriority w:val="99"/>
    <w:semiHidden/>
    <w:unhideWhenUsed/>
    <w:rsid w:val="00FC05AF"/>
  </w:style>
  <w:style w:type="paragraph" w:styleId="NormalWeb">
    <w:name w:val="Normal (Web)"/>
    <w:basedOn w:val="Normal"/>
    <w:uiPriority w:val="99"/>
    <w:unhideWhenUsed/>
    <w:rsid w:val="00FC05AF"/>
    <w:pPr>
      <w:spacing w:before="100" w:beforeAutospacing="1" w:after="100" w:afterAutospacing="1"/>
    </w:pPr>
    <w:rPr>
      <w:lang w:bidi="he-IL"/>
    </w:rPr>
  </w:style>
  <w:style w:type="character" w:customStyle="1" w:styleId="normaltextrun">
    <w:name w:val="normaltextrun"/>
    <w:basedOn w:val="DefaultParagraphFont"/>
    <w:rsid w:val="00FC05AF"/>
  </w:style>
  <w:style w:type="character" w:customStyle="1" w:styleId="apple-converted-space">
    <w:name w:val="apple-converted-space"/>
    <w:basedOn w:val="DefaultParagraphFont"/>
    <w:rsid w:val="00FC05AF"/>
  </w:style>
  <w:style w:type="character" w:styleId="Emphasis">
    <w:name w:val="Emphasis"/>
    <w:basedOn w:val="DefaultParagraphFont"/>
    <w:uiPriority w:val="20"/>
    <w:qFormat/>
    <w:rsid w:val="00554A4C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5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52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8152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8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32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3D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a">
    <w:name w:val="_"/>
    <w:basedOn w:val="DefaultParagraphFont"/>
    <w:rsid w:val="00B73DFD"/>
  </w:style>
  <w:style w:type="character" w:customStyle="1" w:styleId="Heading3Char">
    <w:name w:val="Heading 3 Char"/>
    <w:basedOn w:val="DefaultParagraphFont"/>
    <w:link w:val="Heading3"/>
    <w:uiPriority w:val="9"/>
    <w:semiHidden/>
    <w:rsid w:val="0081085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2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6200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0192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84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8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85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6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536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236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56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07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6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75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6647921A0D64B8F5DDDDAF0D3F7F3" ma:contentTypeVersion="17" ma:contentTypeDescription="Create a new document." ma:contentTypeScope="" ma:versionID="76669dc64633cedb77e426dec538ef81">
  <xsd:schema xmlns:xsd="http://www.w3.org/2001/XMLSchema" xmlns:xs="http://www.w3.org/2001/XMLSchema" xmlns:p="http://schemas.microsoft.com/office/2006/metadata/properties" xmlns:ns2="0d0be18a-7e93-40f4-9c23-f234523f99c6" xmlns:ns3="68d0cf11-c2ce-487e-93ee-d55b2c615aa3" targetNamespace="http://schemas.microsoft.com/office/2006/metadata/properties" ma:root="true" ma:fieldsID="7755601762b8f2e0e8ba37d817a52397" ns2:_="" ns3:_="">
    <xsd:import namespace="0d0be18a-7e93-40f4-9c23-f234523f99c6"/>
    <xsd:import namespace="68d0cf11-c2ce-487e-93ee-d55b2c615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be18a-7e93-40f4-9c23-f234523f99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d38b58-dd03-43cc-b844-33324f8e8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cf11-c2ce-487e-93ee-d55b2c615aa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8187ca3-1939-4516-8565-c8c2b45e6e8b}" ma:internalName="TaxCatchAll" ma:showField="CatchAllData" ma:web="68d0cf11-c2ce-487e-93ee-d55b2c615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be18a-7e93-40f4-9c23-f234523f99c6">
      <Terms xmlns="http://schemas.microsoft.com/office/infopath/2007/PartnerControls"/>
    </lcf76f155ced4ddcb4097134ff3c332f>
    <TaxCatchAll xmlns="68d0cf11-c2ce-487e-93ee-d55b2c615aa3" xsi:nil="true"/>
  </documentManagement>
</p:properties>
</file>

<file path=customXml/itemProps1.xml><?xml version="1.0" encoding="utf-8"?>
<ds:datastoreItem xmlns:ds="http://schemas.openxmlformats.org/officeDocument/2006/customXml" ds:itemID="{3162F011-A2A0-9942-97E7-AFFEF2881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237754-0977-45DA-A927-87C322859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be18a-7e93-40f4-9c23-f234523f99c6"/>
    <ds:schemaRef ds:uri="68d0cf11-c2ce-487e-93ee-d55b2c615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D3B26B-925B-4477-B64E-9BCB6FFBA4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255A9A-1AA1-4382-8A6F-110EA7E229DA}">
  <ds:schemaRefs>
    <ds:schemaRef ds:uri="0d0be18a-7e93-40f4-9c23-f234523f99c6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68d0cf11-c2ce-487e-93ee-d55b2c615aa3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c3545325-ed92-402e-a3e3-0ccd9eeab466}" enabled="0" method="" siteId="{c3545325-ed92-402e-a3e3-0ccd9eeab4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372</Words>
  <Characters>2140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Q. Cronk</dc:creator>
  <cp:keywords/>
  <dc:description/>
  <cp:lastModifiedBy>Ellen Q. Cronk</cp:lastModifiedBy>
  <cp:revision>19</cp:revision>
  <cp:lastPrinted>2024-03-29T21:00:00Z</cp:lastPrinted>
  <dcterms:created xsi:type="dcterms:W3CDTF">2026-02-10T21:44:00Z</dcterms:created>
  <dcterms:modified xsi:type="dcterms:W3CDTF">2026-02-10T21:56:00Z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0x01010038B6647921A0D64B8F5DDDDAF0D3F7F3</vt:lpwstr>
  </property>
  <property fmtid="{D5CDD505-2E9C-101B-9397-08002B2CF9AE}" pid="3" name="MediaServiceImageTags">
    <vt:lpwstr/>
  </property>
</Properties>
</file>