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4095" w14:textId="77777777" w:rsidR="00716D93" w:rsidRPr="008A640B" w:rsidRDefault="00DB08B2" w:rsidP="00DB08B2">
      <w:pPr>
        <w:spacing w:after="0" w:line="240" w:lineRule="auto"/>
        <w:rPr>
          <w:rFonts w:ascii="Calibri" w:hAnsi="Calibri" w:cs="Calibri"/>
          <w:b/>
        </w:rPr>
      </w:pPr>
      <w:r w:rsidRPr="008A640B">
        <w:rPr>
          <w:rFonts w:ascii="Calibri" w:hAnsi="Calibri" w:cs="Calibri"/>
          <w:b/>
        </w:rPr>
        <w:t>Master Pitch Template with Cues</w:t>
      </w:r>
      <w:r w:rsidR="00D17EC3" w:rsidRPr="008A640B">
        <w:rPr>
          <w:rFonts w:ascii="Calibri" w:hAnsi="Calibri" w:cs="Calibri"/>
          <w:b/>
        </w:rPr>
        <w:t xml:space="preserve"> for Pitcher</w:t>
      </w:r>
    </w:p>
    <w:tbl>
      <w:tblPr>
        <w:tblStyle w:val="TableGrid"/>
        <w:tblW w:w="14459" w:type="dxa"/>
        <w:tblInd w:w="-176" w:type="dxa"/>
        <w:tblLook w:val="04A0" w:firstRow="1" w:lastRow="0" w:firstColumn="1" w:lastColumn="0" w:noHBand="0" w:noVBand="1"/>
      </w:tblPr>
      <w:tblGrid>
        <w:gridCol w:w="2552"/>
        <w:gridCol w:w="4111"/>
        <w:gridCol w:w="1418"/>
        <w:gridCol w:w="2126"/>
        <w:gridCol w:w="2126"/>
        <w:gridCol w:w="2126"/>
      </w:tblGrid>
      <w:tr w:rsidR="00DB08B2" w:rsidRPr="008A640B" w14:paraId="2A3F912B" w14:textId="77777777" w:rsidTr="00EE3122">
        <w:tc>
          <w:tcPr>
            <w:tcW w:w="2552" w:type="dxa"/>
            <w:tcBorders>
              <w:bottom w:val="single" w:sz="4" w:space="0" w:color="auto"/>
            </w:tcBorders>
          </w:tcPr>
          <w:p w14:paraId="7F2185F1" w14:textId="77777777" w:rsidR="00DB08B2" w:rsidRPr="008A640B" w:rsidRDefault="00DB08B2" w:rsidP="00EE3122">
            <w:pPr>
              <w:rPr>
                <w:rFonts w:ascii="Calibri" w:hAnsi="Calibri" w:cs="Calibri"/>
                <w:b/>
                <w:sz w:val="18"/>
                <w:szCs w:val="18"/>
                <w:lang w:val="en-US"/>
              </w:rPr>
            </w:pPr>
            <w:r w:rsidRPr="008A640B">
              <w:rPr>
                <w:rFonts w:ascii="Calibri" w:hAnsi="Calibri" w:cs="Calibri"/>
                <w:b/>
                <w:sz w:val="18"/>
                <w:szCs w:val="18"/>
                <w:lang w:val="en-US"/>
              </w:rPr>
              <w:t>Pitcher’s Name</w:t>
            </w:r>
          </w:p>
        </w:tc>
        <w:tc>
          <w:tcPr>
            <w:tcW w:w="4111" w:type="dxa"/>
          </w:tcPr>
          <w:p w14:paraId="441C6B75" w14:textId="77777777" w:rsidR="00DB08B2" w:rsidRPr="008A640B" w:rsidRDefault="00DB08B2" w:rsidP="00EE3122">
            <w:pPr>
              <w:rPr>
                <w:rFonts w:ascii="Calibri" w:hAnsi="Calibri" w:cs="Calibri"/>
                <w:sz w:val="18"/>
                <w:szCs w:val="18"/>
                <w:lang w:val="en-US"/>
              </w:rPr>
            </w:pPr>
            <w:r w:rsidRPr="008A640B">
              <w:rPr>
                <w:rFonts w:ascii="Calibri" w:hAnsi="Calibri" w:cs="Calibri"/>
              </w:rPr>
              <w:t>Enrico Quaglia</w:t>
            </w:r>
          </w:p>
        </w:tc>
        <w:tc>
          <w:tcPr>
            <w:tcW w:w="1418" w:type="dxa"/>
            <w:shd w:val="pct20" w:color="auto" w:fill="auto"/>
          </w:tcPr>
          <w:p w14:paraId="1153398E" w14:textId="77777777" w:rsidR="00DB08B2" w:rsidRPr="008A640B" w:rsidRDefault="00DB08B2" w:rsidP="00EE3122">
            <w:pPr>
              <w:rPr>
                <w:rFonts w:ascii="Calibri" w:hAnsi="Calibri" w:cs="Calibri"/>
                <w:sz w:val="18"/>
                <w:szCs w:val="18"/>
                <w:lang w:val="en-US"/>
              </w:rPr>
            </w:pPr>
            <w:proofErr w:type="spellStart"/>
            <w:r w:rsidRPr="008A640B">
              <w:rPr>
                <w:rFonts w:ascii="Calibri" w:hAnsi="Calibri" w:cs="Calibri"/>
                <w:sz w:val="18"/>
                <w:szCs w:val="18"/>
                <w:lang w:val="en-US"/>
              </w:rPr>
              <w:t>FoR</w:t>
            </w:r>
            <w:proofErr w:type="spellEnd"/>
            <w:r w:rsidRPr="008A640B">
              <w:rPr>
                <w:rFonts w:ascii="Calibri" w:hAnsi="Calibri" w:cs="Calibri"/>
                <w:sz w:val="18"/>
                <w:szCs w:val="18"/>
                <w:lang w:val="en-US"/>
              </w:rPr>
              <w:t xml:space="preserve"> category</w:t>
            </w:r>
          </w:p>
        </w:tc>
        <w:tc>
          <w:tcPr>
            <w:tcW w:w="2126" w:type="dxa"/>
          </w:tcPr>
          <w:p w14:paraId="40D3AC17" w14:textId="77777777" w:rsidR="00DB08B2" w:rsidRPr="008A640B" w:rsidRDefault="00DB08B2" w:rsidP="00EE3122">
            <w:pPr>
              <w:rPr>
                <w:rFonts w:ascii="Calibri" w:hAnsi="Calibri" w:cs="Calibri"/>
                <w:sz w:val="18"/>
                <w:szCs w:val="18"/>
                <w:lang w:val="en-US"/>
              </w:rPr>
            </w:pPr>
            <w:r w:rsidRPr="008A640B">
              <w:rPr>
                <w:rFonts w:ascii="Calibri" w:hAnsi="Calibri" w:cs="Calibri"/>
              </w:rPr>
              <w:t xml:space="preserve">Public Sector Management / Public Accountability </w:t>
            </w:r>
          </w:p>
        </w:tc>
        <w:tc>
          <w:tcPr>
            <w:tcW w:w="2126" w:type="dxa"/>
            <w:shd w:val="pct20" w:color="auto" w:fill="auto"/>
          </w:tcPr>
          <w:p w14:paraId="137DCE57" w14:textId="77777777" w:rsidR="00DB08B2" w:rsidRPr="008A640B" w:rsidRDefault="00DB08B2" w:rsidP="00EE3122">
            <w:pPr>
              <w:rPr>
                <w:rFonts w:ascii="Calibri" w:hAnsi="Calibri" w:cs="Calibri"/>
                <w:b/>
                <w:sz w:val="18"/>
                <w:szCs w:val="18"/>
                <w:lang w:val="en-US"/>
              </w:rPr>
            </w:pPr>
            <w:r w:rsidRPr="008A640B">
              <w:rPr>
                <w:rFonts w:ascii="Calibri" w:hAnsi="Calibri" w:cs="Calibri"/>
                <w:b/>
                <w:sz w:val="18"/>
                <w:szCs w:val="18"/>
                <w:lang w:val="en-US"/>
              </w:rPr>
              <w:t>Date Completed</w:t>
            </w:r>
          </w:p>
        </w:tc>
        <w:tc>
          <w:tcPr>
            <w:tcW w:w="2126" w:type="dxa"/>
          </w:tcPr>
          <w:p w14:paraId="5C61AD3B" w14:textId="77777777" w:rsidR="00DB08B2" w:rsidRPr="008A640B" w:rsidRDefault="00DB08B2" w:rsidP="00EE3122">
            <w:pPr>
              <w:rPr>
                <w:rFonts w:ascii="Calibri" w:hAnsi="Calibri" w:cs="Calibri"/>
                <w:sz w:val="18"/>
                <w:szCs w:val="18"/>
                <w:lang w:val="en-US"/>
              </w:rPr>
            </w:pPr>
            <w:r w:rsidRPr="008A640B">
              <w:rPr>
                <w:rFonts w:ascii="Calibri" w:hAnsi="Calibri" w:cs="Calibri"/>
              </w:rPr>
              <w:t>January 2026</w:t>
            </w:r>
          </w:p>
        </w:tc>
      </w:tr>
      <w:tr w:rsidR="00DB08B2" w:rsidRPr="008A640B" w14:paraId="3C90719F" w14:textId="77777777" w:rsidTr="00EE3122">
        <w:tc>
          <w:tcPr>
            <w:tcW w:w="2552" w:type="dxa"/>
            <w:shd w:val="clear" w:color="auto" w:fill="BFBFBF" w:themeFill="background1" w:themeFillShade="BF"/>
          </w:tcPr>
          <w:p w14:paraId="63B0E534"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(A) Working Title</w:t>
            </w:r>
          </w:p>
        </w:tc>
        <w:tc>
          <w:tcPr>
            <w:tcW w:w="11907" w:type="dxa"/>
            <w:gridSpan w:val="5"/>
          </w:tcPr>
          <w:p w14:paraId="1455D9C7" w14:textId="77777777" w:rsidR="00DB08B2" w:rsidRPr="008A640B" w:rsidRDefault="002B1484" w:rsidP="00EE3122">
            <w:pPr>
              <w:rPr>
                <w:rFonts w:ascii="Calibri" w:hAnsi="Calibri" w:cs="Calibri"/>
              </w:rPr>
            </w:pPr>
            <w:r w:rsidRPr="008A640B">
              <w:rPr>
                <w:rFonts w:ascii="Calibri" w:hAnsi="Calibri" w:cs="Calibri"/>
              </w:rPr>
              <w:t>FOI Responsiveness as Organizational Accountability: A Multilevel Analysis of Determinants in Belgian Public Administrations (2016-2025)</w:t>
            </w:r>
          </w:p>
        </w:tc>
      </w:tr>
      <w:tr w:rsidR="00DB08B2" w:rsidRPr="008A640B" w14:paraId="4633774B" w14:textId="77777777" w:rsidTr="00EE3122">
        <w:tc>
          <w:tcPr>
            <w:tcW w:w="2552" w:type="dxa"/>
            <w:shd w:val="clear" w:color="auto" w:fill="BFBFBF" w:themeFill="background1" w:themeFillShade="BF"/>
          </w:tcPr>
          <w:p w14:paraId="0C63C1CC"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(B) Basic Research Question</w:t>
            </w:r>
          </w:p>
        </w:tc>
        <w:tc>
          <w:tcPr>
            <w:tcW w:w="11907" w:type="dxa"/>
            <w:gridSpan w:val="5"/>
          </w:tcPr>
          <w:p w14:paraId="6A0E6B33" w14:textId="77777777" w:rsidR="00DB08B2" w:rsidRPr="008A640B" w:rsidRDefault="002B1484" w:rsidP="00EE3122">
            <w:pPr>
              <w:rPr>
                <w:rFonts w:ascii="Calibri" w:hAnsi="Calibri" w:cs="Calibri"/>
              </w:rPr>
            </w:pPr>
            <w:r w:rsidRPr="008A640B">
              <w:rPr>
                <w:rFonts w:ascii="Calibri" w:hAnsi="Calibri" w:cs="Calibri"/>
              </w:rPr>
              <w:t xml:space="preserve">To what extent do the substantive accountability-pressure of a request, the requester's communication strategy, and the organizational context determine the responsiveness of public administrations to FOI requests, and what does this patterned </w:t>
            </w:r>
            <w:proofErr w:type="spellStart"/>
            <w:r w:rsidRPr="008A640B">
              <w:rPr>
                <w:rFonts w:ascii="Calibri" w:hAnsi="Calibri" w:cs="Calibri"/>
              </w:rPr>
              <w:t>behavior</w:t>
            </w:r>
            <w:proofErr w:type="spellEnd"/>
            <w:r w:rsidRPr="008A640B">
              <w:rPr>
                <w:rFonts w:ascii="Calibri" w:hAnsi="Calibri" w:cs="Calibri"/>
              </w:rPr>
              <w:t xml:space="preserve"> reveal about their operational accountability orientation?</w:t>
            </w:r>
          </w:p>
        </w:tc>
      </w:tr>
      <w:tr w:rsidR="00DB08B2" w:rsidRPr="008A640B" w14:paraId="51ADAD9F" w14:textId="77777777" w:rsidTr="00EE3122">
        <w:tc>
          <w:tcPr>
            <w:tcW w:w="2552" w:type="dxa"/>
            <w:shd w:val="clear" w:color="auto" w:fill="BFBFBF" w:themeFill="background1" w:themeFillShade="BF"/>
          </w:tcPr>
          <w:p w14:paraId="3F744413"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(C) Key paper(s)</w:t>
            </w:r>
          </w:p>
        </w:tc>
        <w:tc>
          <w:tcPr>
            <w:tcW w:w="11907" w:type="dxa"/>
            <w:gridSpan w:val="5"/>
          </w:tcPr>
          <w:p w14:paraId="6A645FD8" w14:textId="77777777" w:rsidR="00DB08B2" w:rsidRPr="008A640B" w:rsidRDefault="00DB08B2" w:rsidP="00EE3122">
            <w:pPr>
              <w:rPr>
                <w:rFonts w:ascii="Calibri" w:hAnsi="Calibri" w:cs="Calibri"/>
                <w:color w:val="FF0000"/>
                <w:sz w:val="18"/>
                <w:szCs w:val="18"/>
              </w:rPr>
            </w:pPr>
            <w:r>
              <w:rPr>
                <w:sz w:val="20"/>
              </w:rPr>
              <w:t xml:space="preserve">1. </w:t>
            </w:r>
            <w:r>
              <w:rPr>
                <w:b/>
                <w:sz w:val="20"/>
              </w:rPr>
              <w:t>Bovens, M. (2007).</w:t>
            </w:r>
            <w:r>
              <w:rPr>
                <w:i/>
                <w:sz w:val="20"/>
              </w:rPr>
              <w:t xml:space="preserve"> "Analysing and Assessing Accountability: A Conceptual Framework."</w:t>
            </w:r>
            <w:r>
              <w:rPr>
                <w:sz w:val="20"/>
              </w:rPr>
              <w:t xml:space="preserve"> European Law Journal, 13(4), 447-468.</w:t>
            </w:r>
          </w:p>
          <w:p w14:paraId="27BDE498" w14:textId="77777777" w:rsidR="00CB1FCC" w:rsidRDefault="00000000">
            <w:r>
              <w:rPr>
                <w:color w:val="505050"/>
                <w:sz w:val="18"/>
              </w:rPr>
              <w:t xml:space="preserve">→ </w:t>
            </w:r>
            <w:r>
              <w:rPr>
                <w:i/>
                <w:color w:val="505050"/>
                <w:sz w:val="18"/>
              </w:rPr>
              <w:t xml:space="preserve">Provides the </w:t>
            </w:r>
            <w:r>
              <w:rPr>
                <w:b/>
                <w:i/>
                <w:color w:val="505050"/>
                <w:sz w:val="18"/>
              </w:rPr>
              <w:t>foundational definition of accountability</w:t>
            </w:r>
            <w:r>
              <w:rPr>
                <w:i/>
                <w:color w:val="505050"/>
                <w:sz w:val="18"/>
              </w:rPr>
              <w:t xml:space="preserve"> used in this study. Bovens' framework distinguishes accountability as a </w:t>
            </w:r>
            <w:r>
              <w:rPr>
                <w:b/>
                <w:i/>
                <w:color w:val="505050"/>
                <w:sz w:val="18"/>
              </w:rPr>
              <w:t>social mechanism (actor-forum relationship)</w:t>
            </w:r>
            <w:r>
              <w:rPr>
                <w:i/>
                <w:color w:val="505050"/>
                <w:sz w:val="18"/>
              </w:rPr>
              <w:t xml:space="preserve"> from accountability as a virtue, allowing us to operationalize FOI responsiveness as observable accountability behavior rather than a normative ideal.</w:t>
            </w:r>
          </w:p>
          <w:p w14:paraId="3AF7701D" w14:textId="77777777" w:rsidR="00CB1FCC" w:rsidRDefault="00CB1FCC"/>
          <w:p w14:paraId="4194DAA8" w14:textId="77777777" w:rsidR="00CB1FCC" w:rsidRDefault="00000000">
            <w:r>
              <w:rPr>
                <w:sz w:val="20"/>
              </w:rPr>
              <w:t xml:space="preserve">2. </w:t>
            </w:r>
            <w:r>
              <w:rPr>
                <w:b/>
                <w:sz w:val="20"/>
              </w:rPr>
              <w:t>Greiling, D. &amp; Halachmi, A. (2013).</w:t>
            </w:r>
            <w:r>
              <w:rPr>
                <w:i/>
                <w:sz w:val="20"/>
              </w:rPr>
              <w:t xml:space="preserve"> "Accountability and Organizational Learning in the Public Sector."</w:t>
            </w:r>
            <w:r>
              <w:rPr>
                <w:sz w:val="20"/>
              </w:rPr>
              <w:t xml:space="preserve"> Public Performance &amp; Management Review, 36(3), 380-406.</w:t>
            </w:r>
          </w:p>
          <w:p w14:paraId="06953BDF" w14:textId="77777777" w:rsidR="00CB1FCC" w:rsidRDefault="00000000">
            <w:r>
              <w:rPr>
                <w:color w:val="505050"/>
                <w:sz w:val="18"/>
              </w:rPr>
              <w:t xml:space="preserve">→ </w:t>
            </w:r>
            <w:r>
              <w:rPr>
                <w:i/>
                <w:color w:val="505050"/>
                <w:sz w:val="18"/>
              </w:rPr>
              <w:t xml:space="preserve">Establishes the </w:t>
            </w:r>
            <w:r>
              <w:rPr>
                <w:b/>
                <w:i/>
                <w:color w:val="505050"/>
                <w:sz w:val="18"/>
              </w:rPr>
              <w:t>link between accountability and organizational behavior</w:t>
            </w:r>
            <w:r>
              <w:rPr>
                <w:i/>
                <w:color w:val="505050"/>
                <w:sz w:val="18"/>
              </w:rPr>
              <w:t xml:space="preserve"> in public administrations. Essential for grounding our argument that FOI response patterns reflect </w:t>
            </w:r>
            <w:r>
              <w:rPr>
                <w:b/>
                <w:i/>
                <w:color w:val="505050"/>
                <w:sz w:val="18"/>
              </w:rPr>
              <w:t>organizational learning and managerial routines</w:t>
            </w:r>
            <w:r>
              <w:rPr>
                <w:i/>
                <w:color w:val="505050"/>
                <w:sz w:val="18"/>
              </w:rPr>
              <w:t>, not just individual compliance decisions.</w:t>
            </w:r>
          </w:p>
          <w:p w14:paraId="26268F83" w14:textId="77777777" w:rsidR="00CB1FCC" w:rsidRDefault="00CB1FCC"/>
          <w:p w14:paraId="305C6297" w14:textId="77777777" w:rsidR="00CB1FCC" w:rsidRDefault="00000000">
            <w:r>
              <w:rPr>
                <w:sz w:val="20"/>
              </w:rPr>
              <w:t xml:space="preserve">3. </w:t>
            </w:r>
            <w:r>
              <w:rPr>
                <w:b/>
                <w:sz w:val="20"/>
              </w:rPr>
              <w:t>Grimmelikhuijsen, S. &amp; Welch, E.W. (2012).</w:t>
            </w:r>
            <w:r>
              <w:rPr>
                <w:i/>
                <w:sz w:val="20"/>
              </w:rPr>
              <w:t xml:space="preserve"> "Developing and Testing a Theoretical Framework for Computer-Mediated Transparency of Local Governments."</w:t>
            </w:r>
            <w:r>
              <w:rPr>
                <w:sz w:val="20"/>
              </w:rPr>
              <w:t xml:space="preserve"> Public Administration Review, 72(4), 562-571.</w:t>
            </w:r>
          </w:p>
          <w:p w14:paraId="633F1810" w14:textId="77777777" w:rsidR="00CB1FCC" w:rsidRDefault="00000000">
            <w:r>
              <w:rPr>
                <w:color w:val="505050"/>
                <w:sz w:val="18"/>
              </w:rPr>
              <w:t xml:space="preserve">→ </w:t>
            </w:r>
            <w:r>
              <w:rPr>
                <w:i/>
                <w:color w:val="505050"/>
                <w:sz w:val="18"/>
              </w:rPr>
              <w:t xml:space="preserve">Explicitly defines FOI responses as a form of </w:t>
            </w:r>
            <w:r>
              <w:rPr>
                <w:b/>
                <w:i/>
                <w:color w:val="505050"/>
                <w:sz w:val="18"/>
              </w:rPr>
              <w:t>"passive transparency"</w:t>
            </w:r>
            <w:r>
              <w:rPr>
                <w:i/>
                <w:color w:val="505050"/>
                <w:sz w:val="18"/>
              </w:rPr>
              <w:t xml:space="preserve"> — the reactive disclosure of information in response to external demands (p. 5). This provides the </w:t>
            </w:r>
            <w:r>
              <w:rPr>
                <w:b/>
                <w:i/>
                <w:color w:val="505050"/>
                <w:sz w:val="18"/>
              </w:rPr>
              <w:t>key theoretical justification for treating FOI responsiveness as an indicator of organizational transparency</w:t>
            </w:r>
            <w:r>
              <w:rPr>
                <w:i/>
                <w:color w:val="505050"/>
                <w:sz w:val="18"/>
              </w:rPr>
              <w:t>, linking our empirical analysis of request-response behavior to the broader transparency literature.</w:t>
            </w:r>
          </w:p>
          <w:p w14:paraId="068B1C85" w14:textId="77777777" w:rsidR="00CB1FCC" w:rsidRDefault="00CB1FCC"/>
          <w:p w14:paraId="21D1D3B7" w14:textId="77777777" w:rsidR="00CB1FCC" w:rsidRDefault="00000000">
            <w:r>
              <w:rPr>
                <w:sz w:val="20"/>
              </w:rPr>
              <w:t xml:space="preserve">4. </w:t>
            </w:r>
            <w:r>
              <w:rPr>
                <w:b/>
                <w:sz w:val="20"/>
              </w:rPr>
              <w:t>Trautendorfer, L., Schmidthuber, L., &amp; Hilgers, D. (2023).</w:t>
            </w:r>
            <w:r>
              <w:rPr>
                <w:i/>
                <w:sz w:val="20"/>
              </w:rPr>
              <w:t xml:space="preserve"> "Are the answers all out there? Investigating citizen information requests in the haze of bureaucratic responsiveness."</w:t>
            </w:r>
            <w:r>
              <w:rPr>
                <w:sz w:val="20"/>
              </w:rPr>
              <w:t xml:space="preserve"> Governance, 37(4), 845-865.</w:t>
            </w:r>
          </w:p>
          <w:p w14:paraId="09B3CC34" w14:textId="77777777" w:rsidR="00CB1FCC" w:rsidRDefault="00000000">
            <w:r>
              <w:rPr>
                <w:color w:val="505050"/>
                <w:sz w:val="18"/>
              </w:rPr>
              <w:t xml:space="preserve">→ </w:t>
            </w:r>
            <w:r>
              <w:rPr>
                <w:i/>
                <w:color w:val="505050"/>
                <w:sz w:val="18"/>
              </w:rPr>
              <w:t xml:space="preserve">Source of the </w:t>
            </w:r>
            <w:r>
              <w:rPr>
                <w:b/>
                <w:i/>
                <w:color w:val="505050"/>
                <w:sz w:val="18"/>
              </w:rPr>
              <w:t>Accountability-Seeking Potential (ASP) scale</w:t>
            </w:r>
            <w:r>
              <w:rPr>
                <w:i/>
                <w:color w:val="505050"/>
                <w:sz w:val="18"/>
              </w:rPr>
              <w:t xml:space="preserve"> used to classify request topics on a 1-4 scale. Trautendorfer et al. operationalize the </w:t>
            </w:r>
            <w:r>
              <w:rPr>
                <w:b/>
                <w:i/>
                <w:color w:val="505050"/>
                <w:sz w:val="18"/>
              </w:rPr>
              <w:t>public/private orientation distinction</w:t>
            </w:r>
            <w:r>
              <w:rPr>
                <w:i/>
                <w:color w:val="505050"/>
                <w:sz w:val="18"/>
              </w:rPr>
              <w:t xml:space="preserve"> (from Michener &amp; Worthy, 2018) and the accountability-seeking information definition (from Berliner et al., 2018) into a replicable coding framework that we adopt for our topic-level ASP assignment.</w:t>
            </w:r>
          </w:p>
        </w:tc>
      </w:tr>
      <w:tr w:rsidR="00DB08B2" w:rsidRPr="008A640B" w14:paraId="0241338D" w14:textId="77777777" w:rsidTr="00EE3122">
        <w:tc>
          <w:tcPr>
            <w:tcW w:w="2552" w:type="dxa"/>
            <w:tcBorders>
              <w:bottom w:val="single" w:sz="4" w:space="0" w:color="auto"/>
            </w:tcBorders>
            <w:shd w:val="clear" w:color="auto" w:fill="BFBFBF" w:themeFill="background1" w:themeFillShade="BF"/>
          </w:tcPr>
          <w:p w14:paraId="0EEA9896"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(D) Motivation/Puzzle</w:t>
            </w:r>
          </w:p>
        </w:tc>
        <w:tc>
          <w:tcPr>
            <w:tcW w:w="11907" w:type="dxa"/>
            <w:gridSpan w:val="5"/>
            <w:tcBorders>
              <w:bottom w:val="single" w:sz="4" w:space="0" w:color="auto"/>
            </w:tcBorders>
          </w:tcPr>
          <w:p w14:paraId="58EC7494" w14:textId="77777777" w:rsidR="00DB08B2" w:rsidRPr="008A640B" w:rsidRDefault="00DB08B2" w:rsidP="00EE3122">
            <w:pPr>
              <w:rPr>
                <w:rFonts w:ascii="Calibri" w:hAnsi="Calibri" w:cs="Calibri"/>
              </w:rPr>
            </w:pPr>
            <w:r>
              <w:rPr>
                <w:sz w:val="20"/>
              </w:rPr>
              <w:t xml:space="preserve">Freedom of Information (FOI) laws impose standardized obligations on public administrations, yet </w:t>
            </w:r>
            <w:r>
              <w:rPr>
                <w:b/>
                <w:sz w:val="20"/>
              </w:rPr>
              <w:t>response behavior varies dramatically across organizations</w:t>
            </w:r>
            <w:r>
              <w:rPr>
                <w:sz w:val="20"/>
              </w:rPr>
              <w:t xml:space="preserve">. If FOI requirements are uniform, why do administrations exhibit such heterogeneous patterns in how they respond? This puzzle suggests that FOI responsiveness reveals something beyond mere legal compliance. By analyzing FOI responses as traces of administrative behavior, this study </w:t>
            </w:r>
            <w:r>
              <w:rPr>
                <w:b/>
                <w:sz w:val="20"/>
              </w:rPr>
              <w:t>reframes responsiveness as an observable organizational process</w:t>
            </w:r>
            <w:r>
              <w:rPr>
                <w:sz w:val="20"/>
              </w:rPr>
              <w:t xml:space="preserve"> that reveals an administration's </w:t>
            </w:r>
            <w:r>
              <w:rPr>
                <w:b/>
                <w:sz w:val="20"/>
                <w:u w:val="single"/>
              </w:rPr>
              <w:t>strategic priorities and operational accountability orientation</w:t>
            </w:r>
            <w:r>
              <w:rPr>
                <w:sz w:val="20"/>
              </w:rPr>
              <w:t xml:space="preserve"> — a measurable, managerial practice rather than a normative ideal.</w:t>
            </w:r>
          </w:p>
        </w:tc>
      </w:tr>
      <w:tr w:rsidR="00DB08B2" w:rsidRPr="008A640B" w14:paraId="5DDE7A1F" w14:textId="77777777" w:rsidTr="00EE3122">
        <w:tc>
          <w:tcPr>
            <w:tcW w:w="2552" w:type="dxa"/>
            <w:shd w:val="clear" w:color="auto" w:fill="BFBFBF" w:themeFill="background1" w:themeFillShade="BF"/>
          </w:tcPr>
          <w:p w14:paraId="1A635D46"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 xml:space="preserve">THREE </w:t>
            </w:r>
          </w:p>
        </w:tc>
        <w:tc>
          <w:tcPr>
            <w:tcW w:w="11907" w:type="dxa"/>
            <w:gridSpan w:val="5"/>
            <w:shd w:val="clear" w:color="auto" w:fill="BFBFBF" w:themeFill="background1" w:themeFillShade="BF"/>
          </w:tcPr>
          <w:p w14:paraId="70FE10FC" w14:textId="77777777" w:rsidR="00DB08B2" w:rsidRPr="008A640B" w:rsidRDefault="00DB08B2" w:rsidP="00EE3122">
            <w:pPr>
              <w:rPr>
                <w:rFonts w:ascii="Calibri" w:hAnsi="Calibri" w:cs="Calibri"/>
                <w:sz w:val="18"/>
                <w:szCs w:val="18"/>
              </w:rPr>
            </w:pPr>
            <w:r w:rsidRPr="008A640B">
              <w:rPr>
                <w:rFonts w:ascii="Calibri" w:hAnsi="Calibri" w:cs="Calibri"/>
                <w:b/>
                <w:sz w:val="18"/>
                <w:szCs w:val="18"/>
              </w:rPr>
              <w:t>Three</w:t>
            </w:r>
            <w:r w:rsidRPr="008A640B">
              <w:rPr>
                <w:rFonts w:ascii="Calibri" w:hAnsi="Calibri" w:cs="Calibri"/>
                <w:sz w:val="18"/>
                <w:szCs w:val="18"/>
              </w:rPr>
              <w:t xml:space="preserve"> core aspects of any empirical research project i.e. the “</w:t>
            </w:r>
            <w:proofErr w:type="spellStart"/>
            <w:r w:rsidRPr="008A640B">
              <w:rPr>
                <w:rFonts w:ascii="Calibri" w:hAnsi="Calibri" w:cs="Calibri"/>
                <w:b/>
                <w:sz w:val="18"/>
                <w:szCs w:val="18"/>
              </w:rPr>
              <w:t>ID</w:t>
            </w:r>
            <w:r w:rsidRPr="008A640B">
              <w:rPr>
                <w:rFonts w:ascii="Calibri" w:hAnsi="Calibri" w:cs="Calibri"/>
                <w:sz w:val="18"/>
                <w:szCs w:val="18"/>
              </w:rPr>
              <w:t>io</w:t>
            </w:r>
            <w:r w:rsidRPr="008A640B">
              <w:rPr>
                <w:rFonts w:ascii="Calibri" w:hAnsi="Calibri" w:cs="Calibri"/>
                <w:b/>
                <w:sz w:val="18"/>
                <w:szCs w:val="18"/>
              </w:rPr>
              <w:t>T</w:t>
            </w:r>
            <w:r w:rsidRPr="008A640B">
              <w:rPr>
                <w:rFonts w:ascii="Calibri" w:hAnsi="Calibri" w:cs="Calibri"/>
                <w:sz w:val="18"/>
                <w:szCs w:val="18"/>
              </w:rPr>
              <w:t>s</w:t>
            </w:r>
            <w:proofErr w:type="spellEnd"/>
            <w:r w:rsidRPr="008A640B">
              <w:rPr>
                <w:rFonts w:ascii="Calibri" w:hAnsi="Calibri" w:cs="Calibri"/>
                <w:sz w:val="18"/>
                <w:szCs w:val="18"/>
              </w:rPr>
              <w:t xml:space="preserve">” guide </w:t>
            </w:r>
          </w:p>
        </w:tc>
      </w:tr>
      <w:tr w:rsidR="00DB08B2" w:rsidRPr="008A640B" w14:paraId="30271656" w14:textId="77777777" w:rsidTr="00EE3122">
        <w:tc>
          <w:tcPr>
            <w:tcW w:w="2552" w:type="dxa"/>
          </w:tcPr>
          <w:p w14:paraId="3AFFEABA"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lastRenderedPageBreak/>
              <w:t>(E) Idea?</w:t>
            </w:r>
          </w:p>
        </w:tc>
        <w:tc>
          <w:tcPr>
            <w:tcW w:w="11907" w:type="dxa"/>
            <w:gridSpan w:val="5"/>
          </w:tcPr>
          <w:p w14:paraId="06DCB7E4" w14:textId="77777777" w:rsidR="002B1484" w:rsidRPr="008A640B" w:rsidRDefault="00DB08B2" w:rsidP="008A640B">
            <w:pPr>
              <w:rPr>
                <w:rFonts w:ascii="Calibri" w:hAnsi="Calibri" w:cs="Calibri"/>
              </w:rPr>
            </w:pPr>
            <w:r>
              <w:rPr>
                <w:b/>
                <w:sz w:val="20"/>
                <w:u w:val="single"/>
              </w:rPr>
              <w:t xml:space="preserve">Core Idea: </w:t>
            </w:r>
            <w:r>
              <w:rPr>
                <w:sz w:val="20"/>
              </w:rPr>
              <w:t xml:space="preserve">FOI request-response dyads are </w:t>
            </w:r>
            <w:r>
              <w:rPr>
                <w:b/>
                <w:sz w:val="20"/>
              </w:rPr>
              <w:t>accountability episodes</w:t>
            </w:r>
            <w:r>
              <w:rPr>
                <w:sz w:val="20"/>
              </w:rPr>
              <w:t xml:space="preserve">. An administration's responsiveness in these episodes is systematically shaped by </w:t>
            </w:r>
            <w:r>
              <w:rPr>
                <w:b/>
                <w:sz w:val="20"/>
              </w:rPr>
              <w:t>(a) the perceived accountability-pressure</w:t>
            </w:r>
            <w:r>
              <w:rPr>
                <w:sz w:val="20"/>
              </w:rPr>
              <w:t xml:space="preserve"> of the request, </w:t>
            </w:r>
            <w:r>
              <w:rPr>
                <w:b/>
                <w:sz w:val="20"/>
              </w:rPr>
              <w:t>(b) the communication characteristics</w:t>
            </w:r>
            <w:r>
              <w:rPr>
                <w:sz w:val="20"/>
              </w:rPr>
              <w:t xml:space="preserve"> of the request (which affect processing cost and routing within the administration), and </w:t>
            </w:r>
            <w:r>
              <w:rPr>
                <w:b/>
                <w:sz w:val="20"/>
              </w:rPr>
              <w:t>(c) the administration's own structural characteristics</w:t>
            </w:r>
            <w:r>
              <w:rPr>
                <w:sz w:val="20"/>
              </w:rPr>
              <w:t>. Observing this systematic shaping reveals how accountability operates as a managerial process influenced by risk, resources, and interaction.</w:t>
            </w:r>
          </w:p>
          <w:p w14:paraId="5C8762E5" w14:textId="77777777" w:rsidR="00CB1FCC" w:rsidRDefault="00CB1FCC"/>
          <w:p w14:paraId="50E9C674" w14:textId="77777777" w:rsidR="00CB1FCC" w:rsidRDefault="00000000">
            <w:r>
              <w:rPr>
                <w:b/>
                <w:sz w:val="20"/>
                <w:u w:val="single"/>
              </w:rPr>
              <w:t>Central Hypotheses:</w:t>
            </w:r>
          </w:p>
          <w:p w14:paraId="336F331F" w14:textId="77777777" w:rsidR="00CB1FCC" w:rsidRDefault="00000000">
            <w:r>
              <w:rPr>
                <w:b/>
                <w:sz w:val="20"/>
              </w:rPr>
              <w:t xml:space="preserve">H1 (Substantive Sensitivity): </w:t>
            </w:r>
            <w:r>
              <w:rPr>
                <w:sz w:val="20"/>
              </w:rPr>
              <w:t>Requests with higher accountability-seeking potential (ASP) are less likely to receive a successful response.</w:t>
            </w:r>
          </w:p>
          <w:p w14:paraId="4C090414" w14:textId="77777777" w:rsidR="00CB1FCC" w:rsidRDefault="00000000">
            <w:r>
              <w:rPr>
                <w:b/>
                <w:sz w:val="20"/>
              </w:rPr>
              <w:t xml:space="preserve">H2 (Communication Strategy): </w:t>
            </w:r>
            <w:r>
              <w:rPr>
                <w:sz w:val="20"/>
              </w:rPr>
              <w:t>Requests with a more positive communicative tone are more likely to be processed and receive a response, as they impose lower procedural friction on the receiving administration.</w:t>
            </w:r>
          </w:p>
          <w:p w14:paraId="10EE489D" w14:textId="77777777" w:rsidR="00CB1FCC" w:rsidRDefault="00000000">
            <w:r>
              <w:rPr>
                <w:b/>
                <w:sz w:val="20"/>
              </w:rPr>
              <w:t xml:space="preserve">H3 (Organizational Context): </w:t>
            </w:r>
            <w:r>
              <w:rPr>
                <w:sz w:val="20"/>
              </w:rPr>
              <w:t>Responsiveness varies systematically across administrative families (e.g., local vs. federal), reflecting differences in capacity, exposure, and transparency culture</w:t>
            </w:r>
          </w:p>
          <w:p w14:paraId="20645E3E" w14:textId="77777777" w:rsidR="00CB1FCC" w:rsidRDefault="00CB1FCC"/>
          <w:p w14:paraId="458034A2" w14:textId="77777777" w:rsidR="00CB1FCC" w:rsidRDefault="00000000">
            <w:r>
              <w:rPr>
                <w:b/>
                <w:sz w:val="20"/>
                <w:u w:val="single"/>
              </w:rPr>
              <w:t>HOW WE TEST THIS (Explanatory Approach):</w:t>
            </w:r>
          </w:p>
          <w:p w14:paraId="627008F6" w14:textId="77777777" w:rsidR="00CB1FCC" w:rsidRDefault="00000000">
            <w:r>
              <w:rPr>
                <w:sz w:val="20"/>
              </w:rPr>
              <w:t xml:space="preserve">We test these hypotheses using a </w:t>
            </w:r>
            <w:r>
              <w:rPr>
                <w:b/>
                <w:sz w:val="20"/>
              </w:rPr>
              <w:t>multinomial logistic regression framework</w:t>
            </w:r>
            <w:r>
              <w:rPr>
                <w:sz w:val="20"/>
              </w:rPr>
              <w:t xml:space="preserve"> on a dataset of </w:t>
            </w:r>
            <w:r>
              <w:rPr>
                <w:b/>
                <w:sz w:val="20"/>
              </w:rPr>
              <w:t>N=4,265</w:t>
            </w:r>
            <w:r>
              <w:rPr>
                <w:sz w:val="20"/>
              </w:rPr>
              <w:t xml:space="preserve"> French-language FOI requests.</w:t>
            </w:r>
          </w:p>
          <w:p w14:paraId="7F14A499" w14:textId="77777777" w:rsidR="00CB1FCC" w:rsidRDefault="00CB1FCC"/>
          <w:p w14:paraId="55FB7C9D" w14:textId="77777777" w:rsidR="00CB1FCC" w:rsidRDefault="00000000">
            <w:r>
              <w:rPr>
                <w:b/>
                <w:sz w:val="20"/>
              </w:rPr>
              <w:t>1. MEASURE &amp; OPERATIONALIZE:</w:t>
            </w:r>
          </w:p>
          <w:p w14:paraId="2BE8769E" w14:textId="77777777" w:rsidR="00CB1FCC" w:rsidRDefault="00000000">
            <w:r>
              <w:rPr>
                <w:sz w:val="20"/>
              </w:rPr>
              <w:t xml:space="preserve">   - </w:t>
            </w:r>
            <w:r>
              <w:rPr>
                <w:b/>
                <w:sz w:val="20"/>
              </w:rPr>
              <w:t>Dependent Variable:</w:t>
            </w:r>
            <w:r>
              <w:rPr>
                <w:sz w:val="20"/>
              </w:rPr>
              <w:t xml:space="preserve"> Three-category responsiveness outcome (Successful, Not Successful, Asleep).</w:t>
            </w:r>
          </w:p>
          <w:p w14:paraId="101B4E3D" w14:textId="77777777" w:rsidR="00CB1FCC" w:rsidRDefault="00000000">
            <w:r>
              <w:rPr>
                <w:b/>
                <w:sz w:val="20"/>
              </w:rPr>
              <w:t xml:space="preserve">   - Key Independent Variables:</w:t>
            </w:r>
          </w:p>
          <w:p w14:paraId="29BFB381" w14:textId="35B3EA64" w:rsidR="00A03E98" w:rsidRDefault="00000000" w:rsidP="00A03E98">
            <w:r>
              <w:rPr>
                <w:sz w:val="20"/>
              </w:rPr>
              <w:t xml:space="preserve">    </w:t>
            </w:r>
            <w:r w:rsidR="0030506B">
              <w:rPr>
                <w:sz w:val="20"/>
              </w:rPr>
              <w:t xml:space="preserve"> </w:t>
            </w:r>
            <w:r>
              <w:rPr>
                <w:sz w:val="20"/>
              </w:rPr>
              <w:t xml:space="preserve">* </w:t>
            </w:r>
            <w:r>
              <w:rPr>
                <w:b/>
                <w:sz w:val="20"/>
              </w:rPr>
              <w:t>Accountability Pressure:</w:t>
            </w:r>
            <w:r>
              <w:rPr>
                <w:sz w:val="20"/>
              </w:rPr>
              <w:t xml:space="preserve"> Measured via (</w:t>
            </w:r>
            <w:proofErr w:type="spellStart"/>
            <w:r>
              <w:rPr>
                <w:sz w:val="20"/>
              </w:rPr>
              <w:t>i</w:t>
            </w:r>
            <w:proofErr w:type="spellEnd"/>
            <w:r>
              <w:rPr>
                <w:sz w:val="20"/>
              </w:rPr>
              <w:t xml:space="preserve">) substantive topic (from LDA topic modeling) and (ii) a derived </w:t>
            </w:r>
            <w:r>
              <w:rPr>
                <w:b/>
                <w:sz w:val="20"/>
              </w:rPr>
              <w:t>Accountability-Seeking Potential (ASP)</w:t>
            </w:r>
            <w:r>
              <w:rPr>
                <w:sz w:val="20"/>
              </w:rPr>
              <w:t xml:space="preserve"> score. Important: these are </w:t>
            </w:r>
            <w:r>
              <w:rPr>
                <w:b/>
                <w:sz w:val="20"/>
                <w:u w:val="single"/>
              </w:rPr>
              <w:t>TWO DISTINCT analytical steps</w:t>
            </w:r>
            <w:r>
              <w:rPr>
                <w:sz w:val="20"/>
              </w:rPr>
              <w:t xml:space="preserve">. </w:t>
            </w:r>
            <w:r>
              <w:rPr>
                <w:b/>
                <w:sz w:val="20"/>
              </w:rPr>
              <w:t>Step 1 (automated):</w:t>
            </w:r>
            <w:r>
              <w:rPr>
                <w:sz w:val="20"/>
              </w:rPr>
              <w:t xml:space="preserve"> LDA identifies topics from the text — this is a purely statistical operation with no theoretical judgment. </w:t>
            </w:r>
            <w:r>
              <w:rPr>
                <w:b/>
                <w:sz w:val="20"/>
              </w:rPr>
              <w:t>Step 2 (qualitative):</w:t>
            </w:r>
            <w:r>
              <w:rPr>
                <w:sz w:val="20"/>
              </w:rPr>
              <w:t xml:space="preserve"> the researcher assigns an ASP level (1-4) to each topic based on Trautendorfer et al. (2023, </w:t>
            </w:r>
            <w:r>
              <w:rPr>
                <w:i/>
                <w:sz w:val="20"/>
              </w:rPr>
              <w:t>Governance</w:t>
            </w:r>
            <w:r>
              <w:rPr>
                <w:sz w:val="20"/>
              </w:rPr>
              <w:t>). There is no circularity: the stimulus (ASP, demand-side) is conceptually and operationally distinct from the response (responsiveness, supply-side).</w:t>
            </w:r>
            <w:r w:rsidR="00A03E98">
              <w:rPr>
                <w:sz w:val="20"/>
              </w:rPr>
              <w:br/>
            </w:r>
          </w:p>
          <w:p w14:paraId="3A5629CA" w14:textId="7BDF3C63" w:rsidR="00A03E98" w:rsidRDefault="0030506B" w:rsidP="00A03E98">
            <w:r>
              <w:rPr>
                <w:b/>
                <w:bCs/>
              </w:rPr>
              <w:t xml:space="preserve">   </w:t>
            </w:r>
            <w:r w:rsidR="00A03E98" w:rsidRPr="00A03E98">
              <w:rPr>
                <w:b/>
                <w:bCs/>
              </w:rPr>
              <w:t xml:space="preserve">* Communication Tone: </w:t>
            </w:r>
            <w:r w:rsidR="00A03E98">
              <w:t>Standardized sentiment score from lexicon-based analysis.</w:t>
            </w:r>
          </w:p>
          <w:p w14:paraId="168E00A1" w14:textId="0148CC4B" w:rsidR="00A03E98" w:rsidRDefault="0030506B" w:rsidP="00A03E98">
            <w:r>
              <w:rPr>
                <w:b/>
                <w:bCs/>
              </w:rPr>
              <w:t xml:space="preserve">   </w:t>
            </w:r>
            <w:r w:rsidR="00A03E98" w:rsidRPr="00A03E98">
              <w:rPr>
                <w:b/>
                <w:bCs/>
              </w:rPr>
              <w:t>* Organizational Context:</w:t>
            </w:r>
            <w:r w:rsidR="00A03E98">
              <w:t xml:space="preserve"> Typology of administrative authority (12 categories grouped qualitatively – grouping is both</w:t>
            </w:r>
          </w:p>
          <w:p w14:paraId="60BAD696" w14:textId="37F778AB" w:rsidR="00A03E98" w:rsidRDefault="0030506B" w:rsidP="00A03E98">
            <w:r>
              <w:t xml:space="preserve">   </w:t>
            </w:r>
            <w:r w:rsidR="009905E8">
              <w:t xml:space="preserve">   </w:t>
            </w:r>
            <w:r w:rsidR="00A03E98">
              <w:t>functional and institutional).</w:t>
            </w:r>
          </w:p>
          <w:p w14:paraId="7AC717DF" w14:textId="413E6ACE" w:rsidR="00A03E98" w:rsidRDefault="0030506B" w:rsidP="00A03E98">
            <w:r>
              <w:t xml:space="preserve"> </w:t>
            </w:r>
            <w:r w:rsidR="00A03E98">
              <w:t>- Controls: Request length (complexity) and submission year.</w:t>
            </w:r>
          </w:p>
          <w:p w14:paraId="3016AD6A" w14:textId="77777777" w:rsidR="00A03E98" w:rsidRDefault="00A03E98" w:rsidP="00A03E98"/>
          <w:p w14:paraId="0C313583" w14:textId="77777777" w:rsidR="0030506B" w:rsidRPr="0030506B" w:rsidRDefault="00A03E98" w:rsidP="00A03E98">
            <w:pPr>
              <w:rPr>
                <w:b/>
                <w:bCs/>
              </w:rPr>
            </w:pPr>
            <w:r w:rsidRPr="0030506B">
              <w:rPr>
                <w:b/>
                <w:bCs/>
              </w:rPr>
              <w:t xml:space="preserve">2. MODEL: </w:t>
            </w:r>
          </w:p>
          <w:p w14:paraId="42EBCEFB" w14:textId="3132FD6E" w:rsidR="00A03E98" w:rsidRDefault="00A03E98" w:rsidP="00A03E98">
            <w:r>
              <w:t>Estimate the odds of different response outcomes as a function of the above variables.</w:t>
            </w:r>
          </w:p>
          <w:p w14:paraId="4A4CD0C3" w14:textId="77777777" w:rsidR="00A03E98" w:rsidRDefault="00A03E98" w:rsidP="00A03E98"/>
          <w:p w14:paraId="45005887" w14:textId="77777777" w:rsidR="0018281F" w:rsidRPr="0018281F" w:rsidRDefault="00A03E98" w:rsidP="00A03E98">
            <w:pPr>
              <w:rPr>
                <w:b/>
                <w:bCs/>
              </w:rPr>
            </w:pPr>
            <w:r w:rsidRPr="0018281F">
              <w:rPr>
                <w:b/>
                <w:bCs/>
              </w:rPr>
              <w:t xml:space="preserve">3. INTERPRET: </w:t>
            </w:r>
          </w:p>
          <w:p w14:paraId="6B704E85" w14:textId="75CC986C" w:rsidR="00A03E98" w:rsidRDefault="00A03E98" w:rsidP="00A03E98">
            <w:r>
              <w:t>Significant coefficients support the hypothesized mechanisms, revealing how sensitivity, tone, and structure shape</w:t>
            </w:r>
          </w:p>
          <w:p w14:paraId="4E812E44" w14:textId="77777777" w:rsidR="00A03E98" w:rsidRDefault="00A03E98" w:rsidP="00A03E98">
            <w:r>
              <w:t xml:space="preserve">accountability </w:t>
            </w:r>
            <w:proofErr w:type="spellStart"/>
            <w:r>
              <w:t>behavior</w:t>
            </w:r>
            <w:proofErr w:type="spellEnd"/>
            <w:r>
              <w:t>.</w:t>
            </w:r>
          </w:p>
          <w:p w14:paraId="7264323B" w14:textId="77777777" w:rsidR="00BC7B08" w:rsidRDefault="00BC7B08" w:rsidP="00A03E98"/>
          <w:p w14:paraId="4CD8BA66" w14:textId="3694E617" w:rsidR="00A03E98" w:rsidRDefault="00A03E98" w:rsidP="00A03E98">
            <w:r>
              <w:t>Endogeneity &amp; Claims: This is an observational study establishing robust correlational evidence and mechanisms. We claim that</w:t>
            </w:r>
          </w:p>
          <w:p w14:paraId="02952E8A" w14:textId="3ABFC736" w:rsidR="00CB1FCC" w:rsidRDefault="00A03E98" w:rsidP="00A03E98">
            <w:r>
              <w:t>the systematic patterns in responsiveness reflect an operational accountability orientation shaped by risk assessment, organizational context, and communicative interaction.</w:t>
            </w:r>
          </w:p>
        </w:tc>
      </w:tr>
      <w:tr w:rsidR="00DB08B2" w:rsidRPr="008A640B" w14:paraId="5A010837" w14:textId="77777777" w:rsidTr="00EE3122">
        <w:tc>
          <w:tcPr>
            <w:tcW w:w="2552" w:type="dxa"/>
          </w:tcPr>
          <w:p w14:paraId="6690AF8B"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lastRenderedPageBreak/>
              <w:t>(F) Data?</w:t>
            </w:r>
          </w:p>
        </w:tc>
        <w:tc>
          <w:tcPr>
            <w:tcW w:w="11907" w:type="dxa"/>
            <w:gridSpan w:val="5"/>
          </w:tcPr>
          <w:p w14:paraId="57AB5138" w14:textId="77777777" w:rsidR="002B1484" w:rsidRPr="008A640B" w:rsidRDefault="00DB08B2" w:rsidP="00EE3122">
            <w:pPr>
              <w:rPr>
                <w:rFonts w:ascii="Calibri" w:hAnsi="Calibri" w:cs="Calibri"/>
              </w:rPr>
            </w:pPr>
            <w:r w:rsidRPr="008A640B">
              <w:rPr>
                <w:rFonts w:ascii="Calibri" w:hAnsi="Calibri" w:cs="Calibri"/>
              </w:rPr>
              <w:t>(1) Platform: transparencia.be (Belgian FOI portal). Belgium. Unit: Individual FOI requests, aggregated at administration level. Period: 2016-2025.</w:t>
            </w:r>
            <w:r w:rsidRPr="008A640B">
              <w:rPr>
                <w:rFonts w:ascii="Calibri" w:hAnsi="Calibri" w:cs="Calibri"/>
              </w:rPr>
              <w:br/>
              <w:t>(2) Large-N: 4,26</w:t>
            </w:r>
            <w:r w:rsidR="00B01AD3">
              <w:rPr>
                <w:rFonts w:ascii="Calibri" w:hAnsi="Calibri" w:cs="Calibri"/>
              </w:rPr>
              <w:t>5</w:t>
            </w:r>
            <w:r w:rsidRPr="008A640B">
              <w:rPr>
                <w:rFonts w:ascii="Calibri" w:hAnsi="Calibri" w:cs="Calibri"/>
              </w:rPr>
              <w:t xml:space="preserve"> French-language FOI requests for regression analysis. Cross-sectional: multiple administrations. Longitudinal: 10-year series.</w:t>
            </w:r>
            <w:r w:rsidRPr="008A640B">
              <w:rPr>
                <w:rFonts w:ascii="Calibri" w:hAnsi="Calibri" w:cs="Calibri"/>
              </w:rPr>
              <w:br/>
              <w:t>(3) Yes, administration-level panel with repeated observations.</w:t>
            </w:r>
            <w:r w:rsidRPr="008A640B">
              <w:rPr>
                <w:rFonts w:ascii="Calibri" w:hAnsi="Calibri" w:cs="Calibri"/>
              </w:rPr>
              <w:br/>
              <w:t>(4) Publicly available platform data. Significant hand-collecting required. Novel data.</w:t>
            </w:r>
            <w:r w:rsidRPr="008A640B">
              <w:rPr>
                <w:rFonts w:ascii="Calibri" w:hAnsi="Calibri" w:cs="Calibri"/>
              </w:rPr>
              <w:br/>
              <w:t>(5) Partial non-responses handled with clear coding rules.</w:t>
            </w:r>
            <w:r w:rsidRPr="008A640B">
              <w:rPr>
                <w:rFonts w:ascii="Calibri" w:hAnsi="Calibri" w:cs="Calibri"/>
              </w:rPr>
              <w:br/>
              <w:t>(6) High cross-administration and temporal variation. Sufficient power.</w:t>
            </w:r>
            <w:r w:rsidRPr="008A640B">
              <w:rPr>
                <w:rFonts w:ascii="Calibri" w:hAnsi="Calibri" w:cs="Calibri"/>
              </w:rPr>
              <w:br/>
            </w:r>
            <w:r w:rsidRPr="008A640B">
              <w:rPr>
                <w:rFonts w:ascii="Calibri" w:hAnsi="Calibri" w:cs="Calibri"/>
              </w:rPr>
              <w:br/>
              <w:t>(7) DATA LIMITATIONS:</w:t>
            </w:r>
            <w:r w:rsidRPr="008A640B">
              <w:rPr>
                <w:rFonts w:ascii="Calibri" w:hAnsi="Calibri" w:cs="Calibri"/>
              </w:rPr>
              <w:br/>
              <w:t>CONSTRUCT VALIDITY: We measure FOI responses but CLAIM to measure "accountability orientation." WHY IT'S OK: We're explicit it's a PROXY. Bovens provides the mechanism/virtue distinction; Greiling &amp; Halachmi frame this as organizational learning.</w:t>
            </w:r>
          </w:p>
          <w:p w14:paraId="6257B67F" w14:textId="77777777" w:rsidR="00DB08B2" w:rsidRPr="00796D4A" w:rsidRDefault="002B1484" w:rsidP="00EE3122">
            <w:pPr>
              <w:rPr>
                <w:rFonts w:ascii="Calibri" w:hAnsi="Calibri" w:cs="Calibri"/>
              </w:rPr>
            </w:pPr>
            <w:r w:rsidRPr="008A640B">
              <w:rPr>
                <w:rFonts w:ascii="Calibri" w:hAnsi="Calibri" w:cs="Calibri"/>
              </w:rPr>
              <w:t>CAUSAL INFERENCE: Observational design limits strong causal claims. Unobserved factors (e.g., internal workload, political climate) could influence results. WHY IT'S OK: We focus on establishing robust associative evidence and theorized mechanisms, controlling for key observables like authority type and time.</w:t>
            </w:r>
            <w:r w:rsidR="00DB08B2" w:rsidRPr="008A640B">
              <w:rPr>
                <w:rFonts w:ascii="Calibri" w:hAnsi="Calibri" w:cs="Calibri"/>
              </w:rPr>
              <w:br/>
              <w:t xml:space="preserve">EXTERNAL VALIDITY: One country, one platform. WHY IT'S OK: </w:t>
            </w:r>
            <w:r w:rsidRPr="008A640B">
              <w:t> </w:t>
            </w:r>
            <w:r w:rsidRPr="008A640B">
              <w:rPr>
                <w:rFonts w:ascii="Calibri" w:hAnsi="Calibri" w:cs="Calibri"/>
              </w:rPr>
              <w:t xml:space="preserve">We offer a replicable methodology for linking FOI </w:t>
            </w:r>
            <w:proofErr w:type="spellStart"/>
            <w:r w:rsidRPr="008A640B">
              <w:rPr>
                <w:rFonts w:ascii="Calibri" w:hAnsi="Calibri" w:cs="Calibri"/>
              </w:rPr>
              <w:t>behavior</w:t>
            </w:r>
            <w:proofErr w:type="spellEnd"/>
            <w:r w:rsidRPr="008A640B">
              <w:rPr>
                <w:rFonts w:ascii="Calibri" w:hAnsi="Calibri" w:cs="Calibri"/>
              </w:rPr>
              <w:t xml:space="preserve"> to accountability. The Belgian context, with its fragmented and multilevel governance, provides a stringent test for observing institutional heterogeneity.</w:t>
            </w:r>
          </w:p>
        </w:tc>
      </w:tr>
      <w:tr w:rsidR="00DB08B2" w:rsidRPr="008A640B" w14:paraId="4F49529D" w14:textId="77777777" w:rsidTr="00EE3122">
        <w:tc>
          <w:tcPr>
            <w:tcW w:w="2552" w:type="dxa"/>
          </w:tcPr>
          <w:p w14:paraId="74A51D43"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(G) Tools?</w:t>
            </w:r>
          </w:p>
        </w:tc>
        <w:tc>
          <w:tcPr>
            <w:tcW w:w="11907" w:type="dxa"/>
            <w:gridSpan w:val="5"/>
          </w:tcPr>
          <w:p w14:paraId="7D609A22" w14:textId="77777777" w:rsidR="00413D02" w:rsidRPr="008A640B" w:rsidRDefault="00413D02" w:rsidP="00413D02">
            <w:pPr>
              <w:pStyle w:val="ds-markdown-paragraph"/>
              <w:spacing w:before="0" w:beforeAutospacing="0" w:after="0" w:afterAutospacing="0"/>
              <w:rPr>
                <w:rFonts w:ascii="Calibri" w:hAnsi="Calibri" w:cs="Calibri"/>
                <w:color w:val="000000" w:themeColor="text1"/>
              </w:rPr>
            </w:pPr>
            <w:r w:rsidRPr="008A640B">
              <w:rPr>
                <w:rFonts w:ascii="Calibri" w:hAnsi="Calibri" w:cs="Calibri"/>
                <w:color w:val="000000" w:themeColor="text1"/>
              </w:rPr>
              <w:t>Basic Empirical Framework: Computational text analysis (Latent Dirichlet Allocation for topic modeling, lexicon-based sentiment analysis); Multinomial logistic regression for hypothesis testing; Descriptive and comparative statistics.</w:t>
            </w:r>
          </w:p>
          <w:p w14:paraId="7E0601DC" w14:textId="77777777" w:rsidR="00413D02" w:rsidRPr="008A640B" w:rsidRDefault="00413D02" w:rsidP="00413D02">
            <w:pPr>
              <w:pStyle w:val="ds-markdown-paragraph"/>
              <w:spacing w:before="240" w:beforeAutospacing="0" w:after="240" w:afterAutospacing="0"/>
              <w:rPr>
                <w:rFonts w:ascii="Calibri" w:hAnsi="Calibri" w:cs="Calibri"/>
                <w:color w:val="000000" w:themeColor="text1"/>
              </w:rPr>
            </w:pPr>
            <w:r w:rsidRPr="008A640B">
              <w:rPr>
                <w:rFonts w:ascii="Calibri" w:hAnsi="Calibri" w:cs="Calibri"/>
                <w:color w:val="000000" w:themeColor="text1"/>
              </w:rPr>
              <w:t>Research Design: Observational, explanatory. Uses regression analysis to test theorized determinants of responsiveness, moving beyond description to identify systematic mechanisms.</w:t>
            </w:r>
          </w:p>
          <w:p w14:paraId="47824A56" w14:textId="77777777" w:rsidR="00413D02" w:rsidRPr="008A640B" w:rsidRDefault="00413D02" w:rsidP="00413D02">
            <w:pPr>
              <w:pStyle w:val="ds-markdown-paragraph"/>
              <w:spacing w:before="240" w:beforeAutospacing="0" w:after="240" w:afterAutospacing="0"/>
              <w:rPr>
                <w:rFonts w:ascii="Calibri" w:hAnsi="Calibri" w:cs="Calibri"/>
                <w:color w:val="000000" w:themeColor="text1"/>
              </w:rPr>
            </w:pPr>
            <w:r w:rsidRPr="008A640B">
              <w:rPr>
                <w:rFonts w:ascii="Calibri" w:hAnsi="Calibri" w:cs="Calibri"/>
                <w:color w:val="000000" w:themeColor="text1"/>
              </w:rPr>
              <w:t xml:space="preserve">Software: </w:t>
            </w:r>
            <w:r w:rsidR="00B01288">
              <w:rPr>
                <w:rFonts w:ascii="Calibri" w:hAnsi="Calibri" w:cs="Calibri"/>
                <w:color w:val="000000" w:themeColor="text1"/>
              </w:rPr>
              <w:t>Python/R</w:t>
            </w:r>
            <w:r w:rsidRPr="008A640B">
              <w:rPr>
                <w:rFonts w:ascii="Calibri" w:hAnsi="Calibri" w:cs="Calibri"/>
                <w:color w:val="000000" w:themeColor="text1"/>
              </w:rPr>
              <w:t xml:space="preserve"> for text processing, statistical modeling (</w:t>
            </w:r>
            <w:proofErr w:type="spellStart"/>
            <w:r w:rsidRPr="008A640B">
              <w:rPr>
                <w:rFonts w:ascii="Calibri" w:hAnsi="Calibri" w:cs="Calibri"/>
                <w:color w:val="000000" w:themeColor="text1"/>
              </w:rPr>
              <w:t>mclogit</w:t>
            </w:r>
            <w:proofErr w:type="spellEnd"/>
            <w:r w:rsidRPr="008A640B">
              <w:rPr>
                <w:rFonts w:ascii="Calibri" w:hAnsi="Calibri" w:cs="Calibri"/>
                <w:color w:val="000000" w:themeColor="text1"/>
              </w:rPr>
              <w:t>, etc.), and analysis.</w:t>
            </w:r>
          </w:p>
          <w:p w14:paraId="6C6A90FE" w14:textId="77777777" w:rsidR="00DB08B2" w:rsidRPr="00796D4A" w:rsidRDefault="00413D02" w:rsidP="00796D4A">
            <w:pPr>
              <w:pStyle w:val="ds-markdown-paragraph"/>
              <w:spacing w:before="240" w:beforeAutospacing="0" w:after="0" w:afterAutospacing="0"/>
              <w:rPr>
                <w:rFonts w:ascii="Calibri" w:hAnsi="Calibri" w:cs="Calibri"/>
                <w:color w:val="000000" w:themeColor="text1"/>
              </w:rPr>
            </w:pPr>
            <w:r w:rsidRPr="008A640B">
              <w:rPr>
                <w:rFonts w:ascii="Calibri" w:hAnsi="Calibri" w:cs="Calibri"/>
                <w:color w:val="000000" w:themeColor="text1"/>
              </w:rPr>
              <w:t>Statistical Validity: Emphasis on model specification, robustness checks (e.g., topic model coherence, alternative model specifications with Topics vs. ASP), and transparent reporting of results as odds ratios. Acknowledges limitations of causal inference from observational data.</w:t>
            </w:r>
          </w:p>
        </w:tc>
      </w:tr>
      <w:tr w:rsidR="00DB08B2" w:rsidRPr="008A640B" w14:paraId="10637879" w14:textId="77777777" w:rsidTr="00EE3122">
        <w:tc>
          <w:tcPr>
            <w:tcW w:w="2552" w:type="dxa"/>
            <w:shd w:val="clear" w:color="auto" w:fill="BFBFBF" w:themeFill="background1" w:themeFillShade="BF"/>
          </w:tcPr>
          <w:p w14:paraId="4AF331EB"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lastRenderedPageBreak/>
              <w:t>TWO</w:t>
            </w:r>
          </w:p>
        </w:tc>
        <w:tc>
          <w:tcPr>
            <w:tcW w:w="11907" w:type="dxa"/>
            <w:gridSpan w:val="5"/>
            <w:shd w:val="clear" w:color="auto" w:fill="BFBFBF" w:themeFill="background1" w:themeFillShade="BF"/>
          </w:tcPr>
          <w:p w14:paraId="6ECED8E3" w14:textId="77777777" w:rsidR="00DB08B2" w:rsidRPr="008A640B" w:rsidRDefault="00DB08B2" w:rsidP="00EE3122">
            <w:pPr>
              <w:rPr>
                <w:rFonts w:ascii="Calibri" w:hAnsi="Calibri" w:cs="Calibri"/>
                <w:sz w:val="18"/>
                <w:szCs w:val="18"/>
              </w:rPr>
            </w:pPr>
            <w:r w:rsidRPr="008A640B">
              <w:rPr>
                <w:rFonts w:ascii="Calibri" w:hAnsi="Calibri" w:cs="Calibri"/>
                <w:b/>
                <w:sz w:val="18"/>
                <w:szCs w:val="18"/>
              </w:rPr>
              <w:t>Two</w:t>
            </w:r>
            <w:r w:rsidRPr="008A640B">
              <w:rPr>
                <w:rFonts w:ascii="Calibri" w:hAnsi="Calibri" w:cs="Calibri"/>
                <w:sz w:val="18"/>
                <w:szCs w:val="18"/>
              </w:rPr>
              <w:t xml:space="preserve"> key questions</w:t>
            </w:r>
          </w:p>
        </w:tc>
      </w:tr>
      <w:tr w:rsidR="00DB08B2" w:rsidRPr="008A640B" w14:paraId="30FCDC4A" w14:textId="77777777" w:rsidTr="00EE3122">
        <w:tc>
          <w:tcPr>
            <w:tcW w:w="2552" w:type="dxa"/>
          </w:tcPr>
          <w:p w14:paraId="5311851C"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(H) What’s New?</w:t>
            </w:r>
          </w:p>
        </w:tc>
        <w:tc>
          <w:tcPr>
            <w:tcW w:w="11907" w:type="dxa"/>
            <w:gridSpan w:val="5"/>
          </w:tcPr>
          <w:p w14:paraId="622C6421" w14:textId="77777777" w:rsidR="00DB08B2" w:rsidRPr="008A640B" w:rsidRDefault="00DB08B2" w:rsidP="00EE3122">
            <w:pPr>
              <w:rPr>
                <w:rFonts w:ascii="Calibri" w:hAnsi="Calibri" w:cs="Calibri"/>
              </w:rPr>
            </w:pPr>
            <w:r>
              <w:rPr>
                <w:sz w:val="20"/>
              </w:rPr>
              <w:t xml:space="preserve">Novelty Driver: </w:t>
            </w:r>
            <w:r>
              <w:rPr>
                <w:b/>
                <w:sz w:val="20"/>
                <w:u w:val="single"/>
              </w:rPr>
              <w:t>DATA (High)</w:t>
            </w:r>
          </w:p>
          <w:p w14:paraId="5C0A2179" w14:textId="77777777" w:rsidR="00CB1FCC" w:rsidRDefault="00000000">
            <w:r>
              <w:rPr>
                <w:sz w:val="20"/>
              </w:rPr>
              <w:t xml:space="preserve">- Idea: </w:t>
            </w:r>
            <w:r>
              <w:rPr>
                <w:b/>
                <w:sz w:val="20"/>
              </w:rPr>
              <w:t>High</w:t>
            </w:r>
            <w:r>
              <w:rPr>
                <w:sz w:val="20"/>
              </w:rPr>
              <w:t xml:space="preserve"> - Empirically tests a theoretical model linking FOI responsiveness to accountability pressure, communication, and organizational structure.</w:t>
            </w:r>
          </w:p>
          <w:p w14:paraId="0BB316D9" w14:textId="77777777" w:rsidR="00CB1FCC" w:rsidRDefault="00000000">
            <w:r>
              <w:rPr>
                <w:sz w:val="20"/>
              </w:rPr>
              <w:t xml:space="preserve">- Data: </w:t>
            </w:r>
            <w:r>
              <w:rPr>
                <w:b/>
                <w:sz w:val="20"/>
              </w:rPr>
              <w:t>HIGH</w:t>
            </w:r>
            <w:r>
              <w:rPr>
                <w:sz w:val="20"/>
              </w:rPr>
              <w:t xml:space="preserve"> - Unique longitudinal dataset; never used for accountability analysis</w:t>
            </w:r>
          </w:p>
          <w:p w14:paraId="708027EB" w14:textId="77777777" w:rsidR="00CB1FCC" w:rsidRDefault="00000000">
            <w:r>
              <w:rPr>
                <w:sz w:val="20"/>
              </w:rPr>
              <w:t xml:space="preserve">- Tools: </w:t>
            </w:r>
            <w:r>
              <w:rPr>
                <w:b/>
                <w:sz w:val="20"/>
              </w:rPr>
              <w:t>Moderate</w:t>
            </w:r>
            <w:r>
              <w:rPr>
                <w:sz w:val="20"/>
              </w:rPr>
              <w:t xml:space="preserve"> – Application of computational text analysis (topic modeling, sentiment) integrated with explanatory models in a public accountability context.</w:t>
            </w:r>
          </w:p>
          <w:p w14:paraId="7F885F33" w14:textId="77777777" w:rsidR="00CB1FCC" w:rsidRDefault="00CB1FCC"/>
          <w:p w14:paraId="2DB918E5" w14:textId="77777777" w:rsidR="00CB1FCC" w:rsidRDefault="00000000">
            <w:r>
              <w:rPr>
                <w:i/>
                <w:sz w:val="20"/>
              </w:rPr>
              <w:t xml:space="preserve">"Mickey Mouse" Test: </w:t>
            </w:r>
            <w:r>
              <w:rPr>
                <w:b/>
                <w:sz w:val="20"/>
              </w:rPr>
              <w:t>[FOI Data] ∩ [Explanatory Models of Accountability] ∩ [Computational Text Analysis]</w:t>
            </w:r>
            <w:r>
              <w:rPr>
                <w:b/>
                <w:sz w:val="20"/>
                <w:u w:val="single"/>
              </w:rPr>
              <w:t xml:space="preserve"> = CONTRIBUTION</w:t>
            </w:r>
          </w:p>
        </w:tc>
      </w:tr>
      <w:tr w:rsidR="00DB08B2" w:rsidRPr="008A640B" w14:paraId="333FB895" w14:textId="77777777" w:rsidTr="00EE3122">
        <w:tc>
          <w:tcPr>
            <w:tcW w:w="2552" w:type="dxa"/>
          </w:tcPr>
          <w:p w14:paraId="6F9BC737"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(I) So What?</w:t>
            </w:r>
          </w:p>
        </w:tc>
        <w:tc>
          <w:tcPr>
            <w:tcW w:w="11907" w:type="dxa"/>
            <w:gridSpan w:val="5"/>
          </w:tcPr>
          <w:p w14:paraId="46367BFF" w14:textId="77777777" w:rsidR="00DB08B2" w:rsidRPr="008A640B" w:rsidRDefault="00DB08B2" w:rsidP="00EE3122">
            <w:pPr>
              <w:rPr>
                <w:rFonts w:ascii="Calibri" w:hAnsi="Calibri" w:cs="Calibri"/>
              </w:rPr>
            </w:pPr>
            <w:r w:rsidRPr="008A640B">
              <w:rPr>
                <w:rFonts w:ascii="Calibri" w:hAnsi="Calibri" w:cs="Calibri"/>
              </w:rPr>
              <w:t xml:space="preserve">For Theory: </w:t>
            </w:r>
            <w:r w:rsidR="00413D02" w:rsidRPr="008A640B">
              <w:rPr>
                <w:rFonts w:ascii="Calibri" w:hAnsi="Calibri" w:cs="Calibri"/>
              </w:rPr>
              <w:t>Provides a tested, mechanistic model of FOI responsiveness as accountability-in-practice. Advances public sector management literature by quantifying how organizational accountability orientation is influenced by substantive risk, communicative cues, and structural context.</w:t>
            </w:r>
            <w:r w:rsidRPr="008A640B">
              <w:rPr>
                <w:rFonts w:ascii="Calibri" w:hAnsi="Calibri" w:cs="Calibri"/>
              </w:rPr>
              <w:br/>
            </w:r>
            <w:r w:rsidRPr="008A640B">
              <w:rPr>
                <w:rFonts w:ascii="Calibri" w:hAnsi="Calibri" w:cs="Calibri"/>
              </w:rPr>
              <w:br/>
              <w:t xml:space="preserve">For Practice: </w:t>
            </w:r>
            <w:r w:rsidR="00413D02" w:rsidRPr="008A640B">
              <w:rPr>
                <w:rFonts w:ascii="Calibri" w:hAnsi="Calibri" w:cs="Calibri"/>
              </w:rPr>
              <w:t xml:space="preserve">Offers administrators a diagnostic framework: responsiveness is not random but reacts to request content and tone. Identifies which administrative types are most prone to non-response under pressure, highlighting capacity or cultural </w:t>
            </w:r>
            <w:proofErr w:type="gramStart"/>
            <w:r w:rsidR="00413D02" w:rsidRPr="008A640B">
              <w:rPr>
                <w:rFonts w:ascii="Calibri" w:hAnsi="Calibri" w:cs="Calibri"/>
              </w:rPr>
              <w:t>gaps.</w:t>
            </w:r>
            <w:r w:rsidRPr="008A640B">
              <w:rPr>
                <w:rFonts w:ascii="Calibri" w:hAnsi="Calibri" w:cs="Calibri"/>
              </w:rPr>
              <w:t>.</w:t>
            </w:r>
            <w:proofErr w:type="gramEnd"/>
            <w:r w:rsidRPr="008A640B">
              <w:rPr>
                <w:rFonts w:ascii="Calibri" w:hAnsi="Calibri" w:cs="Calibri"/>
              </w:rPr>
              <w:br/>
            </w:r>
            <w:r w:rsidRPr="008A640B">
              <w:rPr>
                <w:rFonts w:ascii="Calibri" w:hAnsi="Calibri" w:cs="Calibri"/>
              </w:rPr>
              <w:br/>
              <w:t>For Policy: Informs FOI policy design by showing which response characteristics matter; Highlights variation that uniform legal requirements do not eliminate.</w:t>
            </w:r>
          </w:p>
        </w:tc>
      </w:tr>
      <w:tr w:rsidR="00DB08B2" w:rsidRPr="008A640B" w14:paraId="7E247653" w14:textId="77777777" w:rsidTr="00EE3122">
        <w:tc>
          <w:tcPr>
            <w:tcW w:w="2552" w:type="dxa"/>
            <w:shd w:val="clear" w:color="auto" w:fill="BFBFBF" w:themeFill="background1" w:themeFillShade="BF"/>
          </w:tcPr>
          <w:p w14:paraId="2E9908E4"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ONE</w:t>
            </w:r>
          </w:p>
        </w:tc>
        <w:tc>
          <w:tcPr>
            <w:tcW w:w="11907" w:type="dxa"/>
            <w:gridSpan w:val="5"/>
            <w:shd w:val="clear" w:color="auto" w:fill="BFBFBF" w:themeFill="background1" w:themeFillShade="BF"/>
          </w:tcPr>
          <w:p w14:paraId="3FF6E7B9" w14:textId="77777777" w:rsidR="00DB08B2" w:rsidRPr="008A640B" w:rsidRDefault="00DB08B2" w:rsidP="00EE3122">
            <w:pPr>
              <w:rPr>
                <w:rFonts w:ascii="Calibri" w:hAnsi="Calibri" w:cs="Calibri"/>
                <w:sz w:val="18"/>
                <w:szCs w:val="18"/>
              </w:rPr>
            </w:pPr>
            <w:r w:rsidRPr="008A640B">
              <w:rPr>
                <w:rFonts w:ascii="Calibri" w:hAnsi="Calibri" w:cs="Calibri"/>
                <w:b/>
                <w:sz w:val="18"/>
                <w:szCs w:val="18"/>
              </w:rPr>
              <w:t>One</w:t>
            </w:r>
            <w:r w:rsidRPr="008A640B">
              <w:rPr>
                <w:rFonts w:ascii="Calibri" w:hAnsi="Calibri" w:cs="Calibri"/>
                <w:sz w:val="18"/>
                <w:szCs w:val="18"/>
              </w:rPr>
              <w:t xml:space="preserve"> bottom line</w:t>
            </w:r>
          </w:p>
        </w:tc>
      </w:tr>
      <w:tr w:rsidR="00DB08B2" w:rsidRPr="008A640B" w14:paraId="0C04DB08" w14:textId="77777777" w:rsidTr="00EE3122">
        <w:tc>
          <w:tcPr>
            <w:tcW w:w="2552" w:type="dxa"/>
            <w:tcBorders>
              <w:bottom w:val="single" w:sz="4" w:space="0" w:color="auto"/>
            </w:tcBorders>
          </w:tcPr>
          <w:p w14:paraId="57DC515A"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(J) Contribution?</w:t>
            </w:r>
          </w:p>
        </w:tc>
        <w:tc>
          <w:tcPr>
            <w:tcW w:w="11907" w:type="dxa"/>
            <w:gridSpan w:val="5"/>
          </w:tcPr>
          <w:p w14:paraId="3A29C5A2" w14:textId="5CFFA542" w:rsidR="00413D02" w:rsidRPr="008A640B" w:rsidRDefault="00DB08B2" w:rsidP="00EE3122">
            <w:pPr>
              <w:rPr>
                <w:rFonts w:ascii="Calibri" w:hAnsi="Calibri" w:cs="Calibri"/>
              </w:rPr>
            </w:pPr>
            <w:r>
              <w:rPr>
                <w:b/>
                <w:sz w:val="20"/>
                <w:u w:val="single"/>
              </w:rPr>
              <w:t xml:space="preserve">Primary Contribution: </w:t>
            </w:r>
            <w:r>
              <w:rPr>
                <w:sz w:val="20"/>
              </w:rPr>
              <w:t xml:space="preserve">An empirical test of a multi-level model explaining FOI responsiveness. The study </w:t>
            </w:r>
            <w:r w:rsidR="009202B3">
              <w:rPr>
                <w:sz w:val="20"/>
              </w:rPr>
              <w:t>proposes</w:t>
            </w:r>
            <w:r>
              <w:rPr>
                <w:sz w:val="20"/>
              </w:rPr>
              <w:t xml:space="preserve"> that </w:t>
            </w:r>
            <w:r>
              <w:rPr>
                <w:b/>
                <w:sz w:val="20"/>
              </w:rPr>
              <w:t>accountability in practice is a measurable output</w:t>
            </w:r>
            <w:r>
              <w:rPr>
                <w:sz w:val="20"/>
              </w:rPr>
              <w:t xml:space="preserve"> shaped by the interaction of request characteristics (pressure, tone) and administrative structures, providing a blueprint for moving from normative concepts to explanatory analysis.</w:t>
            </w:r>
          </w:p>
          <w:p w14:paraId="6F8FACD1" w14:textId="77777777" w:rsidR="00CB1FCC" w:rsidRDefault="00CB1FCC"/>
          <w:p w14:paraId="75E5CD60" w14:textId="77777777" w:rsidR="00CB1FCC" w:rsidRDefault="00000000">
            <w:r>
              <w:rPr>
                <w:b/>
                <w:sz w:val="20"/>
                <w:u w:val="single"/>
              </w:rPr>
              <w:t xml:space="preserve">Secondary Contributions: </w:t>
            </w:r>
            <w:r>
              <w:rPr>
                <w:sz w:val="20"/>
              </w:rPr>
              <w:t>Novel longitudinal FOI dataset applied to organizational analysis; Comparative evidence on accountability orientation across Belgian public administrations; Methodological template for similar studies in other FOI contexts.</w:t>
            </w:r>
          </w:p>
        </w:tc>
      </w:tr>
      <w:tr w:rsidR="00DB08B2" w:rsidRPr="008A640B" w14:paraId="5BB0CC0F" w14:textId="77777777" w:rsidTr="00EE3122">
        <w:tc>
          <w:tcPr>
            <w:tcW w:w="2552" w:type="dxa"/>
            <w:shd w:val="clear" w:color="auto" w:fill="BFBFBF" w:themeFill="background1" w:themeFillShade="BF"/>
          </w:tcPr>
          <w:p w14:paraId="31537ED3" w14:textId="77777777" w:rsidR="00DB08B2" w:rsidRPr="008A640B" w:rsidRDefault="00DB08B2" w:rsidP="00EE3122">
            <w:pPr>
              <w:rPr>
                <w:rFonts w:ascii="Calibri" w:hAnsi="Calibri" w:cs="Calibri"/>
                <w:b/>
                <w:sz w:val="18"/>
                <w:szCs w:val="18"/>
              </w:rPr>
            </w:pPr>
            <w:r w:rsidRPr="008A640B">
              <w:rPr>
                <w:rFonts w:ascii="Calibri" w:hAnsi="Calibri" w:cs="Calibri"/>
                <w:b/>
                <w:sz w:val="18"/>
                <w:szCs w:val="18"/>
              </w:rPr>
              <w:t xml:space="preserve">(K) Other Considerations </w:t>
            </w:r>
          </w:p>
        </w:tc>
        <w:tc>
          <w:tcPr>
            <w:tcW w:w="11907" w:type="dxa"/>
            <w:gridSpan w:val="5"/>
          </w:tcPr>
          <w:p w14:paraId="6B3531FA" w14:textId="77777777" w:rsidR="00DB08B2" w:rsidRPr="008A640B" w:rsidRDefault="00DB08B2" w:rsidP="00EE3122">
            <w:pPr>
              <w:rPr>
                <w:rFonts w:ascii="Calibri" w:hAnsi="Calibri" w:cs="Calibri"/>
                <w:color w:val="FF0000"/>
                <w:sz w:val="18"/>
                <w:szCs w:val="18"/>
              </w:rPr>
            </w:pPr>
            <w:r>
              <w:rPr>
                <w:b/>
                <w:sz w:val="20"/>
              </w:rPr>
              <w:t xml:space="preserve">Target Journals: </w:t>
            </w:r>
            <w:r>
              <w:rPr>
                <w:b/>
                <w:sz w:val="20"/>
                <w:u w:val="single"/>
              </w:rPr>
              <w:t>Azienda Pubblica</w:t>
            </w:r>
            <w:r>
              <w:rPr>
                <w:sz w:val="20"/>
              </w:rPr>
              <w:t xml:space="preserve"> (Primary); </w:t>
            </w:r>
            <w:r>
              <w:rPr>
                <w:b/>
                <w:sz w:val="20"/>
                <w:u w:val="single"/>
              </w:rPr>
              <w:t>Public Management Review</w:t>
            </w:r>
            <w:r>
              <w:rPr>
                <w:sz w:val="20"/>
              </w:rPr>
              <w:t xml:space="preserve"> (Ambitious).</w:t>
            </w:r>
          </w:p>
          <w:p w14:paraId="72CB2F0A" w14:textId="77777777" w:rsidR="00CB1FCC" w:rsidRDefault="00CB1FCC"/>
          <w:p w14:paraId="77D89022" w14:textId="77777777" w:rsidR="00CB1FCC" w:rsidRDefault="00000000">
            <w:r>
              <w:rPr>
                <w:b/>
                <w:sz w:val="20"/>
              </w:rPr>
              <w:t xml:space="preserve">Challenges: </w:t>
            </w:r>
            <w:r>
              <w:rPr>
                <w:sz w:val="20"/>
              </w:rPr>
              <w:t>1. Frame firmly within economia aziendale's focus on organizational processes and managerial behavior, not just political science compliance. 2. Clearly differentiate this explanatory/causal study from a purely descriptive accountability benchmarking exercise.</w:t>
            </w:r>
          </w:p>
          <w:p w14:paraId="4A1E7225" w14:textId="77777777" w:rsidR="00CB1FCC" w:rsidRDefault="00CB1FCC"/>
          <w:p w14:paraId="0D0DD0C8" w14:textId="77777777" w:rsidR="00CB1FCC" w:rsidRDefault="00000000">
            <w:r>
              <w:rPr>
                <w:b/>
                <w:sz w:val="20"/>
              </w:rPr>
              <w:t xml:space="preserve">Scope: </w:t>
            </w:r>
            <w:r>
              <w:rPr>
                <w:sz w:val="20"/>
              </w:rPr>
              <w:t>Appropriate - FOI as accountability proxy, multiple administrations, 10 years (2016-2025).</w:t>
            </w:r>
          </w:p>
          <w:p w14:paraId="660F4C3D" w14:textId="77777777" w:rsidR="00CB1FCC" w:rsidRDefault="00CB1FCC"/>
          <w:p w14:paraId="73ECBA37" w14:textId="77777777" w:rsidR="00CB1FCC" w:rsidRDefault="00000000">
            <w:r>
              <w:rPr>
                <w:b/>
                <w:sz w:val="20"/>
                <w:u w:val="single"/>
              </w:rPr>
              <w:t xml:space="preserve">DIFFERENTIATION FROM RELATED WORK: </w:t>
            </w:r>
            <w:r>
              <w:rPr>
                <w:sz w:val="20"/>
              </w:rPr>
              <w:t xml:space="preserve">This paper shares the same empirical base (Transparencia.be dataset) with a parallel study on gender differences in FOI (submitted to ENPA). The distinction is clear: </w:t>
            </w:r>
            <w:r>
              <w:rPr>
                <w:b/>
                <w:sz w:val="20"/>
              </w:rPr>
              <w:t>HERE, topic and sentiment are DIRECT DETERMINANTS of organizational responsiveness</w:t>
            </w:r>
            <w:r>
              <w:rPr>
                <w:sz w:val="20"/>
              </w:rPr>
              <w:t xml:space="preserve"> (managerial question: what explains PA behavior?). </w:t>
            </w:r>
            <w:r>
              <w:rPr>
                <w:b/>
                <w:sz w:val="20"/>
              </w:rPr>
              <w:t xml:space="preserve">In the ENPA paper, topic and sentiment are MEDIATORS of </w:t>
            </w:r>
            <w:r>
              <w:rPr>
                <w:b/>
                <w:sz w:val="20"/>
              </w:rPr>
              <w:lastRenderedPageBreak/>
              <w:t>gender effects</w:t>
            </w:r>
            <w:r>
              <w:rPr>
                <w:sz w:val="20"/>
              </w:rPr>
              <w:t xml:space="preserve"> (sociological question: does the FOI system discriminate by gender?). Same data, same method, </w:t>
            </w:r>
            <w:r>
              <w:rPr>
                <w:b/>
                <w:sz w:val="20"/>
                <w:u w:val="single"/>
              </w:rPr>
              <w:t>fundamentally different research questions and theoretical frameworks.</w:t>
            </w:r>
          </w:p>
        </w:tc>
      </w:tr>
    </w:tbl>
    <w:p w14:paraId="289153DC" w14:textId="77777777" w:rsidR="00DB08B2" w:rsidRPr="008A640B" w:rsidRDefault="00DB08B2">
      <w:pPr>
        <w:rPr>
          <w:rFonts w:ascii="Calibri" w:hAnsi="Calibri" w:cs="Calibri"/>
        </w:rPr>
      </w:pPr>
    </w:p>
    <w:p w14:paraId="6A4AF4CA" w14:textId="77777777" w:rsidR="00F4042C" w:rsidRPr="008A640B" w:rsidRDefault="00F4042C">
      <w:pPr>
        <w:rPr>
          <w:rFonts w:ascii="Calibri" w:hAnsi="Calibri" w:cs="Calibri"/>
        </w:rPr>
      </w:pPr>
    </w:p>
    <w:sectPr w:rsidR="00F4042C" w:rsidRPr="008A640B" w:rsidSect="004647F5">
      <w:footerReference w:type="default" r:id="rId7"/>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F3945" w14:textId="77777777" w:rsidR="00DA4541" w:rsidRDefault="00DA4541" w:rsidP="004647F5">
      <w:pPr>
        <w:spacing w:after="0" w:line="240" w:lineRule="auto"/>
      </w:pPr>
      <w:r>
        <w:separator/>
      </w:r>
    </w:p>
  </w:endnote>
  <w:endnote w:type="continuationSeparator" w:id="0">
    <w:p w14:paraId="3D37F8C1" w14:textId="77777777" w:rsidR="00DA4541" w:rsidRDefault="00DA4541" w:rsidP="00464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2611" w14:textId="77777777" w:rsidR="00B772A1" w:rsidRDefault="00705571" w:rsidP="008F4B55">
    <w:pPr>
      <w:pStyle w:val="Footer"/>
      <w:jc w:val="both"/>
    </w:pPr>
    <w:r>
      <w:t xml:space="preserve">Cued </w:t>
    </w:r>
    <w:r w:rsidR="00B772A1">
      <w:t xml:space="preserve">Template taken from </w:t>
    </w:r>
    <w:r w:rsidR="00B772A1" w:rsidRPr="00B772A1">
      <w:t>Faff, Robert W., Pitching Research (</w:t>
    </w:r>
    <w:r w:rsidR="00A92A74">
      <w:t>March</w:t>
    </w:r>
    <w:r w:rsidR="00B772A1" w:rsidRPr="00B772A1">
      <w:t xml:space="preserve"> </w:t>
    </w:r>
    <w:r w:rsidR="00A92A74">
      <w:t>22</w:t>
    </w:r>
    <w:r w:rsidR="00B772A1" w:rsidRPr="00B772A1">
      <w:t xml:space="preserve">, 2015). Available at SSRN: </w:t>
    </w:r>
    <w:hyperlink r:id="rId1" w:tgtFrame="_blank" w:history="1">
      <w:r w:rsidR="00B772A1" w:rsidRPr="00B772A1">
        <w:rPr>
          <w:rStyle w:val="Hyperlink"/>
        </w:rPr>
        <w:t>http://ssrn.com/abstract=2462059</w:t>
      </w:r>
    </w:hyperlink>
    <w:r w:rsidR="00B772A1" w:rsidRPr="00B772A1">
      <w:t xml:space="preserve"> or </w:t>
    </w:r>
    <w:hyperlink r:id="rId2" w:tgtFrame="_blank" w:history="1">
      <w:r w:rsidR="00B772A1" w:rsidRPr="00B772A1">
        <w:rPr>
          <w:rStyle w:val="Hyperlink"/>
        </w:rPr>
        <w:t xml:space="preserve">http://dx.doi.org/10.2139/ssrn.2462059 </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BD8A1" w14:textId="77777777" w:rsidR="00DA4541" w:rsidRDefault="00DA4541" w:rsidP="004647F5">
      <w:pPr>
        <w:spacing w:after="0" w:line="240" w:lineRule="auto"/>
      </w:pPr>
      <w:r>
        <w:separator/>
      </w:r>
    </w:p>
  </w:footnote>
  <w:footnote w:type="continuationSeparator" w:id="0">
    <w:p w14:paraId="71F939C2" w14:textId="77777777" w:rsidR="00DA4541" w:rsidRDefault="00DA4541" w:rsidP="00464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3B56"/>
    <w:multiLevelType w:val="multilevel"/>
    <w:tmpl w:val="1CF6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DF5D98"/>
    <w:multiLevelType w:val="multilevel"/>
    <w:tmpl w:val="D40C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51C0C"/>
    <w:multiLevelType w:val="multilevel"/>
    <w:tmpl w:val="58C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D2115"/>
    <w:multiLevelType w:val="multilevel"/>
    <w:tmpl w:val="C8F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83337"/>
    <w:multiLevelType w:val="multilevel"/>
    <w:tmpl w:val="EE8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B672F"/>
    <w:multiLevelType w:val="multilevel"/>
    <w:tmpl w:val="907C9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570FBA"/>
    <w:multiLevelType w:val="multilevel"/>
    <w:tmpl w:val="11CE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3937023">
    <w:abstractNumId w:val="5"/>
  </w:num>
  <w:num w:numId="2" w16cid:durableId="467360856">
    <w:abstractNumId w:val="4"/>
  </w:num>
  <w:num w:numId="3" w16cid:durableId="1437553050">
    <w:abstractNumId w:val="6"/>
  </w:num>
  <w:num w:numId="4" w16cid:durableId="1531450137">
    <w:abstractNumId w:val="2"/>
  </w:num>
  <w:num w:numId="5" w16cid:durableId="1693650915">
    <w:abstractNumId w:val="3"/>
  </w:num>
  <w:num w:numId="6" w16cid:durableId="1411662534">
    <w:abstractNumId w:val="1"/>
  </w:num>
  <w:num w:numId="7" w16cid:durableId="1539977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F5"/>
    <w:rsid w:val="00004D83"/>
    <w:rsid w:val="000060F7"/>
    <w:rsid w:val="00046DF8"/>
    <w:rsid w:val="00062A21"/>
    <w:rsid w:val="000A0474"/>
    <w:rsid w:val="000D27F8"/>
    <w:rsid w:val="000E2187"/>
    <w:rsid w:val="00156DDE"/>
    <w:rsid w:val="0018281F"/>
    <w:rsid w:val="00191B82"/>
    <w:rsid w:val="001B34B2"/>
    <w:rsid w:val="00203351"/>
    <w:rsid w:val="002611CA"/>
    <w:rsid w:val="002B1484"/>
    <w:rsid w:val="0030506B"/>
    <w:rsid w:val="00306A0E"/>
    <w:rsid w:val="003142E9"/>
    <w:rsid w:val="00346857"/>
    <w:rsid w:val="003A3739"/>
    <w:rsid w:val="003E6D4A"/>
    <w:rsid w:val="004048E3"/>
    <w:rsid w:val="00413D02"/>
    <w:rsid w:val="00422259"/>
    <w:rsid w:val="00443917"/>
    <w:rsid w:val="004647F5"/>
    <w:rsid w:val="00465FE5"/>
    <w:rsid w:val="00475C34"/>
    <w:rsid w:val="004C391D"/>
    <w:rsid w:val="0052226B"/>
    <w:rsid w:val="005A4598"/>
    <w:rsid w:val="005B77C1"/>
    <w:rsid w:val="005E03A5"/>
    <w:rsid w:val="005F450A"/>
    <w:rsid w:val="00607B6D"/>
    <w:rsid w:val="00645F58"/>
    <w:rsid w:val="006B2EB9"/>
    <w:rsid w:val="00705571"/>
    <w:rsid w:val="00716D93"/>
    <w:rsid w:val="0074067D"/>
    <w:rsid w:val="00744F95"/>
    <w:rsid w:val="00762869"/>
    <w:rsid w:val="00796D4A"/>
    <w:rsid w:val="007A32C5"/>
    <w:rsid w:val="00807FBD"/>
    <w:rsid w:val="00831B45"/>
    <w:rsid w:val="00885F10"/>
    <w:rsid w:val="008A5243"/>
    <w:rsid w:val="008A640B"/>
    <w:rsid w:val="008F4B55"/>
    <w:rsid w:val="009124F2"/>
    <w:rsid w:val="009202B3"/>
    <w:rsid w:val="009365F4"/>
    <w:rsid w:val="00947E5A"/>
    <w:rsid w:val="009905E8"/>
    <w:rsid w:val="009C379B"/>
    <w:rsid w:val="009E1BB1"/>
    <w:rsid w:val="00A01D8F"/>
    <w:rsid w:val="00A03E98"/>
    <w:rsid w:val="00A04679"/>
    <w:rsid w:val="00A86A63"/>
    <w:rsid w:val="00A92A74"/>
    <w:rsid w:val="00AD0362"/>
    <w:rsid w:val="00B01288"/>
    <w:rsid w:val="00B01AD3"/>
    <w:rsid w:val="00B03716"/>
    <w:rsid w:val="00B269FC"/>
    <w:rsid w:val="00B772A1"/>
    <w:rsid w:val="00BC7B08"/>
    <w:rsid w:val="00C679CC"/>
    <w:rsid w:val="00C86DCA"/>
    <w:rsid w:val="00C911DA"/>
    <w:rsid w:val="00C92FA5"/>
    <w:rsid w:val="00CB1FCC"/>
    <w:rsid w:val="00D17EC3"/>
    <w:rsid w:val="00D264F7"/>
    <w:rsid w:val="00D516CB"/>
    <w:rsid w:val="00D539C5"/>
    <w:rsid w:val="00D55290"/>
    <w:rsid w:val="00D73BF8"/>
    <w:rsid w:val="00DA4541"/>
    <w:rsid w:val="00DB08B2"/>
    <w:rsid w:val="00DB509A"/>
    <w:rsid w:val="00E22B50"/>
    <w:rsid w:val="00E63EDC"/>
    <w:rsid w:val="00E85452"/>
    <w:rsid w:val="00F207C3"/>
    <w:rsid w:val="00F4042C"/>
    <w:rsid w:val="00F414DB"/>
    <w:rsid w:val="00F42AD3"/>
    <w:rsid w:val="00F73B5F"/>
    <w:rsid w:val="00F97E7B"/>
    <w:rsid w:val="00FD156E"/>
    <w:rsid w:val="00FD73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0ABBC"/>
  <w15:docId w15:val="{F2EFFD95-05D1-43FF-8502-802A373F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4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647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647F5"/>
    <w:rPr>
      <w:sz w:val="20"/>
      <w:szCs w:val="20"/>
    </w:rPr>
  </w:style>
  <w:style w:type="character" w:styleId="FootnoteReference">
    <w:name w:val="footnote reference"/>
    <w:basedOn w:val="DefaultParagraphFont"/>
    <w:uiPriority w:val="99"/>
    <w:semiHidden/>
    <w:unhideWhenUsed/>
    <w:rsid w:val="004647F5"/>
    <w:rPr>
      <w:vertAlign w:val="superscript"/>
    </w:rPr>
  </w:style>
  <w:style w:type="character" w:styleId="CommentReference">
    <w:name w:val="annotation reference"/>
    <w:basedOn w:val="DefaultParagraphFont"/>
    <w:uiPriority w:val="99"/>
    <w:semiHidden/>
    <w:unhideWhenUsed/>
    <w:rsid w:val="004647F5"/>
    <w:rPr>
      <w:sz w:val="16"/>
      <w:szCs w:val="16"/>
    </w:rPr>
  </w:style>
  <w:style w:type="paragraph" w:styleId="CommentText">
    <w:name w:val="annotation text"/>
    <w:basedOn w:val="Normal"/>
    <w:link w:val="CommentTextChar"/>
    <w:uiPriority w:val="99"/>
    <w:unhideWhenUsed/>
    <w:rsid w:val="004647F5"/>
    <w:pPr>
      <w:spacing w:line="240" w:lineRule="auto"/>
    </w:pPr>
    <w:rPr>
      <w:rFonts w:ascii="Baskerville" w:hAnsi="Baskerville"/>
      <w:sz w:val="20"/>
      <w:szCs w:val="20"/>
      <w:lang w:val="en-US"/>
    </w:rPr>
  </w:style>
  <w:style w:type="character" w:customStyle="1" w:styleId="CommentTextChar">
    <w:name w:val="Comment Text Char"/>
    <w:basedOn w:val="DefaultParagraphFont"/>
    <w:link w:val="CommentText"/>
    <w:uiPriority w:val="99"/>
    <w:rsid w:val="004647F5"/>
    <w:rPr>
      <w:rFonts w:ascii="Baskerville" w:hAnsi="Baskerville"/>
      <w:sz w:val="20"/>
      <w:szCs w:val="20"/>
      <w:lang w:val="en-US"/>
    </w:rPr>
  </w:style>
  <w:style w:type="paragraph" w:styleId="BalloonText">
    <w:name w:val="Balloon Text"/>
    <w:basedOn w:val="Normal"/>
    <w:link w:val="BalloonTextChar"/>
    <w:uiPriority w:val="99"/>
    <w:semiHidden/>
    <w:unhideWhenUsed/>
    <w:rsid w:val="004647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47F5"/>
    <w:rPr>
      <w:rFonts w:ascii="Tahoma" w:hAnsi="Tahoma" w:cs="Tahoma"/>
      <w:sz w:val="16"/>
      <w:szCs w:val="16"/>
    </w:rPr>
  </w:style>
  <w:style w:type="paragraph" w:styleId="Header">
    <w:name w:val="header"/>
    <w:basedOn w:val="Normal"/>
    <w:link w:val="HeaderChar"/>
    <w:uiPriority w:val="99"/>
    <w:unhideWhenUsed/>
    <w:rsid w:val="00B772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72A1"/>
  </w:style>
  <w:style w:type="paragraph" w:styleId="Footer">
    <w:name w:val="footer"/>
    <w:basedOn w:val="Normal"/>
    <w:link w:val="FooterChar"/>
    <w:uiPriority w:val="99"/>
    <w:unhideWhenUsed/>
    <w:rsid w:val="00B772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72A1"/>
  </w:style>
  <w:style w:type="character" w:styleId="Hyperlink">
    <w:name w:val="Hyperlink"/>
    <w:basedOn w:val="DefaultParagraphFont"/>
    <w:uiPriority w:val="99"/>
    <w:unhideWhenUsed/>
    <w:rsid w:val="00B772A1"/>
    <w:rPr>
      <w:color w:val="0000FF" w:themeColor="hyperlink"/>
      <w:u w:val="single"/>
    </w:rPr>
  </w:style>
  <w:style w:type="character" w:customStyle="1" w:styleId="apple-converted-space">
    <w:name w:val="apple-converted-space"/>
    <w:basedOn w:val="DefaultParagraphFont"/>
    <w:rsid w:val="00B269FC"/>
  </w:style>
  <w:style w:type="character" w:styleId="Strong">
    <w:name w:val="Strong"/>
    <w:basedOn w:val="DefaultParagraphFont"/>
    <w:uiPriority w:val="22"/>
    <w:qFormat/>
    <w:rsid w:val="00B269FC"/>
    <w:rPr>
      <w:b/>
      <w:bCs/>
    </w:rPr>
  </w:style>
  <w:style w:type="character" w:customStyle="1" w:styleId="citation-146">
    <w:name w:val="citation-146"/>
    <w:basedOn w:val="DefaultParagraphFont"/>
    <w:rsid w:val="00807FBD"/>
  </w:style>
  <w:style w:type="paragraph" w:customStyle="1" w:styleId="p1">
    <w:name w:val="p1"/>
    <w:basedOn w:val="Normal"/>
    <w:rsid w:val="00807FBD"/>
    <w:pPr>
      <w:spacing w:after="0" w:line="240" w:lineRule="auto"/>
    </w:pPr>
    <w:rPr>
      <w:rFonts w:ascii="Times New Roman" w:eastAsia="Times New Roman" w:hAnsi="Times New Roman" w:cs="Times New Roman"/>
      <w:color w:val="000000"/>
      <w:sz w:val="18"/>
      <w:szCs w:val="18"/>
      <w:lang w:val="en-US"/>
    </w:rPr>
  </w:style>
  <w:style w:type="paragraph" w:styleId="NormalWeb">
    <w:name w:val="Normal (Web)"/>
    <w:basedOn w:val="Normal"/>
    <w:uiPriority w:val="99"/>
    <w:semiHidden/>
    <w:unhideWhenUsed/>
    <w:rsid w:val="00A86A6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2B14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2B1484"/>
    <w:rPr>
      <w:rFonts w:ascii="Courier New" w:eastAsia="Times New Roman" w:hAnsi="Courier New" w:cs="Courier New"/>
      <w:sz w:val="20"/>
      <w:szCs w:val="20"/>
      <w:lang w:val="en-US"/>
    </w:rPr>
  </w:style>
  <w:style w:type="paragraph" w:customStyle="1" w:styleId="ds-markdown-paragraph">
    <w:name w:val="ds-markdown-paragraph"/>
    <w:basedOn w:val="Normal"/>
    <w:rsid w:val="00413D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D264F7"/>
    <w:rPr>
      <w:i/>
      <w:iCs/>
    </w:rPr>
  </w:style>
  <w:style w:type="character" w:styleId="HTMLCode">
    <w:name w:val="HTML Code"/>
    <w:basedOn w:val="DefaultParagraphFont"/>
    <w:uiPriority w:val="99"/>
    <w:semiHidden/>
    <w:unhideWhenUsed/>
    <w:rsid w:val="00D264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dx.doi.org/10.2139/ssrn.2462059" TargetMode="External"/><Relationship Id="rId1" Type="http://schemas.openxmlformats.org/officeDocument/2006/relationships/hyperlink" Target="http://ssrn.com/abstract=24620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1742</Words>
  <Characters>9933</Characters>
  <Application>Microsoft Office Word</Application>
  <DocSecurity>0</DocSecurity>
  <Lines>82</Lines>
  <Paragraphs>23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Faff</dc:creator>
  <cp:lastModifiedBy>Enrico Quaglia</cp:lastModifiedBy>
  <cp:revision>9</cp:revision>
  <cp:lastPrinted>2015-03-11T10:19:00Z</cp:lastPrinted>
  <dcterms:created xsi:type="dcterms:W3CDTF">2026-02-24T13:24:00Z</dcterms:created>
  <dcterms:modified xsi:type="dcterms:W3CDTF">2026-02-24T16:51:00Z</dcterms:modified>
</cp:coreProperties>
</file>