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3BD7" w14:textId="77777777" w:rsidR="00076D1A" w:rsidRPr="009517DD" w:rsidRDefault="00000000">
      <w:pPr>
        <w:pStyle w:val="Heading1"/>
        <w:rPr>
          <w:rFonts w:ascii="Calibri" w:hAnsi="Calibri" w:cs="Calibri"/>
          <w:sz w:val="22"/>
          <w:szCs w:val="22"/>
        </w:rPr>
      </w:pPr>
      <w:bookmarkStart w:id="0" w:name="co-create-2026---project-outline"/>
      <w:r w:rsidRPr="009517DD">
        <w:rPr>
          <w:rFonts w:ascii="Calibri" w:hAnsi="Calibri" w:cs="Calibri"/>
          <w:sz w:val="22"/>
          <w:szCs w:val="22"/>
        </w:rPr>
        <w:t>CO-CREATE 2026 - PROJECT OUTLINE</w:t>
      </w:r>
    </w:p>
    <w:p w14:paraId="4B537FAC" w14:textId="77777777" w:rsidR="00076D1A" w:rsidRPr="009517DD" w:rsidRDefault="00000000">
      <w:pPr>
        <w:pStyle w:val="Heading2"/>
        <w:rPr>
          <w:rFonts w:ascii="Calibri" w:hAnsi="Calibri" w:cs="Calibri"/>
          <w:sz w:val="22"/>
          <w:szCs w:val="22"/>
        </w:rPr>
      </w:pPr>
      <w:bookmarkStart w:id="1" w:name="Xd851684f5e45562bdae9f69a7c1e38cf6e2406c"/>
      <w:r w:rsidRPr="009517DD">
        <w:rPr>
          <w:rFonts w:ascii="Calibri" w:hAnsi="Calibri" w:cs="Calibri"/>
          <w:sz w:val="22"/>
          <w:szCs w:val="22"/>
        </w:rPr>
        <w:t>FOI-RESPOND: Understanding and Improving FOI Responsiveness in Brussels</w:t>
      </w:r>
    </w:p>
    <w:p w14:paraId="5D55B7C8"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3C43511F">
          <v:rect id="_x0000_i1033" alt="" style="width:468pt;height:.05pt;mso-width-percent:0;mso-height-percent:0;mso-width-percent:0;mso-height-percent:0" o:hralign="center" o:hrstd="t" o:hr="t"/>
        </w:pict>
      </w:r>
    </w:p>
    <w:p w14:paraId="3C786CBE" w14:textId="77777777" w:rsidR="00076D1A" w:rsidRPr="009517DD" w:rsidRDefault="00000000">
      <w:pPr>
        <w:pStyle w:val="Heading3"/>
        <w:rPr>
          <w:rFonts w:ascii="Calibri" w:hAnsi="Calibri" w:cs="Calibri"/>
          <w:sz w:val="22"/>
          <w:szCs w:val="22"/>
        </w:rPr>
      </w:pPr>
      <w:bookmarkStart w:id="2" w:name="project-identification"/>
      <w:r w:rsidRPr="009517DD">
        <w:rPr>
          <w:rFonts w:ascii="Calibri" w:hAnsi="Calibri" w:cs="Calibri"/>
          <w:sz w:val="22"/>
          <w:szCs w:val="22"/>
        </w:rPr>
        <w:t>1. PROJECT IDENTIFICATION</w:t>
      </w:r>
    </w:p>
    <w:tbl>
      <w:tblPr>
        <w:tblStyle w:val="Table"/>
        <w:tblW w:w="5000" w:type="pct"/>
        <w:tblLayout w:type="fixed"/>
        <w:tblLook w:val="0020" w:firstRow="1" w:lastRow="0" w:firstColumn="0" w:lastColumn="0" w:noHBand="0" w:noVBand="0"/>
      </w:tblPr>
      <w:tblGrid>
        <w:gridCol w:w="3276"/>
        <w:gridCol w:w="6084"/>
      </w:tblGrid>
      <w:tr w:rsidR="00076D1A" w:rsidRPr="009517DD" w14:paraId="340D9BA3" w14:textId="77777777" w:rsidTr="00076D1A">
        <w:trPr>
          <w:cnfStyle w:val="100000000000" w:firstRow="1" w:lastRow="0" w:firstColumn="0" w:lastColumn="0" w:oddVBand="0" w:evenVBand="0" w:oddHBand="0" w:evenHBand="0" w:firstRowFirstColumn="0" w:firstRowLastColumn="0" w:lastRowFirstColumn="0" w:lastRowLastColumn="0"/>
          <w:tblHeader/>
        </w:trPr>
        <w:tc>
          <w:tcPr>
            <w:tcW w:w="2772" w:type="dxa"/>
          </w:tcPr>
          <w:p w14:paraId="72F07CE0"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Field</w:t>
            </w:r>
          </w:p>
        </w:tc>
        <w:tc>
          <w:tcPr>
            <w:tcW w:w="5148" w:type="dxa"/>
          </w:tcPr>
          <w:p w14:paraId="0EF3A500"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Information</w:t>
            </w:r>
          </w:p>
        </w:tc>
      </w:tr>
      <w:tr w:rsidR="00076D1A" w:rsidRPr="009517DD" w14:paraId="469CA5EF" w14:textId="77777777">
        <w:tc>
          <w:tcPr>
            <w:tcW w:w="2772" w:type="dxa"/>
          </w:tcPr>
          <w:p w14:paraId="09187D42" w14:textId="77777777" w:rsidR="00076D1A" w:rsidRPr="009517DD" w:rsidRDefault="00000000">
            <w:pPr>
              <w:pStyle w:val="Compact"/>
              <w:rPr>
                <w:rFonts w:ascii="Calibri" w:hAnsi="Calibri" w:cs="Calibri"/>
                <w:sz w:val="22"/>
                <w:szCs w:val="22"/>
              </w:rPr>
            </w:pPr>
            <w:r w:rsidRPr="009517DD">
              <w:rPr>
                <w:rFonts w:ascii="Calibri" w:hAnsi="Calibri" w:cs="Calibri"/>
                <w:b/>
                <w:bCs/>
                <w:sz w:val="22"/>
                <w:szCs w:val="22"/>
              </w:rPr>
              <w:t>Title</w:t>
            </w:r>
          </w:p>
        </w:tc>
        <w:tc>
          <w:tcPr>
            <w:tcW w:w="5148" w:type="dxa"/>
          </w:tcPr>
          <w:p w14:paraId="0B89F391"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Understanding and Improving FOI Responsiveness: A Co-Research Approach to Administrative Transparency in Brussels</w:t>
            </w:r>
          </w:p>
          <w:p w14:paraId="4651CA0E" w14:textId="77777777" w:rsidR="00A74A81" w:rsidRPr="009517DD" w:rsidRDefault="00000000">
            <w:pPr>
              <w:rPr>
                <w:rFonts w:ascii="Calibri" w:hAnsi="Calibri" w:cs="Calibri"/>
              </w:rPr>
            </w:pPr>
            <w:r w:rsidRPr="009517DD">
              <w:rPr>
                <w:rFonts w:ascii="Calibri" w:hAnsi="Calibri" w:cs="Calibri"/>
                <w:i/>
                <w:color w:val="666666"/>
                <w:sz w:val="18"/>
              </w:rPr>
              <w:t>Alt. 1: From FOI Data to Accountability Dashboards — A Co-Research Project on Administrative Transparency in Brussels</w:t>
            </w:r>
          </w:p>
          <w:p w14:paraId="4AC166C2" w14:textId="77777777" w:rsidR="00A74A81" w:rsidRPr="009517DD" w:rsidRDefault="00000000">
            <w:pPr>
              <w:rPr>
                <w:rFonts w:ascii="Calibri" w:hAnsi="Calibri" w:cs="Calibri"/>
              </w:rPr>
            </w:pPr>
            <w:r w:rsidRPr="009517DD">
              <w:rPr>
                <w:rFonts w:ascii="Calibri" w:hAnsi="Calibri" w:cs="Calibri"/>
                <w:i/>
                <w:color w:val="666666"/>
                <w:sz w:val="18"/>
              </w:rPr>
              <w:t>Alt. 2: Measuring What Matters in FOI — Co-Designing Transparency Dashboards for Citizens and Public Administrations in Brussels</w:t>
            </w:r>
          </w:p>
          <w:p w14:paraId="788FFAFD" w14:textId="77777777" w:rsidR="00A74A81" w:rsidRPr="009517DD" w:rsidRDefault="00000000">
            <w:pPr>
              <w:rPr>
                <w:rFonts w:ascii="Calibri" w:hAnsi="Calibri" w:cs="Calibri"/>
              </w:rPr>
            </w:pPr>
            <w:r w:rsidRPr="009517DD">
              <w:rPr>
                <w:rFonts w:ascii="Calibri" w:hAnsi="Calibri" w:cs="Calibri"/>
                <w:i/>
                <w:color w:val="666666"/>
                <w:sz w:val="18"/>
              </w:rPr>
              <w:t>Alt. 3: Understanding and Improving FOI Responsiveness — Evidence-Based Dashboards for Administrative Transparency in Brussels</w:t>
            </w:r>
          </w:p>
        </w:tc>
      </w:tr>
      <w:tr w:rsidR="00076D1A" w:rsidRPr="009517DD" w14:paraId="77E308B2" w14:textId="77777777">
        <w:tc>
          <w:tcPr>
            <w:tcW w:w="2772" w:type="dxa"/>
          </w:tcPr>
          <w:p w14:paraId="02969C91" w14:textId="77777777" w:rsidR="00076D1A" w:rsidRPr="009517DD" w:rsidRDefault="00000000">
            <w:pPr>
              <w:pStyle w:val="Compact"/>
              <w:rPr>
                <w:rFonts w:ascii="Calibri" w:hAnsi="Calibri" w:cs="Calibri"/>
                <w:sz w:val="22"/>
                <w:szCs w:val="22"/>
              </w:rPr>
            </w:pPr>
            <w:r w:rsidRPr="009517DD">
              <w:rPr>
                <w:rFonts w:ascii="Calibri" w:hAnsi="Calibri" w:cs="Calibri"/>
                <w:b/>
                <w:bCs/>
                <w:sz w:val="22"/>
                <w:szCs w:val="22"/>
              </w:rPr>
              <w:t>Acronym</w:t>
            </w:r>
          </w:p>
        </w:tc>
        <w:tc>
          <w:tcPr>
            <w:tcW w:w="5148" w:type="dxa"/>
          </w:tcPr>
          <w:p w14:paraId="670118E0"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FOI-RESPOND</w:t>
            </w:r>
          </w:p>
          <w:p w14:paraId="30243E0B" w14:textId="77777777" w:rsidR="004516D5" w:rsidRPr="009517DD" w:rsidRDefault="00000000">
            <w:pPr>
              <w:rPr>
                <w:rFonts w:ascii="Calibri" w:hAnsi="Calibri" w:cs="Calibri"/>
              </w:rPr>
            </w:pPr>
            <w:r w:rsidRPr="009517DD">
              <w:rPr>
                <w:rFonts w:ascii="Calibri" w:hAnsi="Calibri" w:cs="Calibri"/>
                <w:i/>
                <w:color w:val="666666"/>
                <w:sz w:val="18"/>
              </w:rPr>
              <w:t>Alt. 1: FOI-SCOPE (FOI Systematic Comparison of Platform Evidence)</w:t>
            </w:r>
          </w:p>
          <w:p w14:paraId="796CEF5A" w14:textId="77777777" w:rsidR="004516D5" w:rsidRPr="009517DD" w:rsidRDefault="00000000">
            <w:pPr>
              <w:rPr>
                <w:rFonts w:ascii="Calibri" w:hAnsi="Calibri" w:cs="Calibri"/>
              </w:rPr>
            </w:pPr>
            <w:r w:rsidRPr="009517DD">
              <w:rPr>
                <w:rFonts w:ascii="Calibri" w:hAnsi="Calibri" w:cs="Calibri"/>
                <w:i/>
                <w:color w:val="666666"/>
                <w:sz w:val="18"/>
              </w:rPr>
              <w:t>Alt. 2: FOI-DASH (FOI Dashboard Analytics for Systematic Harmonization)</w:t>
            </w:r>
          </w:p>
          <w:p w14:paraId="63275B36" w14:textId="77777777" w:rsidR="004516D5" w:rsidRPr="009517DD" w:rsidRDefault="00000000">
            <w:pPr>
              <w:rPr>
                <w:rFonts w:ascii="Calibri" w:hAnsi="Calibri" w:cs="Calibri"/>
              </w:rPr>
            </w:pPr>
            <w:r w:rsidRPr="009517DD">
              <w:rPr>
                <w:rFonts w:ascii="Calibri" w:hAnsi="Calibri" w:cs="Calibri"/>
                <w:i/>
                <w:color w:val="666666"/>
                <w:sz w:val="18"/>
              </w:rPr>
              <w:t>Alt. 3: OPEN-SIGHT (Open Public Evidence Network — Systematic Insights on Government Handling of Transparency)</w:t>
            </w:r>
          </w:p>
        </w:tc>
      </w:tr>
      <w:tr w:rsidR="00076D1A" w:rsidRPr="009517DD" w14:paraId="4D311C30" w14:textId="77777777">
        <w:tc>
          <w:tcPr>
            <w:tcW w:w="2772" w:type="dxa"/>
          </w:tcPr>
          <w:p w14:paraId="5BD18BF3" w14:textId="77777777" w:rsidR="00076D1A" w:rsidRPr="009517DD" w:rsidRDefault="00000000">
            <w:pPr>
              <w:pStyle w:val="Compact"/>
              <w:rPr>
                <w:rFonts w:ascii="Calibri" w:hAnsi="Calibri" w:cs="Calibri"/>
                <w:sz w:val="22"/>
                <w:szCs w:val="22"/>
              </w:rPr>
            </w:pPr>
            <w:r w:rsidRPr="009517DD">
              <w:rPr>
                <w:rFonts w:ascii="Calibri" w:hAnsi="Calibri" w:cs="Calibri"/>
                <w:b/>
                <w:bCs/>
                <w:sz w:val="22"/>
                <w:szCs w:val="22"/>
              </w:rPr>
              <w:t>Type</w:t>
            </w:r>
          </w:p>
        </w:tc>
        <w:tc>
          <w:tcPr>
            <w:tcW w:w="5148" w:type="dxa"/>
          </w:tcPr>
          <w:p w14:paraId="10F2C9B7"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Co-Research</w:t>
            </w:r>
          </w:p>
        </w:tc>
      </w:tr>
      <w:tr w:rsidR="00076D1A" w:rsidRPr="009517DD" w14:paraId="2D10B4AA" w14:textId="77777777">
        <w:tc>
          <w:tcPr>
            <w:tcW w:w="2772" w:type="dxa"/>
          </w:tcPr>
          <w:p w14:paraId="70134BCE" w14:textId="77777777" w:rsidR="00076D1A" w:rsidRPr="009517DD" w:rsidRDefault="00000000">
            <w:pPr>
              <w:pStyle w:val="Compact"/>
              <w:rPr>
                <w:rFonts w:ascii="Calibri" w:hAnsi="Calibri" w:cs="Calibri"/>
                <w:sz w:val="22"/>
                <w:szCs w:val="22"/>
              </w:rPr>
            </w:pPr>
            <w:r w:rsidRPr="009517DD">
              <w:rPr>
                <w:rFonts w:ascii="Calibri" w:hAnsi="Calibri" w:cs="Calibri"/>
                <w:b/>
                <w:bCs/>
                <w:sz w:val="22"/>
                <w:szCs w:val="22"/>
              </w:rPr>
              <w:t>Duration</w:t>
            </w:r>
          </w:p>
        </w:tc>
        <w:tc>
          <w:tcPr>
            <w:tcW w:w="5148" w:type="dxa"/>
          </w:tcPr>
          <w:p w14:paraId="2F500D08"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36 months</w:t>
            </w:r>
          </w:p>
        </w:tc>
      </w:tr>
      <w:tr w:rsidR="00076D1A" w:rsidRPr="009517DD" w14:paraId="5273E22D" w14:textId="77777777">
        <w:tc>
          <w:tcPr>
            <w:tcW w:w="2772" w:type="dxa"/>
          </w:tcPr>
          <w:p w14:paraId="74EF9F8B" w14:textId="77777777" w:rsidR="00076D1A" w:rsidRPr="009517DD" w:rsidRDefault="00000000">
            <w:pPr>
              <w:pStyle w:val="Compact"/>
              <w:rPr>
                <w:rFonts w:ascii="Calibri" w:hAnsi="Calibri" w:cs="Calibri"/>
                <w:sz w:val="22"/>
                <w:szCs w:val="22"/>
              </w:rPr>
            </w:pPr>
            <w:r w:rsidRPr="009517DD">
              <w:rPr>
                <w:rFonts w:ascii="Calibri" w:hAnsi="Calibri" w:cs="Calibri"/>
                <w:b/>
                <w:bCs/>
                <w:sz w:val="22"/>
                <w:szCs w:val="22"/>
              </w:rPr>
              <w:t>Estimated Budget</w:t>
            </w:r>
          </w:p>
        </w:tc>
        <w:tc>
          <w:tcPr>
            <w:tcW w:w="5148" w:type="dxa"/>
          </w:tcPr>
          <w:p w14:paraId="27C883C5" w14:textId="77777777" w:rsidR="00076D1A" w:rsidRPr="009517DD" w:rsidRDefault="00000000">
            <w:pPr>
              <w:pStyle w:val="Compact"/>
              <w:rPr>
                <w:rFonts w:ascii="Calibri" w:hAnsi="Calibri" w:cs="Calibri"/>
                <w:sz w:val="22"/>
                <w:szCs w:val="22"/>
              </w:rPr>
            </w:pPr>
            <w:r w:rsidRPr="009517DD">
              <w:rPr>
                <w:rFonts w:ascii="Calibri" w:hAnsi="Calibri" w:cs="Calibri"/>
                <w:sz w:val="22"/>
                <w:szCs w:val="22"/>
              </w:rPr>
              <w:t>~€480,000</w:t>
            </w:r>
          </w:p>
        </w:tc>
      </w:tr>
    </w:tbl>
    <w:p w14:paraId="42B8A85F"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32E4B606">
          <v:rect id="_x0000_i1032" alt="" style="width:468pt;height:.05pt;mso-width-percent:0;mso-height-percent:0;mso-width-percent:0;mso-height-percent:0" o:hralign="center" o:hrstd="t" o:hr="t"/>
        </w:pict>
      </w:r>
    </w:p>
    <w:p w14:paraId="41201E0D" w14:textId="77777777" w:rsidR="00076D1A" w:rsidRPr="009517DD" w:rsidRDefault="00000000">
      <w:pPr>
        <w:pStyle w:val="Heading3"/>
        <w:rPr>
          <w:rFonts w:ascii="Calibri" w:hAnsi="Calibri" w:cs="Calibri"/>
          <w:sz w:val="22"/>
          <w:szCs w:val="22"/>
        </w:rPr>
      </w:pPr>
      <w:bookmarkStart w:id="3" w:name="partnership"/>
      <w:bookmarkEnd w:id="2"/>
      <w:r w:rsidRPr="009517DD">
        <w:rPr>
          <w:rFonts w:ascii="Calibri" w:hAnsi="Calibri" w:cs="Calibri"/>
          <w:sz w:val="22"/>
          <w:szCs w:val="22"/>
        </w:rPr>
        <w:t>2. PARTNERSHIP</w:t>
      </w:r>
    </w:p>
    <w:p w14:paraId="082DB4E3" w14:textId="77777777" w:rsidR="00076D1A" w:rsidRPr="009517DD" w:rsidRDefault="00000000">
      <w:pPr>
        <w:pStyle w:val="FirstParagraph"/>
        <w:rPr>
          <w:rFonts w:ascii="Calibri" w:hAnsi="Calibri" w:cs="Calibri"/>
          <w:sz w:val="22"/>
          <w:szCs w:val="22"/>
        </w:rPr>
      </w:pPr>
      <w:r w:rsidRPr="009517DD">
        <w:rPr>
          <w:rFonts w:ascii="Calibri" w:hAnsi="Calibri" w:cs="Calibri"/>
          <w:b/>
          <w:bCs/>
          <w:sz w:val="22"/>
          <w:szCs w:val="22"/>
        </w:rPr>
        <w:t xml:space="preserve">Coordinator: </w:t>
      </w:r>
      <w:r w:rsidRPr="009517DD">
        <w:rPr>
          <w:rFonts w:ascii="Calibri" w:hAnsi="Calibri" w:cs="Calibri"/>
          <w:sz w:val="22"/>
          <w:szCs w:val="22"/>
        </w:rPr>
        <w:t>- Université Libre de Bruxelles (ULB) - Centre d'Étude de la Performance des Administrations Publiques (CEPAP) - Contact: Prof. Giovanni Esposito (giovanni.esposito@ulb.be) - Role: Scientific coordination, methodology, data analysis, academic publication</w:t>
      </w:r>
    </w:p>
    <w:p w14:paraId="5C812BF9" w14:textId="77777777" w:rsidR="00076D1A" w:rsidRPr="009517DD" w:rsidRDefault="00000000">
      <w:pPr>
        <w:pStyle w:val="BodyText"/>
        <w:rPr>
          <w:rFonts w:ascii="Calibri" w:hAnsi="Calibri" w:cs="Calibri"/>
          <w:sz w:val="22"/>
          <w:szCs w:val="22"/>
        </w:rPr>
      </w:pPr>
      <w:r w:rsidRPr="009517DD">
        <w:rPr>
          <w:rFonts w:ascii="Calibri" w:hAnsi="Calibri" w:cs="Calibri"/>
          <w:b/>
          <w:bCs/>
          <w:sz w:val="22"/>
          <w:szCs w:val="22"/>
        </w:rPr>
        <w:t xml:space="preserve">Partner: </w:t>
      </w:r>
      <w:r w:rsidRPr="009517DD">
        <w:rPr>
          <w:rFonts w:ascii="Calibri" w:hAnsi="Calibri" w:cs="Calibri"/>
          <w:sz w:val="22"/>
        </w:rPr>
        <w:t>- Anticor Belgique ASBL (operating Transparencia.be) - Contact: Claude Archer (audit.citoyen.quartier@gmail.com) - Role: Practical expertise, data access, citizen engagement, civil society dissemination</w:t>
      </w:r>
      <w:r w:rsidRPr="009517DD">
        <w:rPr>
          <w:rFonts w:ascii="Calibri" w:hAnsi="Calibri" w:cs="Calibri"/>
          <w:sz w:val="22"/>
        </w:rPr>
        <w:br/>
      </w:r>
      <w:r w:rsidRPr="009517DD">
        <w:rPr>
          <w:rFonts w:ascii="Calibri" w:hAnsi="Calibri" w:cs="Calibri"/>
          <w:sz w:val="22"/>
        </w:rPr>
        <w:br/>
      </w:r>
      <w:r w:rsidRPr="009517DD">
        <w:rPr>
          <w:rFonts w:ascii="Calibri" w:hAnsi="Calibri" w:cs="Calibri"/>
          <w:b/>
          <w:sz w:val="22"/>
        </w:rPr>
        <w:t xml:space="preserve">Associated stakeholder (to be confirmed): </w:t>
      </w:r>
      <w:r w:rsidRPr="009517DD">
        <w:rPr>
          <w:rFonts w:ascii="Calibri" w:hAnsi="Calibri" w:cs="Calibri"/>
          <w:sz w:val="22"/>
        </w:rPr>
        <w:t xml:space="preserve">The project aims to identify and engage a municipality of the Brussels-Capital Region (one of the 19 communes) as an institutional partner for the co-design and piloting of the PA dashboard. Preliminary mapping of potential interlocutors is underway, with a focus on communes that have demonstrated varying levels of FOI responsiveness. Should direct municipal engagement prove unfeasible within the project timeline, alternative approaches will be pursued — such as collaboration with regional intermediary bodies or leveraging publicly available administrative data to inform dashboard design. The intended partner would contribute operational insights, validate dashboard design, and pilot the monitoring tool within their administrative workflows. While the PA </w:t>
      </w:r>
      <w:r w:rsidRPr="009517DD">
        <w:rPr>
          <w:rFonts w:ascii="Calibri" w:hAnsi="Calibri" w:cs="Calibri"/>
          <w:sz w:val="22"/>
        </w:rPr>
        <w:lastRenderedPageBreak/>
        <w:t xml:space="preserve">dashboard is envisioned to be co-designed and piloted with a single Brussels commune, its architecture is designed to be scalable —across the 19 municipalities of the Brussels-Capital Region, </w:t>
      </w:r>
      <w:r w:rsidR="00D61514" w:rsidRPr="009517DD">
        <w:rPr>
          <w:rFonts w:ascii="Calibri" w:hAnsi="Calibri" w:cs="Calibri"/>
          <w:sz w:val="22"/>
        </w:rPr>
        <w:t>but</w:t>
      </w:r>
      <w:r w:rsidRPr="009517DD">
        <w:rPr>
          <w:rFonts w:ascii="Calibri" w:hAnsi="Calibri" w:cs="Calibri"/>
          <w:sz w:val="22"/>
        </w:rPr>
        <w:t xml:space="preserve"> potentially</w:t>
      </w:r>
      <w:r w:rsidR="00D61514" w:rsidRPr="009517DD">
        <w:rPr>
          <w:rFonts w:ascii="Calibri" w:hAnsi="Calibri" w:cs="Calibri"/>
          <w:sz w:val="22"/>
        </w:rPr>
        <w:t xml:space="preserve"> also</w:t>
      </w:r>
      <w:r w:rsidRPr="009517DD">
        <w:rPr>
          <w:rFonts w:ascii="Calibri" w:hAnsi="Calibri" w:cs="Calibri"/>
          <w:sz w:val="22"/>
        </w:rPr>
        <w:t xml:space="preserve"> to the broader network of 1,810 public authorities currently indexed on Transparencia.be.</w:t>
      </w:r>
    </w:p>
    <w:p w14:paraId="6280E28C"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62676F49">
          <v:rect id="_x0000_i1031" alt="" style="width:468pt;height:.05pt;mso-width-percent:0;mso-height-percent:0;mso-width-percent:0;mso-height-percent:0" o:hralign="center" o:hrstd="t" o:hr="t"/>
        </w:pict>
      </w:r>
    </w:p>
    <w:p w14:paraId="057FEEB4" w14:textId="77777777" w:rsidR="00076D1A" w:rsidRPr="009517DD" w:rsidRDefault="00000000">
      <w:pPr>
        <w:pStyle w:val="Heading3"/>
        <w:rPr>
          <w:rFonts w:ascii="Calibri" w:hAnsi="Calibri" w:cs="Calibri"/>
          <w:sz w:val="22"/>
          <w:szCs w:val="22"/>
        </w:rPr>
      </w:pPr>
      <w:bookmarkStart w:id="4" w:name="the-problem"/>
      <w:bookmarkEnd w:id="3"/>
      <w:r w:rsidRPr="009517DD">
        <w:rPr>
          <w:rFonts w:ascii="Calibri" w:hAnsi="Calibri" w:cs="Calibri"/>
          <w:sz w:val="22"/>
          <w:szCs w:val="22"/>
        </w:rPr>
        <w:t>3. THE PROBLEM</w:t>
      </w:r>
    </w:p>
    <w:p w14:paraId="17F51AB4" w14:textId="77777777" w:rsidR="00F1245C" w:rsidRPr="009517DD" w:rsidRDefault="009218FE"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hAnsi="Calibri" w:cs="Calibri"/>
          <w:sz w:val="22"/>
          <w:szCs w:val="22"/>
        </w:rPr>
        <w:br/>
      </w:r>
      <w:r w:rsidR="00F1245C" w:rsidRPr="009517DD">
        <w:rPr>
          <w:rFonts w:ascii="Calibri" w:eastAsiaTheme="minorEastAsia" w:hAnsi="Calibri" w:cs="Calibri"/>
          <w:b/>
          <w:bCs/>
          <w:sz w:val="22"/>
          <w:szCs w:val="22"/>
          <w:lang w:eastAsia="zh-CN"/>
        </w:rPr>
        <w:t>Introduction</w:t>
      </w:r>
    </w:p>
    <w:p w14:paraId="310E1E6B" w14:textId="77777777" w:rsidR="00F1245C" w:rsidRPr="009517DD" w:rsidRDefault="00F1245C"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Government transparency refers to the accessibility of public authorities’ actions, decisions, and administrative processes to citizens. It is widely recognized not only as an administrative principle, but as a core pillar of democratic governance and effective public management. By reducing information asymmetries between citizens and public officials, transparency strengthens accountability, enables meaningful oversight, and supports trust in public institutions (Lupia &amp; McCubbins, 1998).</w:t>
      </w:r>
    </w:p>
    <w:p w14:paraId="05B1BD1A"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0EB033D6" w14:textId="77777777" w:rsidR="00F1245C" w:rsidRPr="009517DD" w:rsidRDefault="00F1245C"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Freedom of Information (FOI) laws operationalize this principle by granting citizens a legal right to access government-held information and by imposing corresponding disclosure obligations on administrations. As procedural policy tools, FOI regimes are intended to trigger measurable outputs—such as released documents and processed requests—and broader governance outcomes including improved participation, lower corruption, and increased public trust (Howlett, 2009; Hood &amp; Heald, 2006; Žuffová, 2020; Capano &amp; Howlett, 2021; Rodriguez et al., 2023).</w:t>
      </w:r>
    </w:p>
    <w:p w14:paraId="18C164B9"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4E41C7BA" w14:textId="77777777" w:rsidR="00F1245C" w:rsidRPr="009517DD" w:rsidRDefault="00F1245C"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Yet, international research consistently highlights a gap between de jure transparency and de facto administrative practice. FOI requests are often unanswered, delayed beyond legal deadlines, or handled inconsistently across authorities, revealing persistent challenges in policy implementation at the street-level interface between citizens and administrations (Cuillier, 2010).</w:t>
      </w:r>
    </w:p>
    <w:p w14:paraId="4C97FF17" w14:textId="77777777" w:rsidR="00BD2EC8" w:rsidRPr="009517DD" w:rsidRDefault="00BD2EC8" w:rsidP="00775A60">
      <w:pPr>
        <w:pStyle w:val="NormalWeb"/>
        <w:spacing w:before="0" w:beforeAutospacing="0" w:after="0" w:afterAutospacing="0"/>
        <w:rPr>
          <w:rFonts w:ascii="Calibri" w:eastAsiaTheme="minorEastAsia" w:hAnsi="Calibri" w:cs="Calibri"/>
          <w:sz w:val="22"/>
          <w:szCs w:val="22"/>
          <w:lang w:eastAsia="zh-CN"/>
        </w:rPr>
      </w:pPr>
    </w:p>
    <w:p w14:paraId="7E21EAFF" w14:textId="77777777" w:rsidR="00BD2EC8" w:rsidRPr="009517DD" w:rsidRDefault="00BD2EC8"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This project addresses that implementation gap by transforming real FOI request–response data into analytical dashboards that reveal patterns of administrative responsiveness and enable systematic comparison across authorities.</w:t>
      </w:r>
    </w:p>
    <w:p w14:paraId="76412A13"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3CF81B41" w14:textId="77777777" w:rsidR="00F1245C" w:rsidRPr="009517DD" w:rsidRDefault="00F1245C"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 xml:space="preserve">Belgium offers a particularly relevant case to study this implementation gap: </w:t>
      </w:r>
      <w:r w:rsidR="00BD2EC8" w:rsidRPr="009517DD">
        <w:rPr>
          <w:rFonts w:ascii="Calibri" w:eastAsiaTheme="minorEastAsia" w:hAnsi="Calibri" w:cs="Calibri"/>
          <w:sz w:val="22"/>
          <w:szCs w:val="22"/>
          <w:lang w:eastAsia="zh-CN"/>
        </w:rPr>
        <w:t>despite a long-standing constitutional right to access administrative documents (Article 32</w:t>
      </w:r>
      <w:r w:rsidR="005F05DE" w:rsidRPr="009517DD">
        <w:rPr>
          <w:rFonts w:ascii="Calibri" w:eastAsiaTheme="minorEastAsia" w:hAnsi="Calibri" w:cs="Calibri"/>
          <w:sz w:val="22"/>
          <w:szCs w:val="22"/>
          <w:lang w:eastAsia="zh-CN"/>
        </w:rPr>
        <w:t xml:space="preserve"> </w:t>
      </w:r>
      <w:r w:rsidR="00C30CC4" w:rsidRPr="009517DD">
        <w:rPr>
          <w:rFonts w:ascii="Calibri" w:eastAsiaTheme="minorEastAsia" w:hAnsi="Calibri" w:cs="Calibri"/>
          <w:sz w:val="22"/>
          <w:szCs w:val="22"/>
          <w:lang w:eastAsia="zh-CN"/>
        </w:rPr>
        <w:t>of the Constitution of</w:t>
      </w:r>
      <w:r w:rsidR="00D41525" w:rsidRPr="009517DD">
        <w:rPr>
          <w:rFonts w:ascii="Calibri" w:eastAsiaTheme="minorEastAsia" w:hAnsi="Calibri" w:cs="Calibri"/>
          <w:sz w:val="22"/>
          <w:szCs w:val="22"/>
          <w:lang w:eastAsia="zh-CN"/>
        </w:rPr>
        <w:t xml:space="preserve"> </w:t>
      </w:r>
      <w:r w:rsidR="00BD2EC8" w:rsidRPr="009517DD">
        <w:rPr>
          <w:rFonts w:ascii="Calibri" w:eastAsiaTheme="minorEastAsia" w:hAnsi="Calibri" w:cs="Calibri"/>
          <w:sz w:val="22"/>
          <w:szCs w:val="22"/>
          <w:lang w:eastAsia="zh-CN"/>
        </w:rPr>
        <w:t xml:space="preserve">1994), persistent implementation problems remain insufficiently measured or systematically explained </w:t>
      </w:r>
      <w:r w:rsidR="005F05DE" w:rsidRPr="009517DD">
        <w:rPr>
          <w:rFonts w:ascii="Calibri" w:eastAsiaTheme="minorEastAsia" w:hAnsi="Calibri" w:cs="Calibri"/>
          <w:sz w:val="22"/>
          <w:szCs w:val="22"/>
          <w:lang w:eastAsia="zh-CN"/>
        </w:rPr>
        <w:t>(</w:t>
      </w:r>
      <w:r w:rsidR="00262526" w:rsidRPr="009517DD">
        <w:rPr>
          <w:rFonts w:ascii="Calibri" w:eastAsiaTheme="minorEastAsia" w:hAnsi="Calibri" w:cs="Calibri"/>
          <w:sz w:val="22"/>
          <w:szCs w:val="22"/>
          <w:lang w:eastAsia="zh-CN"/>
        </w:rPr>
        <w:t>Mabillard et al., 2025; Esposito et al., 2024</w:t>
      </w:r>
      <w:r w:rsidR="005F05DE" w:rsidRPr="009517DD">
        <w:rPr>
          <w:rFonts w:ascii="Calibri" w:eastAsiaTheme="minorEastAsia" w:hAnsi="Calibri" w:cs="Calibri"/>
          <w:sz w:val="22"/>
          <w:szCs w:val="22"/>
          <w:lang w:eastAsia="zh-CN"/>
        </w:rPr>
        <w:t>)</w:t>
      </w:r>
      <w:r w:rsidR="00262526" w:rsidRPr="009517DD">
        <w:rPr>
          <w:rFonts w:ascii="Calibri" w:eastAsiaTheme="minorEastAsia" w:hAnsi="Calibri" w:cs="Calibri"/>
          <w:sz w:val="22"/>
          <w:szCs w:val="22"/>
          <w:lang w:eastAsia="zh-CN"/>
        </w:rPr>
        <w:t>.</w:t>
      </w:r>
      <w:r w:rsidR="005F05DE" w:rsidRPr="009517DD">
        <w:rPr>
          <w:rFonts w:ascii="Calibri" w:eastAsiaTheme="minorEastAsia" w:hAnsi="Calibri" w:cs="Calibri"/>
          <w:sz w:val="22"/>
          <w:szCs w:val="22"/>
          <w:lang w:eastAsia="zh-CN"/>
        </w:rPr>
        <w:t xml:space="preserve"> </w:t>
      </w:r>
      <w:r w:rsidR="00BD2EC8" w:rsidRPr="009517DD">
        <w:rPr>
          <w:rFonts w:ascii="Calibri" w:eastAsiaTheme="minorEastAsia" w:hAnsi="Calibri" w:cs="Calibri"/>
          <w:sz w:val="22"/>
          <w:szCs w:val="22"/>
          <w:lang w:eastAsia="zh-CN"/>
        </w:rPr>
        <w:t>These shortcomings affect multiple actors:</w:t>
      </w:r>
      <w:r w:rsidR="00D41525" w:rsidRPr="009517DD">
        <w:rPr>
          <w:rFonts w:ascii="Calibri" w:eastAsiaTheme="minorEastAsia" w:hAnsi="Calibri" w:cs="Calibri"/>
          <w:sz w:val="22"/>
          <w:szCs w:val="22"/>
          <w:lang w:eastAsia="zh-CN"/>
        </w:rPr>
        <w:t xml:space="preserve"> </w:t>
      </w:r>
      <w:r w:rsidR="00BD2EC8" w:rsidRPr="009517DD">
        <w:rPr>
          <w:rFonts w:ascii="Calibri" w:eastAsiaTheme="minorEastAsia" w:hAnsi="Calibri" w:cs="Calibri"/>
          <w:sz w:val="22"/>
          <w:szCs w:val="22"/>
          <w:lang w:eastAsia="zh-CN"/>
        </w:rPr>
        <w:t>citizens seeking information about decisions affecting their lives, journalists investigating matters of public interest, civil society organizations monitoring government activity, administrators lacking procedural guidance, and policymakers operating without systematic evidence.</w:t>
      </w:r>
    </w:p>
    <w:p w14:paraId="153A6C4D"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7D5977B9" w14:textId="77777777" w:rsidR="00E92D05" w:rsidRPr="009517DD" w:rsidRDefault="00F1245C"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Recent scholarship shows that digital FOI platforms—such as AskTheEU and Transparencia.be—create new opportunities to observe real interactions between citizens and public bodies at scale, enabling data-driven evaluation of how transparency rights function in practice (Trautendorfer et al., 2024).</w:t>
      </w:r>
      <w:r w:rsidR="00E92D05" w:rsidRPr="009517DD">
        <w:rPr>
          <w:rFonts w:ascii="Calibri" w:eastAsiaTheme="minorEastAsia" w:hAnsi="Calibri" w:cs="Calibri"/>
          <w:sz w:val="22"/>
          <w:szCs w:val="22"/>
          <w:lang w:eastAsia="zh-CN"/>
        </w:rPr>
        <w:t xml:space="preserve"> </w:t>
      </w:r>
    </w:p>
    <w:p w14:paraId="6C52E56C" w14:textId="77777777" w:rsidR="00E92D05" w:rsidRPr="009517DD" w:rsidRDefault="00F1245C" w:rsidP="00775A60">
      <w:pPr>
        <w:rPr>
          <w:rFonts w:ascii="Calibri" w:hAnsi="Calibri" w:cs="Calibri"/>
        </w:rPr>
      </w:pPr>
      <w:r w:rsidRPr="009517DD">
        <w:rPr>
          <w:rFonts w:ascii="Calibri" w:hAnsi="Calibri" w:cs="Calibri"/>
          <w:sz w:val="22"/>
          <w:szCs w:val="22"/>
        </w:rPr>
        <w:t xml:space="preserve">While computational text analysis has been applied to FOI request content for topic identification and to FOI response documents for processing assistance, the systematic analysis of FOI request–response interactions as textual indicators of administrative responsiveness remains largely unexplored. Moreover, no existing study has leveraged the standardized data infrastructure of platforms such as Alaveteli — which underpins Transparencia.be, WhatDoTheyKnow, AskTheEU, and MaDada — to build </w:t>
      </w:r>
      <w:r w:rsidRPr="009517DD">
        <w:rPr>
          <w:rFonts w:ascii="Calibri" w:hAnsi="Calibri" w:cs="Calibri"/>
          <w:sz w:val="22"/>
          <w:szCs w:val="22"/>
        </w:rPr>
        <w:lastRenderedPageBreak/>
        <w:t>an automated, AI-assisted analytical pipeline capable of extracting comparable findings across jurisdictions under human supervision.</w:t>
      </w:r>
    </w:p>
    <w:p w14:paraId="43384BC2"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61BF1E20" w14:textId="77777777" w:rsidR="009046C1" w:rsidRPr="009517DD" w:rsidRDefault="009046C1"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This project does not seek to replicate existing FOI portals, but to complement and extend their function. While current platforms facilitate the submission and publication of requests, they are not designed to systematically analyze these interactions or to place them in a comparative perspective. Our objective is to develop a dashboard that aggregates FOI request data and, through NLP-based analysis, extracts structured information on themes, timelines,</w:t>
      </w:r>
      <w:r w:rsidR="00E92D05" w:rsidRPr="009517DD">
        <w:rPr>
          <w:rFonts w:ascii="Calibri" w:eastAsiaTheme="minorEastAsia" w:hAnsi="Calibri" w:cs="Calibri"/>
          <w:sz w:val="22"/>
          <w:szCs w:val="22"/>
          <w:lang w:eastAsia="zh-CN"/>
        </w:rPr>
        <w:t xml:space="preserve"> </w:t>
      </w:r>
      <w:r w:rsidRPr="009517DD">
        <w:rPr>
          <w:rFonts w:ascii="Calibri" w:eastAsiaTheme="minorEastAsia" w:hAnsi="Calibri" w:cs="Calibri"/>
          <w:sz w:val="22"/>
          <w:szCs w:val="22"/>
          <w:lang w:eastAsia="zh-CN"/>
        </w:rPr>
        <w:t>responsiveness, and outcomes</w:t>
      </w:r>
      <w:r w:rsidR="00164B99" w:rsidRPr="009517DD">
        <w:rPr>
          <w:rFonts w:ascii="Calibri" w:eastAsiaTheme="minorEastAsia" w:hAnsi="Calibri" w:cs="Calibri"/>
          <w:sz w:val="22"/>
          <w:szCs w:val="22"/>
          <w:lang w:eastAsia="zh-CN"/>
        </w:rPr>
        <w:t>.</w:t>
      </w:r>
    </w:p>
    <w:p w14:paraId="7BF3AADB"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4DEE8FB7" w14:textId="77777777" w:rsidR="005C2FA8" w:rsidRPr="009517DD" w:rsidRDefault="009046C1"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 xml:space="preserve">The project will produce two main outputs. </w:t>
      </w:r>
      <w:r w:rsidRPr="009517DD">
        <w:rPr>
          <w:rFonts w:ascii="Calibri" w:eastAsiaTheme="minorEastAsia" w:hAnsi="Calibri" w:cs="Calibri"/>
          <w:b/>
          <w:bCs/>
          <w:sz w:val="22"/>
          <w:szCs w:val="22"/>
          <w:lang w:eastAsia="zh-CN"/>
        </w:rPr>
        <w:t>The first</w:t>
      </w:r>
      <w:r w:rsidRPr="009517DD">
        <w:rPr>
          <w:rFonts w:ascii="Calibri" w:eastAsiaTheme="minorEastAsia" w:hAnsi="Calibri" w:cs="Calibri"/>
          <w:sz w:val="22"/>
          <w:szCs w:val="22"/>
          <w:lang w:eastAsia="zh-CN"/>
        </w:rPr>
        <w:t xml:space="preserve"> is a public-facing dashboard </w:t>
      </w:r>
      <w:r w:rsidR="00164B99" w:rsidRPr="009517DD">
        <w:rPr>
          <w:rFonts w:ascii="Calibri" w:eastAsiaTheme="minorEastAsia" w:hAnsi="Calibri" w:cs="Calibri"/>
          <w:sz w:val="22"/>
          <w:szCs w:val="22"/>
          <w:lang w:eastAsia="zh-CN"/>
        </w:rPr>
        <w:t xml:space="preserve">that would be hosted in Transparencia.be’s FOI platform, </w:t>
      </w:r>
      <w:r w:rsidRPr="009517DD">
        <w:rPr>
          <w:rFonts w:ascii="Calibri" w:eastAsiaTheme="minorEastAsia" w:hAnsi="Calibri" w:cs="Calibri"/>
          <w:sz w:val="22"/>
          <w:szCs w:val="22"/>
          <w:lang w:eastAsia="zh-CN"/>
        </w:rPr>
        <w:t xml:space="preserve">intended for citizens, NGOs, journalists, and advocacy actors, designed to make transparency practices more intelligible and accessible. </w:t>
      </w:r>
      <w:r w:rsidRPr="009517DD">
        <w:rPr>
          <w:rFonts w:ascii="Calibri" w:eastAsiaTheme="minorEastAsia" w:hAnsi="Calibri" w:cs="Calibri"/>
          <w:b/>
          <w:bCs/>
          <w:sz w:val="22"/>
          <w:szCs w:val="22"/>
          <w:lang w:eastAsia="zh-CN"/>
        </w:rPr>
        <w:t>The second</w:t>
      </w:r>
      <w:r w:rsidRPr="009517DD">
        <w:rPr>
          <w:rFonts w:ascii="Calibri" w:eastAsiaTheme="minorEastAsia" w:hAnsi="Calibri" w:cs="Calibri"/>
          <w:sz w:val="22"/>
          <w:szCs w:val="22"/>
          <w:lang w:eastAsia="zh-CN"/>
        </w:rPr>
        <w:t xml:space="preserve"> is a dedicated interface for public administrations, presenting the same data </w:t>
      </w:r>
      <w:r w:rsidR="00164B99" w:rsidRPr="009517DD">
        <w:rPr>
          <w:rFonts w:ascii="Calibri" w:eastAsiaTheme="minorEastAsia" w:hAnsi="Calibri" w:cs="Calibri"/>
          <w:sz w:val="22"/>
          <w:szCs w:val="22"/>
          <w:lang w:eastAsia="zh-CN"/>
        </w:rPr>
        <w:t>to support performance monitoring, procedural consistency, and service improvement. It will enable administrations to track their responsiveness and gain insights into the factors that hinder or enhance their performance</w:t>
      </w:r>
      <w:r w:rsidRPr="009517DD">
        <w:rPr>
          <w:rFonts w:ascii="Calibri" w:eastAsiaTheme="minorEastAsia" w:hAnsi="Calibri" w:cs="Calibri"/>
          <w:sz w:val="22"/>
          <w:szCs w:val="22"/>
          <w:lang w:eastAsia="zh-CN"/>
        </w:rPr>
        <w:t>.</w:t>
      </w:r>
      <w:r w:rsidR="00164B99" w:rsidRPr="009517DD">
        <w:rPr>
          <w:rFonts w:ascii="Calibri" w:eastAsiaTheme="minorEastAsia" w:hAnsi="Calibri" w:cs="Calibri"/>
          <w:sz w:val="22"/>
          <w:szCs w:val="22"/>
          <w:lang w:eastAsia="zh-CN"/>
        </w:rPr>
        <w:t xml:space="preserve"> </w:t>
      </w:r>
    </w:p>
    <w:p w14:paraId="540C3892"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73E311C0" w14:textId="77777777" w:rsidR="009046C1" w:rsidRPr="009517DD" w:rsidRDefault="00164B99"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Through our partnership with </w:t>
      </w:r>
      <w:r w:rsidR="00E94614" w:rsidRPr="009517DD">
        <w:rPr>
          <w:rFonts w:ascii="Calibri" w:eastAsiaTheme="minorEastAsia" w:hAnsi="Calibri" w:cs="Calibri"/>
          <w:sz w:val="22"/>
          <w:szCs w:val="22"/>
          <w:lang w:eastAsia="zh-CN"/>
        </w:rPr>
        <w:t>mySociety</w:t>
      </w:r>
      <w:r w:rsidRPr="009517DD">
        <w:rPr>
          <w:rFonts w:ascii="Calibri" w:eastAsiaTheme="minorEastAsia" w:hAnsi="Calibri" w:cs="Calibri"/>
          <w:sz w:val="22"/>
          <w:szCs w:val="22"/>
          <w:lang w:eastAsia="zh-CN"/>
        </w:rPr>
        <w:t xml:space="preserve"> providing access to datasets from other Alaveteli-based platforms</w:t>
      </w:r>
      <w:r w:rsidR="00AD56D2" w:rsidRPr="009517DD">
        <w:rPr>
          <w:rFonts w:ascii="Calibri" w:eastAsiaTheme="minorEastAsia" w:hAnsi="Calibri" w:cs="Calibri"/>
          <w:sz w:val="22"/>
          <w:szCs w:val="22"/>
          <w:lang w:eastAsia="zh-CN"/>
        </w:rPr>
        <w:t xml:space="preserve"> beyond the already provided dataset of Transparencia.be during a previous period of collaboration,</w:t>
      </w:r>
      <w:r w:rsidRPr="009517DD">
        <w:rPr>
          <w:rFonts w:ascii="Calibri" w:eastAsiaTheme="minorEastAsia" w:hAnsi="Calibri" w:cs="Calibri"/>
          <w:sz w:val="22"/>
          <w:szCs w:val="22"/>
          <w:lang w:eastAsia="zh-CN"/>
        </w:rPr>
        <w:t xml:space="preserve"> such as AskTheEU and MaDada, we aim to design these dashboards not as isolated tools but as part of a system that leverages </w:t>
      </w:r>
      <w:r w:rsidR="005C2FA8" w:rsidRPr="009517DD">
        <w:rPr>
          <w:rFonts w:ascii="Calibri" w:eastAsiaTheme="minorEastAsia" w:hAnsi="Calibri" w:cs="Calibri"/>
          <w:sz w:val="22"/>
          <w:szCs w:val="22"/>
          <w:lang w:eastAsia="zh-CN"/>
        </w:rPr>
        <w:t xml:space="preserve">to the fullest extent the possibilities of comparison that the data allow, </w:t>
      </w:r>
      <w:r w:rsidRPr="009517DD">
        <w:rPr>
          <w:rFonts w:ascii="Calibri" w:eastAsiaTheme="minorEastAsia" w:hAnsi="Calibri" w:cs="Calibri"/>
          <w:sz w:val="22"/>
          <w:szCs w:val="22"/>
          <w:lang w:eastAsia="zh-CN"/>
        </w:rPr>
        <w:t>revealing variations in FOI implementation that would otherwise remain invisible across administrations, request types, and procedural outcomes.</w:t>
      </w:r>
    </w:p>
    <w:p w14:paraId="692CF559" w14:textId="77777777" w:rsidR="00775A60" w:rsidRPr="009517DD" w:rsidRDefault="00775A60" w:rsidP="00775A60">
      <w:pPr>
        <w:pStyle w:val="NormalWeb"/>
        <w:spacing w:before="0" w:beforeAutospacing="0" w:after="0" w:afterAutospacing="0"/>
        <w:rPr>
          <w:rFonts w:ascii="Calibri" w:eastAsiaTheme="minorEastAsia" w:hAnsi="Calibri" w:cs="Calibri"/>
          <w:sz w:val="22"/>
          <w:szCs w:val="22"/>
          <w:lang w:eastAsia="zh-CN"/>
        </w:rPr>
      </w:pPr>
    </w:p>
    <w:p w14:paraId="7CCD483F" w14:textId="77777777" w:rsidR="009046C1" w:rsidRPr="009517DD" w:rsidRDefault="009046C1" w:rsidP="00775A60">
      <w:pPr>
        <w:pStyle w:val="NormalWeb"/>
        <w:spacing w:before="0" w:beforeAutospacing="0" w:after="0" w:afterAutospacing="0"/>
        <w:rPr>
          <w:rFonts w:ascii="Calibri" w:eastAsiaTheme="minorEastAsia" w:hAnsi="Calibri" w:cs="Calibri"/>
          <w:sz w:val="22"/>
          <w:szCs w:val="22"/>
          <w:lang w:eastAsia="zh-CN"/>
        </w:rPr>
      </w:pPr>
      <w:r w:rsidRPr="009517DD">
        <w:rPr>
          <w:rFonts w:ascii="Calibri" w:eastAsiaTheme="minorEastAsia" w:hAnsi="Calibri" w:cs="Calibri"/>
          <w:sz w:val="22"/>
          <w:szCs w:val="22"/>
          <w:lang w:eastAsia="zh-CN"/>
        </w:rPr>
        <w:t>This comparative dimension constitutes a key innovation: rather than examining requests individually, the project transforms dispersed exchanges into harmonized, cross-context evidence. In doing so, it reveals variations in implementation that would otherwise remain invisible and supports evaluation, accountability, and the development of innovative solutions for the practical realization of the right to information.</w:t>
      </w:r>
    </w:p>
    <w:p w14:paraId="6A598ED2" w14:textId="77777777" w:rsidR="00D41525" w:rsidRPr="009517DD" w:rsidRDefault="000C3C8A" w:rsidP="002625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b/>
          <w:bCs/>
          <w:sz w:val="22"/>
          <w:szCs w:val="22"/>
        </w:rPr>
      </w:pPr>
      <w:r w:rsidRPr="009517DD">
        <w:rPr>
          <w:rFonts w:ascii="Calibri" w:hAnsi="Calibri" w:cs="Calibri"/>
          <w:sz w:val="22"/>
          <w:szCs w:val="22"/>
        </w:rPr>
        <w:br/>
      </w:r>
      <w:r w:rsidRPr="009517DD">
        <w:rPr>
          <w:rFonts w:ascii="Calibri" w:hAnsi="Calibri" w:cs="Calibri"/>
          <w:sz w:val="22"/>
          <w:szCs w:val="22"/>
        </w:rPr>
        <w:br/>
      </w:r>
      <w:r w:rsidRPr="009517DD">
        <w:rPr>
          <w:rFonts w:ascii="Calibri" w:hAnsi="Calibri" w:cs="Calibri"/>
          <w:b/>
          <w:bCs/>
          <w:sz w:val="22"/>
          <w:szCs w:val="22"/>
        </w:rPr>
        <w:t>References</w:t>
      </w:r>
      <w:r w:rsidR="00D41525" w:rsidRPr="009517DD">
        <w:rPr>
          <w:rFonts w:ascii="Calibri" w:hAnsi="Calibri" w:cs="Calibri"/>
          <w:b/>
          <w:bCs/>
          <w:sz w:val="22"/>
          <w:szCs w:val="22"/>
        </w:rPr>
        <w:t xml:space="preserve"> </w:t>
      </w:r>
    </w:p>
    <w:p w14:paraId="08C90AC0" w14:textId="77777777" w:rsidR="00AD56D2" w:rsidRPr="009517DD" w:rsidRDefault="00AD56D2">
      <w:pPr>
        <w:rPr>
          <w:rFonts w:ascii="Calibri" w:hAnsi="Calibri" w:cs="Calibri"/>
        </w:rPr>
      </w:pPr>
    </w:p>
    <w:p w14:paraId="23AE0FEA" w14:textId="77777777" w:rsidR="005C7D04" w:rsidRPr="009517DD" w:rsidRDefault="00000000">
      <w:pPr>
        <w:rPr>
          <w:rFonts w:ascii="Calibri" w:hAnsi="Calibri" w:cs="Calibri"/>
        </w:rPr>
      </w:pPr>
      <w:r w:rsidRPr="009517DD">
        <w:rPr>
          <w:rFonts w:ascii="Calibri" w:hAnsi="Calibri" w:cs="Calibri"/>
          <w:sz w:val="22"/>
        </w:rPr>
        <w:t>1. Capano, G., &amp; Howlett, M. (2021). "Causal logics and mechanisms in policy design: How and why adopting a mechanistic perspective can improve policy design." Public Policy and Administration, 36(2), 141–162. https://doi.org/10.1177/0952076719827068</w:t>
      </w:r>
    </w:p>
    <w:p w14:paraId="67A54545" w14:textId="77777777" w:rsidR="005C7D04" w:rsidRPr="009517DD" w:rsidRDefault="00000000">
      <w:pPr>
        <w:rPr>
          <w:rFonts w:ascii="Calibri" w:hAnsi="Calibri" w:cs="Calibri"/>
        </w:rPr>
      </w:pPr>
      <w:r w:rsidRPr="009517DD">
        <w:rPr>
          <w:rFonts w:ascii="Calibri" w:hAnsi="Calibri" w:cs="Calibri"/>
          <w:sz w:val="22"/>
        </w:rPr>
        <w:t>2. Cuillier, D. (2010). "Pressed for time: U.S. journalists' use of freedom of information laws." Communication Law and Policy, 15(3), 203–229.</w:t>
      </w:r>
    </w:p>
    <w:p w14:paraId="4A5F49EC" w14:textId="77777777" w:rsidR="005C7D04" w:rsidRPr="009517DD" w:rsidRDefault="00000000">
      <w:pPr>
        <w:rPr>
          <w:rFonts w:ascii="Calibri" w:hAnsi="Calibri" w:cs="Calibri"/>
        </w:rPr>
      </w:pPr>
      <w:r w:rsidRPr="009517DD">
        <w:rPr>
          <w:rFonts w:ascii="Calibri" w:hAnsi="Calibri" w:cs="Calibri"/>
          <w:sz w:val="22"/>
        </w:rPr>
        <w:t>3. Esposito, G., Cicatiello, L., Mabillard, V., &amp; Gaeta, G.L. (2024). "Toward a citizen science framework for public policy evaluation: Lessons from a field experiment on Freedom of Information laws in Belgium." Evaluation, 30(4), 464-487.</w:t>
      </w:r>
    </w:p>
    <w:p w14:paraId="44A3C51E" w14:textId="77777777" w:rsidR="005C7D04" w:rsidRPr="009517DD" w:rsidRDefault="00000000">
      <w:pPr>
        <w:rPr>
          <w:rFonts w:ascii="Calibri" w:hAnsi="Calibri" w:cs="Calibri"/>
        </w:rPr>
      </w:pPr>
      <w:r w:rsidRPr="009517DD">
        <w:rPr>
          <w:rFonts w:ascii="Calibri" w:hAnsi="Calibri" w:cs="Calibri"/>
          <w:sz w:val="22"/>
        </w:rPr>
        <w:t>4. Hood, C., &amp; Heald, D. (Eds.). (2006). Transparency: The key to better governance? (Proceedings of the British Academy, Vol. 135). Oxford University Press.</w:t>
      </w:r>
    </w:p>
    <w:p w14:paraId="59CDD654" w14:textId="77777777" w:rsidR="005C7D04" w:rsidRPr="009517DD" w:rsidRDefault="00000000">
      <w:pPr>
        <w:rPr>
          <w:rFonts w:ascii="Calibri" w:hAnsi="Calibri" w:cs="Calibri"/>
        </w:rPr>
      </w:pPr>
      <w:r w:rsidRPr="009517DD">
        <w:rPr>
          <w:rFonts w:ascii="Calibri" w:hAnsi="Calibri" w:cs="Calibri"/>
          <w:sz w:val="22"/>
        </w:rPr>
        <w:lastRenderedPageBreak/>
        <w:t>5. Howlett, M. (2009). "Governance modes, policy regimes and operational plans: A multi-level nested model of policy instrument choice and policy design." Policy Sciences, 42(1), 73–89. https://doi.org/10.1007/s11077-009-9079-1</w:t>
      </w:r>
    </w:p>
    <w:p w14:paraId="48A44AD4" w14:textId="77777777" w:rsidR="005C7D04" w:rsidRPr="009517DD" w:rsidRDefault="00000000">
      <w:pPr>
        <w:rPr>
          <w:rFonts w:ascii="Calibri" w:hAnsi="Calibri" w:cs="Calibri"/>
          <w:lang w:val="it-IT"/>
        </w:rPr>
      </w:pPr>
      <w:r w:rsidRPr="009517DD">
        <w:rPr>
          <w:rFonts w:ascii="Calibri" w:hAnsi="Calibri" w:cs="Calibri"/>
          <w:sz w:val="22"/>
        </w:rPr>
        <w:t xml:space="preserve">6. Lupia, A., &amp; McCubbins, M. D. (1998). The democratic dilemma: Can citizens learn what they need to know? </w:t>
      </w:r>
      <w:r w:rsidRPr="009517DD">
        <w:rPr>
          <w:rFonts w:ascii="Calibri" w:hAnsi="Calibri" w:cs="Calibri"/>
          <w:sz w:val="22"/>
          <w:lang w:val="it-IT"/>
        </w:rPr>
        <w:t>Cambridge University Press.</w:t>
      </w:r>
    </w:p>
    <w:p w14:paraId="61D77996" w14:textId="77777777" w:rsidR="005C7D04" w:rsidRPr="009517DD" w:rsidRDefault="00000000">
      <w:pPr>
        <w:rPr>
          <w:rFonts w:ascii="Calibri" w:hAnsi="Calibri" w:cs="Calibri"/>
        </w:rPr>
      </w:pPr>
      <w:r w:rsidRPr="009517DD">
        <w:rPr>
          <w:rFonts w:ascii="Calibri" w:hAnsi="Calibri" w:cs="Calibri"/>
          <w:sz w:val="22"/>
          <w:lang w:val="it-IT"/>
        </w:rPr>
        <w:t xml:space="preserve">7. Mabillard, V., Esposito, G., Cicatiello, L., Gaeta, G.L., &amp; Pasquier, M. (2025). </w:t>
      </w:r>
      <w:r w:rsidRPr="009517DD">
        <w:rPr>
          <w:rFonts w:ascii="Calibri" w:hAnsi="Calibri" w:cs="Calibri"/>
          <w:sz w:val="22"/>
        </w:rPr>
        <w:t>"Barriers to freedom of information – Insights from Belgium." International Journal of Public Administration (IJPA).</w:t>
      </w:r>
    </w:p>
    <w:p w14:paraId="22604FC7" w14:textId="77777777" w:rsidR="005C7D04" w:rsidRPr="009517DD" w:rsidRDefault="00000000">
      <w:pPr>
        <w:rPr>
          <w:rFonts w:ascii="Calibri" w:hAnsi="Calibri" w:cs="Calibri"/>
        </w:rPr>
      </w:pPr>
      <w:r w:rsidRPr="009517DD">
        <w:rPr>
          <w:rFonts w:ascii="Calibri" w:hAnsi="Calibri" w:cs="Calibri"/>
          <w:sz w:val="22"/>
        </w:rPr>
        <w:t>8. Trautendorfer, J., Hohensinn, L., &amp; Hilgers, D. (2024). "From de jure to de facto transparency: Analyzing the compliance gap in light of freedom of information laws." Regulation &amp; Governance, 19(1), 253–283. https://doi.org/10.1111/rego.12615</w:t>
      </w:r>
    </w:p>
    <w:p w14:paraId="63E1486D" w14:textId="77777777" w:rsidR="005C7D04" w:rsidRPr="009517DD" w:rsidRDefault="00000000">
      <w:pPr>
        <w:rPr>
          <w:rFonts w:ascii="Calibri" w:hAnsi="Calibri" w:cs="Calibri"/>
        </w:rPr>
      </w:pPr>
      <w:r w:rsidRPr="009517DD">
        <w:rPr>
          <w:rFonts w:ascii="Calibri" w:hAnsi="Calibri" w:cs="Calibri"/>
          <w:sz w:val="22"/>
        </w:rPr>
        <w:t>9. Žuffová, M. (2020). "Do FOI laws and open government data deliver as anti-corruption policies? Evidence from a cross-country study." Government Information Quarterly, 37(3), 101480. https://doi.org/10.1016/j.giq.2020.101480</w:t>
      </w:r>
    </w:p>
    <w:p w14:paraId="54A47435" w14:textId="77777777" w:rsidR="005C7D04" w:rsidRPr="009517DD" w:rsidRDefault="00000000">
      <w:pPr>
        <w:rPr>
          <w:rFonts w:ascii="Calibri" w:hAnsi="Calibri" w:cs="Calibri"/>
          <w:lang w:val="it-IT"/>
        </w:rPr>
      </w:pPr>
      <w:r w:rsidRPr="009517DD">
        <w:rPr>
          <w:rFonts w:ascii="Calibri" w:hAnsi="Calibri" w:cs="Calibri"/>
          <w:sz w:val="22"/>
          <w:lang w:val="it-IT"/>
        </w:rPr>
        <w:t xml:space="preserve">10. </w:t>
      </w:r>
      <w:r w:rsidRPr="009517DD">
        <w:rPr>
          <w:rFonts w:ascii="Calibri" w:hAnsi="Calibri" w:cs="Calibri"/>
          <w:sz w:val="22"/>
          <w:highlight w:val="yellow"/>
          <w:lang w:val="it-IT"/>
        </w:rPr>
        <w:t>[DA CONFERMARE]</w:t>
      </w:r>
      <w:r w:rsidRPr="009517DD">
        <w:rPr>
          <w:rFonts w:ascii="Calibri" w:hAnsi="Calibri" w:cs="Calibri"/>
          <w:sz w:val="22"/>
          <w:lang w:val="it-IT"/>
        </w:rPr>
        <w:t xml:space="preserve"> Piñeiro Rodríguez, R., Muñoz, P., Rosenblatt, F., Rossel, C., Scrollini, F., &amp; Tealde, E. (2023). </w:t>
      </w:r>
      <w:r w:rsidRPr="009517DD">
        <w:rPr>
          <w:rFonts w:ascii="Calibri" w:hAnsi="Calibri" w:cs="Calibri"/>
          <w:sz w:val="22"/>
        </w:rPr>
        <w:t xml:space="preserve">"How the exercise of the right to information (RTI) affects trust in political institutions." </w:t>
      </w:r>
      <w:r w:rsidRPr="009517DD">
        <w:rPr>
          <w:rFonts w:ascii="Calibri" w:hAnsi="Calibri" w:cs="Calibri"/>
          <w:sz w:val="22"/>
          <w:lang w:val="it-IT"/>
        </w:rPr>
        <w:t>Government Information Quarterly, 40(4), 101838. https://doi.org/10.1016/j.giq.2023.101838</w:t>
      </w:r>
    </w:p>
    <w:p w14:paraId="440B03B3" w14:textId="360B366E" w:rsidR="005C7D04" w:rsidRPr="009517DD" w:rsidRDefault="00000000">
      <w:pPr>
        <w:rPr>
          <w:rFonts w:ascii="Calibri" w:hAnsi="Calibri" w:cs="Calibri"/>
          <w:lang w:val="it-IT"/>
        </w:rPr>
      </w:pPr>
      <w:r w:rsidRPr="009517DD">
        <w:rPr>
          <w:rFonts w:ascii="Calibri" w:hAnsi="Calibri" w:cs="Calibri"/>
          <w:i/>
          <w:sz w:val="22"/>
          <w:highlight w:val="yellow"/>
          <w:lang w:val="it-IT"/>
        </w:rPr>
        <w:t>[NOTA: Il primo autore si chiama "Piñeiro Rodríguez" (doppio cognome spagnolo)</w:t>
      </w:r>
      <w:r w:rsidR="003010D5" w:rsidRPr="009517DD">
        <w:rPr>
          <w:rFonts w:ascii="Calibri" w:hAnsi="Calibri" w:cs="Calibri"/>
          <w:i/>
          <w:sz w:val="22"/>
          <w:highlight w:val="yellow"/>
          <w:lang w:val="it-IT"/>
        </w:rPr>
        <w:t>, non sono certo di questa reference</w:t>
      </w:r>
      <w:r w:rsidRPr="009517DD">
        <w:rPr>
          <w:rFonts w:ascii="Calibri" w:hAnsi="Calibri" w:cs="Calibri"/>
          <w:i/>
          <w:sz w:val="22"/>
          <w:highlight w:val="yellow"/>
          <w:lang w:val="it-IT"/>
        </w:rPr>
        <w:t xml:space="preserve">. Da </w:t>
      </w:r>
      <w:r w:rsidR="00B52BFE" w:rsidRPr="009517DD">
        <w:rPr>
          <w:rFonts w:ascii="Calibri" w:hAnsi="Calibri" w:cs="Calibri"/>
          <w:i/>
          <w:sz w:val="22"/>
          <w:highlight w:val="yellow"/>
          <w:lang w:val="it-IT"/>
        </w:rPr>
        <w:t>confermare</w:t>
      </w:r>
      <w:r w:rsidRPr="009517DD">
        <w:rPr>
          <w:rFonts w:ascii="Calibri" w:hAnsi="Calibri" w:cs="Calibri"/>
          <w:i/>
          <w:sz w:val="22"/>
          <w:highlight w:val="yellow"/>
          <w:lang w:val="it-IT"/>
        </w:rPr>
        <w:t>.]</w:t>
      </w:r>
    </w:p>
    <w:p w14:paraId="7599B9D3" w14:textId="77777777" w:rsidR="005C7D04" w:rsidRPr="009517DD" w:rsidRDefault="005C7D04">
      <w:pPr>
        <w:rPr>
          <w:rFonts w:ascii="Calibri" w:hAnsi="Calibri" w:cs="Calibri"/>
          <w:lang w:val="it-IT"/>
        </w:rPr>
      </w:pPr>
    </w:p>
    <w:p w14:paraId="257ABEA7" w14:textId="77777777" w:rsidR="00076D1A" w:rsidRPr="009517DD" w:rsidRDefault="00000000">
      <w:pPr>
        <w:pStyle w:val="Heading3"/>
        <w:rPr>
          <w:rFonts w:ascii="Calibri" w:hAnsi="Calibri" w:cs="Calibri"/>
          <w:sz w:val="22"/>
          <w:szCs w:val="22"/>
        </w:rPr>
      </w:pPr>
      <w:bookmarkStart w:id="5" w:name="research-questions"/>
      <w:bookmarkEnd w:id="4"/>
      <w:r w:rsidRPr="009517DD">
        <w:rPr>
          <w:rFonts w:ascii="Calibri" w:hAnsi="Calibri" w:cs="Calibri"/>
          <w:sz w:val="22"/>
          <w:szCs w:val="22"/>
        </w:rPr>
        <w:t>4. RESEARCH QUESTIONS</w:t>
      </w:r>
    </w:p>
    <w:p w14:paraId="70F0CED4" w14:textId="77777777" w:rsidR="00076D1A" w:rsidRPr="009517DD" w:rsidRDefault="00BD2EC8" w:rsidP="00BC1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How can FOI request–response data be transformed into actionable transparency metrics for citizens and public administrations?</w:t>
      </w:r>
      <w:r w:rsidR="002E3B93" w:rsidRPr="002E3B93">
        <w:rPr>
          <w:rFonts w:ascii="Calibri" w:hAnsi="Calibri" w:cs="Calibri"/>
          <w:noProof/>
          <w:color w:val="000000"/>
          <w:sz w:val="22"/>
          <w:szCs w:val="22"/>
        </w:rPr>
        <w:pict w14:anchorId="15575173">
          <v:rect id="_x0000_i1030" alt="" style="width:468pt;height:.05pt;mso-width-percent:0;mso-height-percent:0;mso-width-percent:0;mso-height-percent:0" o:hralign="center" o:hrstd="t" o:hr="t"/>
        </w:pict>
      </w:r>
    </w:p>
    <w:p w14:paraId="613B83C4" w14:textId="77777777" w:rsidR="00B152E4" w:rsidRPr="009517DD" w:rsidRDefault="00B152E4">
      <w:pPr>
        <w:rPr>
          <w:rFonts w:ascii="Calibri" w:hAnsi="Calibri" w:cs="Calibri"/>
        </w:rPr>
      </w:pPr>
    </w:p>
    <w:p w14:paraId="433ACD7F" w14:textId="77777777" w:rsidR="00B152E4" w:rsidRPr="009517DD" w:rsidRDefault="00000000">
      <w:pPr>
        <w:rPr>
          <w:rFonts w:ascii="Calibri" w:hAnsi="Calibri" w:cs="Calibri"/>
        </w:rPr>
      </w:pPr>
      <w:r w:rsidRPr="009517DD">
        <w:rPr>
          <w:rFonts w:ascii="Calibri" w:hAnsi="Calibri" w:cs="Calibri"/>
          <w:sz w:val="22"/>
        </w:rPr>
        <w:t>RQ1. What factors predict FOI responsiveness? To what extent do request characteristics (topic, sentiment, length), requester profile (e.g., sex), and authority characteristics (e.g., type, responding officer sex) explain variation in FOI outcomes?</w:t>
      </w:r>
    </w:p>
    <w:p w14:paraId="41EA4C11" w14:textId="77777777" w:rsidR="00B152E4" w:rsidRPr="009517DD" w:rsidRDefault="00000000">
      <w:pPr>
        <w:rPr>
          <w:rFonts w:ascii="Calibri" w:hAnsi="Calibri" w:cs="Calibri"/>
        </w:rPr>
      </w:pPr>
      <w:r w:rsidRPr="009517DD">
        <w:rPr>
          <w:rFonts w:ascii="Calibri" w:hAnsi="Calibri" w:cs="Calibri"/>
          <w:sz w:val="22"/>
        </w:rPr>
        <w:t>RQ2. How do citizens’ information needs — as revealed through FOI requests — vary across topics, and what do these patterns reveal about the accountability-seeking function of FOI?</w:t>
      </w:r>
    </w:p>
    <w:p w14:paraId="5474F43A" w14:textId="77777777" w:rsidR="00B152E4" w:rsidRPr="009517DD" w:rsidRDefault="00000000">
      <w:pPr>
        <w:rPr>
          <w:rFonts w:ascii="Calibri" w:hAnsi="Calibri" w:cs="Calibri"/>
        </w:rPr>
      </w:pPr>
      <w:r w:rsidRPr="009517DD">
        <w:rPr>
          <w:rFonts w:ascii="Calibri" w:hAnsi="Calibri" w:cs="Calibri"/>
          <w:sz w:val="22"/>
        </w:rPr>
        <w:t>RQ3. What information do public administrations need to monitor and improve their own FOI responsiveness, and how should it be presented?</w:t>
      </w:r>
    </w:p>
    <w:p w14:paraId="25CA3CEC" w14:textId="77777777" w:rsidR="00B152E4" w:rsidRPr="009517DD" w:rsidRDefault="00000000">
      <w:pPr>
        <w:rPr>
          <w:rFonts w:ascii="Calibri" w:hAnsi="Calibri" w:cs="Calibri"/>
        </w:rPr>
      </w:pPr>
      <w:r w:rsidRPr="009517DD">
        <w:rPr>
          <w:rFonts w:ascii="Calibri" w:hAnsi="Calibri" w:cs="Calibri"/>
          <w:sz w:val="22"/>
        </w:rPr>
        <w:t>RQ4. To what extent are FOI responsiveness patterns comparable across different administrative contexts and digital platforms?</w:t>
      </w:r>
    </w:p>
    <w:p w14:paraId="5A8FFA22" w14:textId="77777777" w:rsidR="00B152E4" w:rsidRPr="009517DD" w:rsidRDefault="00B152E4">
      <w:pPr>
        <w:rPr>
          <w:rFonts w:ascii="Calibri" w:hAnsi="Calibri" w:cs="Calibri"/>
        </w:rPr>
      </w:pPr>
    </w:p>
    <w:p w14:paraId="607BC05E" w14:textId="77777777" w:rsidR="00076D1A" w:rsidRPr="009517DD" w:rsidRDefault="00000000">
      <w:pPr>
        <w:pStyle w:val="Heading3"/>
        <w:rPr>
          <w:rFonts w:ascii="Calibri" w:hAnsi="Calibri" w:cs="Calibri"/>
          <w:sz w:val="22"/>
          <w:szCs w:val="22"/>
        </w:rPr>
      </w:pPr>
      <w:bookmarkStart w:id="6" w:name="approach-methodology"/>
      <w:bookmarkEnd w:id="5"/>
      <w:r w:rsidRPr="009517DD">
        <w:rPr>
          <w:rFonts w:ascii="Calibri" w:hAnsi="Calibri" w:cs="Calibri"/>
          <w:sz w:val="22"/>
          <w:szCs w:val="22"/>
        </w:rPr>
        <w:lastRenderedPageBreak/>
        <w:t>5. APPROACH &amp; METHODOLOGY</w:t>
      </w:r>
    </w:p>
    <w:p w14:paraId="068FC412" w14:textId="77777777" w:rsidR="001F4E8A" w:rsidRPr="009517DD" w:rsidRDefault="00314DA5"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sz w:val="22"/>
          <w:szCs w:val="22"/>
          <w:highlight w:val="yellow"/>
        </w:rPr>
        <w:br/>
      </w:r>
      <w:r w:rsidR="001F4E8A" w:rsidRPr="009517DD">
        <w:rPr>
          <w:rFonts w:ascii="Calibri" w:hAnsi="Calibri" w:cs="Calibri"/>
          <w:color w:val="000000"/>
          <w:sz w:val="22"/>
          <w:szCs w:val="22"/>
        </w:rPr>
        <w:t>We aim to develop two complementary outputs: an analytical</w:t>
      </w:r>
      <w:r w:rsidR="009B37C5" w:rsidRPr="009517DD">
        <w:rPr>
          <w:rFonts w:ascii="Calibri" w:hAnsi="Calibri" w:cs="Calibri"/>
          <w:color w:val="000000"/>
          <w:sz w:val="22"/>
          <w:szCs w:val="22"/>
        </w:rPr>
        <w:t xml:space="preserve"> </w:t>
      </w:r>
      <w:r w:rsidR="001F4E8A" w:rsidRPr="009517DD">
        <w:rPr>
          <w:rFonts w:ascii="Calibri" w:hAnsi="Calibri" w:cs="Calibri"/>
          <w:color w:val="000000"/>
          <w:sz w:val="22"/>
          <w:szCs w:val="22"/>
        </w:rPr>
        <w:t xml:space="preserve">tool for Transparencia.be and a </w:t>
      </w:r>
      <w:r w:rsidR="005C2FA8" w:rsidRPr="009517DD">
        <w:rPr>
          <w:rFonts w:ascii="Calibri" w:hAnsi="Calibri" w:cs="Calibri"/>
          <w:color w:val="000000"/>
          <w:sz w:val="22"/>
          <w:szCs w:val="22"/>
        </w:rPr>
        <w:t>performance monitoring</w:t>
      </w:r>
      <w:r w:rsidR="001F4E8A" w:rsidRPr="009517DD">
        <w:rPr>
          <w:rFonts w:ascii="Calibri" w:hAnsi="Calibri" w:cs="Calibri"/>
          <w:color w:val="000000"/>
          <w:sz w:val="22"/>
          <w:szCs w:val="22"/>
        </w:rPr>
        <w:t xml:space="preserve"> dashboard for</w:t>
      </w:r>
      <w:r w:rsidR="009B37C5" w:rsidRPr="009517DD">
        <w:rPr>
          <w:rFonts w:ascii="Calibri" w:hAnsi="Calibri" w:cs="Calibri"/>
          <w:color w:val="000000"/>
          <w:sz w:val="22"/>
          <w:szCs w:val="22"/>
        </w:rPr>
        <w:t xml:space="preserve"> </w:t>
      </w:r>
      <w:r w:rsidR="001F4E8A" w:rsidRPr="009517DD">
        <w:rPr>
          <w:rFonts w:ascii="Calibri" w:hAnsi="Calibri" w:cs="Calibri"/>
          <w:color w:val="000000"/>
          <w:sz w:val="22"/>
          <w:szCs w:val="22"/>
        </w:rPr>
        <w:t xml:space="preserve">public administrations.                                       </w:t>
      </w:r>
    </w:p>
    <w:p w14:paraId="5461ABEC" w14:textId="77777777" w:rsidR="00C30CC4" w:rsidRPr="009517DD" w:rsidRDefault="00C30CC4"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420D5E37" w14:textId="77777777" w:rsidR="00C30CC4" w:rsidRPr="009517DD" w:rsidRDefault="00C30CC4" w:rsidP="00C30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b/>
          <w:bCs/>
          <w:color w:val="000000"/>
          <w:sz w:val="22"/>
          <w:szCs w:val="22"/>
        </w:rPr>
        <w:t>Qualitative analysis for tool design</w:t>
      </w:r>
    </w:p>
    <w:p w14:paraId="15E449E3" w14:textId="77777777" w:rsidR="00C30CC4" w:rsidRPr="009517DD" w:rsidRDefault="00C30CC4" w:rsidP="00C30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 xml:space="preserve">This qualitative phase involves co-creation workshops with PA stakeholders and engagement with Transparencia.be to ensure both dashboards meet the needs of their intended users. </w:t>
      </w:r>
    </w:p>
    <w:p w14:paraId="71F33E23" w14:textId="77777777" w:rsidR="00C30CC4" w:rsidRPr="009517DD" w:rsidRDefault="00C30CC4" w:rsidP="00C30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1BA3B928" w14:textId="77777777" w:rsidR="00C30CC4" w:rsidRPr="009517DD" w:rsidRDefault="00C30CC4" w:rsidP="00C30CC4">
      <w:pPr>
        <w:pStyle w:val="NormalWeb"/>
        <w:spacing w:before="0" w:beforeAutospacing="0" w:after="0" w:afterAutospacing="0"/>
        <w:rPr>
          <w:rFonts w:ascii="Calibri" w:eastAsiaTheme="minorEastAsia" w:hAnsi="Calibri" w:cs="Calibri"/>
          <w:color w:val="000000"/>
          <w:sz w:val="22"/>
          <w:szCs w:val="22"/>
          <w:lang w:eastAsia="zh-CN"/>
        </w:rPr>
      </w:pPr>
      <w:r w:rsidRPr="009517DD">
        <w:rPr>
          <w:rFonts w:ascii="Calibri" w:eastAsiaTheme="minorEastAsia" w:hAnsi="Calibri" w:cs="Calibri"/>
          <w:color w:val="000000"/>
          <w:sz w:val="22"/>
          <w:szCs w:val="22"/>
          <w:lang w:eastAsia="zh-CN"/>
        </w:rPr>
        <w:t>The citizen dashboard will be informed by Transparencia.be’s expertise and network to ensure the platform is maximally useful, accessible, and aligned with real-world practices. To align its development with the current state of the art, we will also engage with mySociety to gather insights from their experience in developing and maintaining Alaveteli-based FOI platforms, particularly regarding user expectations, usability standards, and effective public-facing transparency tools.</w:t>
      </w:r>
    </w:p>
    <w:p w14:paraId="7302F158" w14:textId="77777777" w:rsidR="00C30CC4" w:rsidRPr="009517DD" w:rsidRDefault="00C30CC4" w:rsidP="00C30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52F1B78D" w14:textId="77777777" w:rsidR="00C30CC4" w:rsidRPr="009517DD" w:rsidRDefault="00C30CC4" w:rsidP="00C30C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 xml:space="preserve">To inform the design of the PA dashboard, a field study phase is envisaged with one or more Brussels-Capital Region municipalities (see §2, Partnership). Semi-structured interviews and focus groups with public administrators will identify which data are most relevant to practitioners, what analytical tools they need, and how to position the dashboard within existing workflows. The appropriate institutional interlocutors must first be mapped and selected.  Beyond informing dashboard design, this exploratory engagement may also surface dimensions of FOI interactions — such as procedural barriers, informal practices, or contextual factors — that </w:t>
      </w:r>
      <w:r w:rsidR="001552D4" w:rsidRPr="009517DD">
        <w:rPr>
          <w:rFonts w:ascii="Calibri" w:hAnsi="Calibri" w:cs="Calibri"/>
          <w:color w:val="000000"/>
          <w:sz w:val="22"/>
          <w:szCs w:val="22"/>
        </w:rPr>
        <w:t xml:space="preserve"> could </w:t>
      </w:r>
      <w:r w:rsidRPr="009517DD">
        <w:rPr>
          <w:rFonts w:ascii="Calibri" w:hAnsi="Calibri" w:cs="Calibri"/>
          <w:color w:val="000000"/>
          <w:sz w:val="22"/>
          <w:szCs w:val="22"/>
        </w:rPr>
        <w:t xml:space="preserve">enrich the analytical pipeline </w:t>
      </w:r>
      <w:r w:rsidR="001552D4" w:rsidRPr="009517DD">
        <w:rPr>
          <w:rFonts w:ascii="Calibri" w:hAnsi="Calibri" w:cs="Calibri"/>
          <w:color w:val="000000"/>
          <w:sz w:val="22"/>
          <w:szCs w:val="22"/>
        </w:rPr>
        <w:t>in ways</w:t>
      </w:r>
      <w:r w:rsidRPr="009517DD">
        <w:rPr>
          <w:rFonts w:ascii="Calibri" w:hAnsi="Calibri" w:cs="Calibri"/>
          <w:color w:val="000000"/>
          <w:sz w:val="22"/>
          <w:szCs w:val="22"/>
        </w:rPr>
        <w:t xml:space="preserve"> not initially captured in the existing methodology.</w:t>
      </w:r>
    </w:p>
    <w:p w14:paraId="1E1B7C5C" w14:textId="77777777" w:rsidR="00C30CC4" w:rsidRPr="009517DD" w:rsidRDefault="00C30CC4"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1F7E8AA0" w14:textId="77777777" w:rsidR="001F4E8A" w:rsidRPr="009517DD" w:rsidRDefault="00E94614"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b/>
          <w:bCs/>
          <w:color w:val="000000"/>
          <w:sz w:val="22"/>
          <w:szCs w:val="22"/>
        </w:rPr>
        <w:t>Methodology</w:t>
      </w:r>
    </w:p>
    <w:p w14:paraId="5498CE40" w14:textId="77777777" w:rsidR="001F4E8A" w:rsidRPr="009517DD" w:rsidRDefault="002F4C97"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 xml:space="preserve">Transparencia.be has expressed interest in co-developing </w:t>
      </w:r>
      <w:r w:rsidR="00F84100" w:rsidRPr="009517DD">
        <w:rPr>
          <w:rFonts w:ascii="Calibri" w:hAnsi="Calibri" w:cs="Calibri"/>
          <w:color w:val="000000"/>
          <w:sz w:val="22"/>
          <w:szCs w:val="22"/>
        </w:rPr>
        <w:t>the dashboard</w:t>
      </w:r>
      <w:r w:rsidRPr="009517DD">
        <w:rPr>
          <w:rFonts w:ascii="Calibri" w:hAnsi="Calibri" w:cs="Calibri"/>
          <w:color w:val="000000"/>
          <w:sz w:val="22"/>
          <w:szCs w:val="22"/>
        </w:rPr>
        <w:t xml:space="preserve">. Building on an already validated analytical framework applied to </w:t>
      </w:r>
      <w:r w:rsidR="005C2FA8" w:rsidRPr="009517DD">
        <w:rPr>
          <w:rFonts w:ascii="Calibri" w:hAnsi="Calibri" w:cs="Calibri"/>
          <w:color w:val="000000"/>
          <w:sz w:val="22"/>
          <w:szCs w:val="22"/>
        </w:rPr>
        <w:t>their FOI platform's</w:t>
      </w:r>
      <w:r w:rsidRPr="009517DD">
        <w:rPr>
          <w:rFonts w:ascii="Calibri" w:hAnsi="Calibri" w:cs="Calibri"/>
          <w:color w:val="000000"/>
          <w:sz w:val="22"/>
          <w:szCs w:val="22"/>
        </w:rPr>
        <w:t xml:space="preserve"> dataset, </w:t>
      </w:r>
      <w:r w:rsidR="00F84100" w:rsidRPr="009517DD">
        <w:rPr>
          <w:rFonts w:ascii="Calibri" w:hAnsi="Calibri" w:cs="Calibri"/>
          <w:color w:val="000000"/>
          <w:sz w:val="22"/>
          <w:szCs w:val="22"/>
        </w:rPr>
        <w:t>our aim is to generalize this methodology to allow application across other Alaveteli-based platforms (such as Ask the EU and Ma Dada), which</w:t>
      </w:r>
      <w:r w:rsidRPr="009517DD">
        <w:rPr>
          <w:rFonts w:ascii="Calibri" w:hAnsi="Calibri" w:cs="Calibri"/>
          <w:color w:val="000000"/>
          <w:sz w:val="22"/>
          <w:szCs w:val="22"/>
        </w:rPr>
        <w:t xml:space="preserve"> structure FOI requests and raw data outputs according to Alaveteli's standardized format. This approach will enable the development of a platform-agnostic methodology that can handle differences in language and local context, ensuring consistent data processing and extraction of findings. To increase automation and reproducibility, locally deployed AI models (open-source LLMs) will be integrated throughout the analytical pipeline. All statistical computation — from topic modeling and sentiment analysis to regression modeling — is performed by the Python-based pipeline; the LLMs operate downstream, assisting with interpretive steps that currently require human judgment, such as campaign detection, boilerplate identification, topic labeling, and accountability-seeking scoring. They receive pre-computed results and generate structured, human-readable summaries, without performing any numerical analysis themselves. By embedding this AI-assisted interpretation at each stage under human supervision, the pipeline becomes scalable to new platforms and datasets without requiring full manual intervention at every step. The use of local models ensures that non-anonymized FOI data is never transmitted to external services, maintaining full compliance with data protection requirements. These analytical outputs directly inform the design and functionality of both dashboards: the resulting insights will </w:t>
      </w:r>
      <w:r w:rsidR="00C30CC4" w:rsidRPr="009517DD">
        <w:rPr>
          <w:rFonts w:ascii="Calibri" w:hAnsi="Calibri" w:cs="Calibri"/>
          <w:color w:val="000000"/>
          <w:sz w:val="22"/>
          <w:szCs w:val="22"/>
        </w:rPr>
        <w:t>be displayed and presented in the dashboard</w:t>
      </w:r>
      <w:r w:rsidRPr="009517DD">
        <w:rPr>
          <w:rFonts w:ascii="Calibri" w:hAnsi="Calibri" w:cs="Calibri"/>
          <w:color w:val="000000"/>
          <w:sz w:val="22"/>
          <w:szCs w:val="22"/>
        </w:rPr>
        <w:t xml:space="preserve"> and functionality of both the Public Administration and citizen-facing dashboards. </w:t>
      </w:r>
      <w:r w:rsidR="007C4CF2" w:rsidRPr="009517DD">
        <w:rPr>
          <w:rFonts w:ascii="Calibri" w:hAnsi="Calibri" w:cs="Calibri"/>
          <w:color w:val="000000"/>
          <w:sz w:val="22"/>
          <w:szCs w:val="22"/>
        </w:rPr>
        <w:br/>
      </w:r>
      <w:r w:rsidR="007C4CF2" w:rsidRPr="009517DD">
        <w:rPr>
          <w:rFonts w:ascii="Calibri" w:hAnsi="Calibri" w:cs="Calibri"/>
          <w:color w:val="000000"/>
          <w:sz w:val="22"/>
          <w:szCs w:val="22"/>
        </w:rPr>
        <w:br/>
      </w:r>
      <w:r w:rsidR="001F4E8A" w:rsidRPr="009517DD">
        <w:rPr>
          <w:rFonts w:ascii="Calibri" w:hAnsi="Calibri" w:cs="Calibri"/>
          <w:color w:val="000000"/>
          <w:sz w:val="22"/>
          <w:szCs w:val="22"/>
        </w:rPr>
        <w:t>The analytical methodology</w:t>
      </w:r>
      <w:r w:rsidR="00C30CC4" w:rsidRPr="009517DD">
        <w:rPr>
          <w:rFonts w:ascii="Calibri" w:hAnsi="Calibri" w:cs="Calibri"/>
          <w:color w:val="000000"/>
          <w:sz w:val="22"/>
          <w:szCs w:val="22"/>
        </w:rPr>
        <w:t>, already developed and applied to Transparencia.be's dataset,</w:t>
      </w:r>
      <w:r w:rsidRPr="009517DD">
        <w:rPr>
          <w:rFonts w:ascii="Calibri" w:hAnsi="Calibri" w:cs="Calibri"/>
          <w:color w:val="000000"/>
          <w:sz w:val="22"/>
          <w:szCs w:val="22"/>
        </w:rPr>
        <w:t xml:space="preserve"> </w:t>
      </w:r>
      <w:r w:rsidR="001F4E8A" w:rsidRPr="009517DD">
        <w:rPr>
          <w:rFonts w:ascii="Calibri" w:hAnsi="Calibri" w:cs="Calibri"/>
          <w:color w:val="000000"/>
          <w:sz w:val="22"/>
          <w:szCs w:val="22"/>
        </w:rPr>
        <w:t>comprises:</w:t>
      </w:r>
    </w:p>
    <w:p w14:paraId="052D5AF3" w14:textId="77777777" w:rsidR="009B37C5" w:rsidRPr="009517DD" w:rsidRDefault="009B37C5"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3806CCC2" w14:textId="77777777" w:rsidR="001F4E8A" w:rsidRPr="009517DD" w:rsidRDefault="001F4E8A"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lastRenderedPageBreak/>
        <w:t xml:space="preserve">  </w:t>
      </w:r>
      <w:r w:rsidR="00852975" w:rsidRPr="009517DD">
        <w:rPr>
          <w:rFonts w:ascii="Calibri" w:hAnsi="Calibri" w:cs="Calibri"/>
          <w:color w:val="000000"/>
          <w:sz w:val="22"/>
          <w:szCs w:val="22"/>
        </w:rPr>
        <w:t xml:space="preserve">1 </w:t>
      </w:r>
      <w:r w:rsidRPr="009517DD">
        <w:rPr>
          <w:rFonts w:ascii="Calibri" w:hAnsi="Calibri" w:cs="Calibri"/>
          <w:color w:val="000000"/>
          <w:sz w:val="22"/>
          <w:szCs w:val="22"/>
        </w:rPr>
        <w:t>- Analysis of the existing FOI request dataset</w:t>
      </w:r>
      <w:r w:rsidR="009046C1" w:rsidRPr="009517DD">
        <w:rPr>
          <w:rFonts w:ascii="Calibri" w:hAnsi="Calibri" w:cs="Calibri"/>
          <w:color w:val="000000"/>
          <w:sz w:val="22"/>
          <w:szCs w:val="22"/>
        </w:rPr>
        <w:t>s</w:t>
      </w:r>
      <w:r w:rsidR="005C2FA8" w:rsidRPr="009517DD">
        <w:rPr>
          <w:rFonts w:ascii="Calibri" w:hAnsi="Calibri" w:cs="Calibri"/>
          <w:color w:val="000000"/>
          <w:sz w:val="22"/>
          <w:szCs w:val="22"/>
        </w:rPr>
        <w:t xml:space="preserve"> (Transparencia.be) </w:t>
      </w:r>
    </w:p>
    <w:p w14:paraId="77E9F5F4" w14:textId="77777777" w:rsidR="00A24D97" w:rsidRPr="009517DD" w:rsidRDefault="00A24D97"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 xml:space="preserve">Length </w:t>
      </w:r>
      <w:r w:rsidR="00F15D44" w:rsidRPr="009517DD">
        <w:rPr>
          <w:rFonts w:ascii="Calibri" w:hAnsi="Calibri" w:cs="Calibri"/>
          <w:color w:val="000000"/>
          <w:sz w:val="22"/>
          <w:szCs w:val="22"/>
        </w:rPr>
        <w:t xml:space="preserve">(word count per request) </w:t>
      </w:r>
    </w:p>
    <w:p w14:paraId="658D9CC8" w14:textId="77777777" w:rsidR="00A24D97" w:rsidRPr="009517DD" w:rsidRDefault="00F15D44"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 xml:space="preserve">Status categorization (Successful, Not Successful, Asleep) </w:t>
      </w:r>
    </w:p>
    <w:p w14:paraId="04C48A56" w14:textId="77777777" w:rsidR="007C4CF2" w:rsidRPr="009517DD" w:rsidRDefault="007C4CF2"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Year of submission</w:t>
      </w:r>
    </w:p>
    <w:p w14:paraId="02FBCB61" w14:textId="77777777" w:rsidR="00F15D44" w:rsidRPr="009517DD" w:rsidRDefault="00F15D44"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Campaign detection (near-identical requests)</w:t>
      </w:r>
    </w:p>
    <w:p w14:paraId="10B5FC51" w14:textId="77777777" w:rsidR="00F15D44" w:rsidRPr="009517DD" w:rsidRDefault="00F15D44"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Language detection</w:t>
      </w:r>
    </w:p>
    <w:p w14:paraId="309D6C1F" w14:textId="77777777" w:rsidR="00F15D44" w:rsidRPr="009517DD" w:rsidRDefault="00F15D44"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Progressive sample cleaning</w:t>
      </w:r>
    </w:p>
    <w:p w14:paraId="2249B0B0" w14:textId="77777777" w:rsidR="00F15D44" w:rsidRPr="009517DD" w:rsidRDefault="00F15D44" w:rsidP="00F15D44">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Requester’s sex classification</w:t>
      </w:r>
    </w:p>
    <w:p w14:paraId="000C1819" w14:textId="77777777" w:rsidR="00775A60" w:rsidRPr="009517DD" w:rsidRDefault="00775A60" w:rsidP="00775A6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p>
    <w:p w14:paraId="6B05277C" w14:textId="77777777" w:rsidR="001F4E8A" w:rsidRPr="009517DD" w:rsidRDefault="001F4E8A"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 xml:space="preserve">  </w:t>
      </w:r>
      <w:r w:rsidR="00852975" w:rsidRPr="009517DD">
        <w:rPr>
          <w:rFonts w:ascii="Calibri" w:hAnsi="Calibri" w:cs="Calibri"/>
          <w:color w:val="000000"/>
          <w:sz w:val="22"/>
          <w:szCs w:val="22"/>
        </w:rPr>
        <w:t xml:space="preserve">2 </w:t>
      </w:r>
      <w:r w:rsidRPr="009517DD">
        <w:rPr>
          <w:rFonts w:ascii="Calibri" w:hAnsi="Calibri" w:cs="Calibri"/>
          <w:color w:val="000000"/>
          <w:sz w:val="22"/>
          <w:szCs w:val="22"/>
        </w:rPr>
        <w:t>- Natural Language Processing (NLP): topic modeling and</w:t>
      </w:r>
      <w:r w:rsidR="00F1245C" w:rsidRPr="009517DD">
        <w:rPr>
          <w:rFonts w:ascii="Calibri" w:hAnsi="Calibri" w:cs="Calibri"/>
          <w:color w:val="000000"/>
          <w:sz w:val="22"/>
          <w:szCs w:val="22"/>
        </w:rPr>
        <w:t xml:space="preserve"> </w:t>
      </w:r>
      <w:r w:rsidRPr="009517DD">
        <w:rPr>
          <w:rFonts w:ascii="Calibri" w:hAnsi="Calibri" w:cs="Calibri"/>
          <w:color w:val="000000"/>
          <w:sz w:val="22"/>
          <w:szCs w:val="22"/>
        </w:rPr>
        <w:t>sentiment analysis</w:t>
      </w:r>
    </w:p>
    <w:p w14:paraId="3FC8A6ED" w14:textId="77777777" w:rsidR="00B1290A" w:rsidRPr="009517DD" w:rsidRDefault="00B1290A" w:rsidP="00B1290A">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Full preprocessing pipeline: HTML/URL/emoji removal, tokenization, stopword removal, TF-IDF filtering (threshold 0.1), lemmatization, and manual boilerplate removal</w:t>
      </w:r>
    </w:p>
    <w:p w14:paraId="0FB8A259" w14:textId="77777777" w:rsidR="007C4CF2" w:rsidRPr="009517DD" w:rsidRDefault="00A24D97"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Topics</w:t>
      </w:r>
      <w:r w:rsidR="00F15D44" w:rsidRPr="009517DD">
        <w:rPr>
          <w:rFonts w:ascii="Calibri" w:hAnsi="Calibri" w:cs="Calibri"/>
          <w:color w:val="000000"/>
          <w:sz w:val="22"/>
          <w:szCs w:val="22"/>
        </w:rPr>
        <w:t xml:space="preserve"> - Latent Dirichlet Allocation (LDA)</w:t>
      </w:r>
      <w:r w:rsidR="00852975" w:rsidRPr="009517DD">
        <w:rPr>
          <w:rFonts w:ascii="Calibri" w:hAnsi="Calibri" w:cs="Calibri"/>
          <w:color w:val="000000"/>
          <w:sz w:val="22"/>
          <w:szCs w:val="22"/>
        </w:rPr>
        <w:t xml:space="preserve"> </w:t>
      </w:r>
    </w:p>
    <w:p w14:paraId="3938F86A" w14:textId="77777777" w:rsidR="007C4CF2" w:rsidRPr="009517DD" w:rsidRDefault="007C4CF2"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Accountability seeking potential (each topic is assigned a score from 1-4).</w:t>
      </w:r>
    </w:p>
    <w:p w14:paraId="599ECA4E" w14:textId="77777777" w:rsidR="00A24D97" w:rsidRPr="009517DD" w:rsidRDefault="00A24D97" w:rsidP="00B1290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r w:rsidRPr="009517DD">
        <w:rPr>
          <w:rFonts w:ascii="Calibri" w:hAnsi="Calibri" w:cs="Calibri"/>
          <w:color w:val="000000"/>
          <w:sz w:val="22"/>
          <w:szCs w:val="22"/>
        </w:rPr>
        <w:t>Sentiment</w:t>
      </w:r>
      <w:r w:rsidR="007C4CF2" w:rsidRPr="009517DD">
        <w:rPr>
          <w:rFonts w:ascii="Calibri" w:hAnsi="Calibri" w:cs="Calibri"/>
          <w:color w:val="000000"/>
          <w:sz w:val="22"/>
          <w:szCs w:val="22"/>
        </w:rPr>
        <w:t>: standard sentiment analysis pipeline producing z-score values.</w:t>
      </w:r>
    </w:p>
    <w:p w14:paraId="3BC3FD56" w14:textId="77777777" w:rsidR="00F15D44" w:rsidRPr="009517DD" w:rsidRDefault="00F15D44" w:rsidP="00F15D4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283"/>
        <w:rPr>
          <w:rFonts w:ascii="Calibri" w:hAnsi="Calibri" w:cs="Calibri"/>
          <w:color w:val="000000"/>
          <w:sz w:val="22"/>
          <w:szCs w:val="22"/>
        </w:rPr>
      </w:pPr>
    </w:p>
    <w:p w14:paraId="68DA8E67" w14:textId="77777777" w:rsidR="007C4CF2" w:rsidRPr="009517DD" w:rsidRDefault="001F4E8A"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 xml:space="preserve">  </w:t>
      </w:r>
      <w:r w:rsidR="00852975" w:rsidRPr="009517DD">
        <w:rPr>
          <w:rFonts w:ascii="Calibri" w:hAnsi="Calibri" w:cs="Calibri"/>
          <w:color w:val="000000"/>
          <w:sz w:val="22"/>
          <w:szCs w:val="22"/>
        </w:rPr>
        <w:t xml:space="preserve">3 </w:t>
      </w:r>
      <w:r w:rsidRPr="009517DD">
        <w:rPr>
          <w:rFonts w:ascii="Calibri" w:hAnsi="Calibri" w:cs="Calibri"/>
          <w:color w:val="000000"/>
          <w:sz w:val="22"/>
          <w:szCs w:val="22"/>
        </w:rPr>
        <w:t>- Statistical modeling of responsiveness predictors</w:t>
      </w:r>
    </w:p>
    <w:p w14:paraId="2395EE2B" w14:textId="77777777" w:rsidR="00A24D97" w:rsidRPr="009517DD" w:rsidRDefault="007C4CF2" w:rsidP="00A24D97">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sz w:val="22"/>
          <w:szCs w:val="22"/>
        </w:rPr>
        <w:t>Multinomial logistic regression: two models — Model I (Topics) uses topic dummies as</w:t>
      </w:r>
      <w:r w:rsidR="00852975" w:rsidRPr="009517DD">
        <w:rPr>
          <w:rFonts w:ascii="Calibri" w:hAnsi="Calibri" w:cs="Calibri"/>
          <w:sz w:val="22"/>
          <w:szCs w:val="22"/>
        </w:rPr>
        <w:t xml:space="preserve"> </w:t>
      </w:r>
      <w:r w:rsidRPr="009517DD">
        <w:rPr>
          <w:rFonts w:ascii="Calibri" w:hAnsi="Calibri" w:cs="Calibri"/>
          <w:sz w:val="22"/>
          <w:szCs w:val="22"/>
        </w:rPr>
        <w:t>main predictors, while Model II (ASP) repla</w:t>
      </w:r>
      <w:r w:rsidR="00852975" w:rsidRPr="009517DD">
        <w:rPr>
          <w:rFonts w:ascii="Calibri" w:hAnsi="Calibri" w:cs="Calibri"/>
          <w:sz w:val="22"/>
          <w:szCs w:val="22"/>
        </w:rPr>
        <w:t>c</w:t>
      </w:r>
      <w:r w:rsidRPr="009517DD">
        <w:rPr>
          <w:rFonts w:ascii="Calibri" w:hAnsi="Calibri" w:cs="Calibri"/>
          <w:sz w:val="22"/>
          <w:szCs w:val="22"/>
        </w:rPr>
        <w:t>es topics with accountability-seeking potential</w:t>
      </w:r>
      <w:r w:rsidR="00852975" w:rsidRPr="009517DD">
        <w:rPr>
          <w:rFonts w:ascii="Calibri" w:hAnsi="Calibri" w:cs="Calibri"/>
          <w:sz w:val="22"/>
          <w:szCs w:val="22"/>
        </w:rPr>
        <w:t xml:space="preserve"> (1-4 levels assigned to each topic)</w:t>
      </w:r>
      <w:r w:rsidRPr="009517DD">
        <w:rPr>
          <w:rFonts w:ascii="Calibri" w:hAnsi="Calibri" w:cs="Calibri"/>
          <w:sz w:val="22"/>
          <w:szCs w:val="22"/>
        </w:rPr>
        <w:t xml:space="preserve"> as a continuous predictor. Both models include sentiment (z-scored), log-transformed request length, year dummies, and authority type dummies as controls. </w:t>
      </w:r>
    </w:p>
    <w:p w14:paraId="49DEBEEA" w14:textId="77777777" w:rsidR="00C30CC4" w:rsidRPr="009517DD" w:rsidRDefault="00C30CC4" w:rsidP="00C30CC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440"/>
        <w:rPr>
          <w:rFonts w:ascii="Calibri" w:hAnsi="Calibri" w:cs="Calibri"/>
          <w:color w:val="000000"/>
          <w:sz w:val="22"/>
          <w:szCs w:val="22"/>
        </w:rPr>
      </w:pPr>
    </w:p>
    <w:p w14:paraId="014EE1F1" w14:textId="77777777" w:rsidR="002F3608" w:rsidRPr="009517DD" w:rsidRDefault="00A24D97" w:rsidP="002F3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b/>
          <w:bCs/>
          <w:color w:val="000000"/>
          <w:sz w:val="22"/>
          <w:szCs w:val="22"/>
        </w:rPr>
      </w:pPr>
      <w:r w:rsidRPr="009517DD">
        <w:rPr>
          <w:rFonts w:ascii="Calibri" w:hAnsi="Calibri" w:cs="Calibri"/>
          <w:b/>
          <w:bCs/>
          <w:color w:val="000000"/>
          <w:sz w:val="22"/>
          <w:szCs w:val="22"/>
        </w:rPr>
        <w:t>Dashboard</w:t>
      </w:r>
      <w:r w:rsidRPr="009517DD">
        <w:rPr>
          <w:rFonts w:ascii="Calibri" w:hAnsi="Calibri" w:cs="Calibri"/>
          <w:color w:val="000000"/>
          <w:sz w:val="22"/>
          <w:szCs w:val="22"/>
        </w:rPr>
        <w:t xml:space="preserve"> </w:t>
      </w:r>
      <w:r w:rsidRPr="009517DD">
        <w:rPr>
          <w:rFonts w:ascii="Calibri" w:hAnsi="Calibri" w:cs="Calibri"/>
          <w:b/>
          <w:bCs/>
          <w:color w:val="000000"/>
          <w:sz w:val="22"/>
          <w:szCs w:val="22"/>
        </w:rPr>
        <w:t>Co-Design</w:t>
      </w:r>
    </w:p>
    <w:p w14:paraId="4A3E803D" w14:textId="77777777" w:rsidR="00A24D97" w:rsidRPr="009517DD" w:rsidRDefault="00BD2EC8" w:rsidP="002F3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color w:val="000000"/>
          <w:sz w:val="22"/>
          <w:szCs w:val="22"/>
        </w:rPr>
        <w:t>Both dashboards will leverage a Python-based stack for data processing, statistical analysis, and interactive visualization via Streamlit. Their design follows a shared methodological and interface framework to ensure consistency, interpretability, and accessibility across user groups. In line with the accessibility principles defined by the World Wide Web Consortium through its Web Accessibility Initiative and the WCAG (WCAG 2.1 AA)</w:t>
      </w:r>
      <w:r w:rsidR="005B0E1E" w:rsidRPr="009517DD">
        <w:rPr>
          <w:rFonts w:ascii="Calibri" w:hAnsi="Calibri" w:cs="Calibri"/>
          <w:color w:val="000000"/>
          <w:sz w:val="22"/>
          <w:szCs w:val="22"/>
        </w:rPr>
        <w:t xml:space="preserve"> – such as meeting minimum contrast ratios; avoid conveying meaning through color alone; remain readable when users apply browser or OS-level accessibility settings –</w:t>
      </w:r>
      <w:r w:rsidRPr="009517DD">
        <w:rPr>
          <w:rFonts w:ascii="Calibri" w:hAnsi="Calibri" w:cs="Calibri"/>
          <w:color w:val="000000"/>
          <w:sz w:val="22"/>
          <w:szCs w:val="22"/>
        </w:rPr>
        <w:t>, both dashboards will present statistical outputs, visualizations, and navigation structures in ways that are perceivable, operable, and understandable for users with varying levels of digital proficiency. While the citizen dashboard emphasizes inferential statistics and regression modeling to make analytical findings accessible to a broad public, the PA Dashboard focuses on operational intelligence, benchmarking, and policy analytics within the same inclusive design framework.</w:t>
      </w:r>
    </w:p>
    <w:p w14:paraId="5ACA8C03" w14:textId="77777777" w:rsidR="00BD2EC8" w:rsidRPr="009517DD" w:rsidRDefault="00BD2EC8" w:rsidP="00A24D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276A2AF4" w14:textId="77777777" w:rsidR="00A24D97" w:rsidRPr="009517DD" w:rsidRDefault="00A24D97" w:rsidP="00A24D97">
      <w:pPr>
        <w:spacing w:after="0"/>
        <w:rPr>
          <w:rFonts w:ascii="Calibri" w:hAnsi="Calibri" w:cs="Calibri"/>
          <w:color w:val="000000"/>
          <w:sz w:val="22"/>
          <w:szCs w:val="22"/>
        </w:rPr>
      </w:pPr>
      <w:r w:rsidRPr="009517DD">
        <w:rPr>
          <w:rFonts w:ascii="Calibri" w:hAnsi="Calibri" w:cs="Calibri"/>
          <w:i/>
          <w:iCs/>
          <w:color w:val="000000"/>
          <w:sz w:val="22"/>
          <w:szCs w:val="22"/>
          <w:u w:val="single"/>
        </w:rPr>
        <w:t>Transparencia.be Results Dashboard</w:t>
      </w:r>
      <w:r w:rsidRPr="009517DD">
        <w:rPr>
          <w:rFonts w:ascii="Calibri" w:hAnsi="Calibri" w:cs="Calibri"/>
          <w:color w:val="000000"/>
          <w:sz w:val="22"/>
          <w:szCs w:val="22"/>
        </w:rPr>
        <w:br/>
        <w:t>This dashboard will provide an interactive platform for exploring and analyzing organizational data. It will feature multiple tabs with filterable visualizations, key performance indicators, probability curves, and regression outputs. Users will be able to generate reports and access statistical summaries. The dashboard will be built using Streamlit for the frontend.</w:t>
      </w:r>
    </w:p>
    <w:p w14:paraId="2EFEA0A4" w14:textId="77777777" w:rsidR="00A24D97" w:rsidRPr="009517DD" w:rsidRDefault="00A24D97" w:rsidP="00A24D97">
      <w:pPr>
        <w:spacing w:after="0"/>
        <w:rPr>
          <w:rFonts w:ascii="Calibri" w:hAnsi="Calibri" w:cs="Calibri"/>
          <w:color w:val="000000"/>
          <w:sz w:val="22"/>
          <w:szCs w:val="22"/>
        </w:rPr>
      </w:pPr>
      <w:r w:rsidRPr="009517DD">
        <w:rPr>
          <w:rFonts w:ascii="Calibri" w:hAnsi="Calibri" w:cs="Calibri"/>
          <w:color w:val="000000"/>
          <w:sz w:val="22"/>
          <w:szCs w:val="22"/>
        </w:rPr>
        <w:t xml:space="preserve">The backend will process data from </w:t>
      </w:r>
      <w:r w:rsidR="00B1290A" w:rsidRPr="009517DD">
        <w:rPr>
          <w:rFonts w:ascii="Calibri" w:hAnsi="Calibri" w:cs="Calibri"/>
          <w:color w:val="000000"/>
          <w:sz w:val="22"/>
          <w:szCs w:val="22"/>
        </w:rPr>
        <w:t>the original data exports of Alaveteli dashboards</w:t>
      </w:r>
      <w:r w:rsidRPr="009517DD">
        <w:rPr>
          <w:rFonts w:ascii="Calibri" w:hAnsi="Calibri" w:cs="Calibri"/>
          <w:color w:val="000000"/>
          <w:sz w:val="22"/>
          <w:szCs w:val="22"/>
        </w:rPr>
        <w:t>, performing aggregation, standardization, and statistical analyses such as chi-square tests, t-tests, effect sizes, and multinomial logistic regression. The methodology follows established frameworks in public data analysis.</w:t>
      </w:r>
    </w:p>
    <w:p w14:paraId="796590C9" w14:textId="77777777" w:rsidR="00A24D97" w:rsidRPr="009517DD" w:rsidRDefault="00A24D97" w:rsidP="00A24D97">
      <w:pPr>
        <w:spacing w:after="0"/>
        <w:rPr>
          <w:rFonts w:ascii="Calibri" w:hAnsi="Calibri" w:cs="Calibri"/>
          <w:color w:val="000000"/>
          <w:sz w:val="22"/>
          <w:szCs w:val="22"/>
        </w:rPr>
      </w:pPr>
    </w:p>
    <w:p w14:paraId="48706DB9" w14:textId="77777777" w:rsidR="00A24D97" w:rsidRPr="009517DD" w:rsidRDefault="00A24D97" w:rsidP="00A24D97">
      <w:pPr>
        <w:spacing w:after="0"/>
        <w:rPr>
          <w:rFonts w:ascii="Calibri" w:hAnsi="Calibri" w:cs="Calibri"/>
          <w:color w:val="000000"/>
          <w:sz w:val="22"/>
          <w:szCs w:val="22"/>
        </w:rPr>
      </w:pPr>
      <w:r w:rsidRPr="009517DD">
        <w:rPr>
          <w:rFonts w:ascii="Calibri" w:hAnsi="Calibri" w:cs="Calibri"/>
          <w:i/>
          <w:iCs/>
          <w:color w:val="000000"/>
          <w:sz w:val="22"/>
          <w:szCs w:val="22"/>
          <w:u w:val="single"/>
        </w:rPr>
        <w:t>Public Administration (PA) Dashboard</w:t>
      </w:r>
      <w:r w:rsidRPr="009517DD">
        <w:rPr>
          <w:rFonts w:ascii="Calibri" w:hAnsi="Calibri" w:cs="Calibri"/>
          <w:color w:val="000000"/>
          <w:sz w:val="22"/>
          <w:szCs w:val="22"/>
        </w:rPr>
        <w:br/>
        <w:t xml:space="preserve">This dashboard will deliver operational intelligence for policy monitoring and benchmarking. It will </w:t>
      </w:r>
      <w:r w:rsidRPr="009517DD">
        <w:rPr>
          <w:rFonts w:ascii="Calibri" w:hAnsi="Calibri" w:cs="Calibri"/>
          <w:color w:val="000000"/>
          <w:sz w:val="22"/>
          <w:szCs w:val="22"/>
        </w:rPr>
        <w:lastRenderedPageBreak/>
        <w:t>include interactive visualizations, policy configuration tools, peer comparisons, and performance grading. Users can explore trends, identify patterns, and generate reports. The frontend will be built with Streamlit.</w:t>
      </w:r>
    </w:p>
    <w:p w14:paraId="1C2E320B" w14:textId="77777777" w:rsidR="00A24D97" w:rsidRPr="009517DD" w:rsidRDefault="00A24D97" w:rsidP="00A24D97">
      <w:pPr>
        <w:spacing w:after="0"/>
        <w:rPr>
          <w:rFonts w:ascii="Calibri" w:hAnsi="Calibri" w:cs="Calibri"/>
          <w:color w:val="000000"/>
          <w:sz w:val="22"/>
          <w:szCs w:val="22"/>
        </w:rPr>
      </w:pPr>
      <w:r w:rsidRPr="009517DD">
        <w:rPr>
          <w:rFonts w:ascii="Calibri" w:hAnsi="Calibri" w:cs="Calibri"/>
          <w:color w:val="000000"/>
          <w:sz w:val="22"/>
          <w:szCs w:val="22"/>
        </w:rPr>
        <w:t>The backend will handle data aggregation, scoring, pattern detection, and peer analysis using municipality-level demographic and fiscal datasets. It supports report generation and configurable policy analytics. The dashboard is grounded in recognized compliance frameworks and regional legislation. Locally deployed AI models (open-source LLMs) will be integrated into the PA interface to assist administrators in interpreting pre-computed analytical outputs. All metrics — response rates, timelines, topic distributions, peer comparisons — are calculated by the Python backend; the LLMs then translate these structured results into accessible natural-language summaries, enabling administrators to contextualize their own performance relative to peer authorities and identify actionable patterns without requiring technical expertise. For instance, an administrator could receive a plain-language summary of how their commune's responsiveness compares to peers across request topics, timelines, and outcomes. This comparative intelligence, powered entirely by local models to ensure that non-anonymized FOI data never leaves the system, enables each administration to benchmark itself against others within the Brussels-Capital Region and beyond.</w:t>
      </w:r>
    </w:p>
    <w:p w14:paraId="33428FB0" w14:textId="77777777" w:rsidR="001F4E8A" w:rsidRPr="009517DD" w:rsidRDefault="001F4E8A" w:rsidP="00A24D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1B8F158D" w14:textId="77777777" w:rsidR="00646271" w:rsidRPr="009517DD" w:rsidRDefault="001F4E8A" w:rsidP="00A24D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r w:rsidRPr="009517DD">
        <w:rPr>
          <w:rFonts w:ascii="Calibri" w:hAnsi="Calibri" w:cs="Calibri"/>
          <w:b/>
          <w:bCs/>
          <w:color w:val="000000"/>
          <w:sz w:val="22"/>
          <w:szCs w:val="22"/>
        </w:rPr>
        <w:t>Scaling</w:t>
      </w:r>
      <w:r w:rsidRPr="009517DD">
        <w:rPr>
          <w:rFonts w:ascii="Calibri" w:hAnsi="Calibri" w:cs="Calibri"/>
          <w:color w:val="000000"/>
          <w:sz w:val="22"/>
          <w:szCs w:val="22"/>
        </w:rPr>
        <w:t xml:space="preserve"> </w:t>
      </w:r>
      <w:r w:rsidRPr="009517DD">
        <w:rPr>
          <w:rFonts w:ascii="Calibri" w:hAnsi="Calibri" w:cs="Calibri"/>
          <w:b/>
          <w:bCs/>
          <w:color w:val="000000"/>
          <w:sz w:val="22"/>
          <w:szCs w:val="22"/>
        </w:rPr>
        <w:t>Ambition</w:t>
      </w:r>
    </w:p>
    <w:p w14:paraId="5B3A880E" w14:textId="77777777" w:rsidR="00646271" w:rsidRPr="009517DD" w:rsidRDefault="00646271" w:rsidP="00A24D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themeColor="text1"/>
          <w:sz w:val="22"/>
          <w:szCs w:val="22"/>
          <w:shd w:val="clear" w:color="auto" w:fill="FFFFFF"/>
        </w:rPr>
      </w:pPr>
      <w:r w:rsidRPr="009517DD">
        <w:rPr>
          <w:rFonts w:ascii="Calibri" w:hAnsi="Calibri" w:cs="Calibri"/>
          <w:color w:val="000000" w:themeColor="text1"/>
          <w:sz w:val="22"/>
          <w:szCs w:val="22"/>
          <w:shd w:val="clear" w:color="auto" w:fill="FFFFFF"/>
        </w:rPr>
        <w:t>The longer-term objective is twofold. For the citizen-facing dashboard, the aim is to move from a pilot on Transparencia.be to an active collaboration with mySociety, enabling FOI comparative perspectives across Alaveteli-based platforms internationally. For the PA dashboard,</w:t>
      </w:r>
      <w:r w:rsidR="00A83898" w:rsidRPr="009517DD">
        <w:rPr>
          <w:rFonts w:ascii="Calibri" w:hAnsi="Calibri" w:cs="Calibri"/>
          <w:color w:val="000000" w:themeColor="text1"/>
          <w:sz w:val="22"/>
          <w:szCs w:val="22"/>
          <w:shd w:val="clear" w:color="auto" w:fill="FFFFFF"/>
        </w:rPr>
        <w:t xml:space="preserve"> while the comparative aspect remains,</w:t>
      </w:r>
      <w:r w:rsidRPr="009517DD">
        <w:rPr>
          <w:rFonts w:ascii="Calibri" w:hAnsi="Calibri" w:cs="Calibri"/>
          <w:color w:val="000000" w:themeColor="text1"/>
          <w:sz w:val="22"/>
          <w:szCs w:val="22"/>
          <w:shd w:val="clear" w:color="auto" w:fill="FFFFFF"/>
        </w:rPr>
        <w:t xml:space="preserve"> the aim is to scale from an initial pilot with a single Brussels-Capital Region commune to deployment across all 19 Brussels municipalities, and potentially to the broader network of 1,810 public authorities indexed on Transparencia.be. This positions Brussels as a pioneer and provider of FOI accountability analytics for the broader civic-tech and public administration community.</w:t>
      </w:r>
    </w:p>
    <w:p w14:paraId="6F826603" w14:textId="77777777" w:rsidR="00646271" w:rsidRPr="009517DD" w:rsidRDefault="00646271"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color w:val="000000"/>
          <w:sz w:val="22"/>
          <w:szCs w:val="22"/>
        </w:rPr>
      </w:pPr>
    </w:p>
    <w:p w14:paraId="789074A0"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516F9216">
          <v:rect id="_x0000_i1029" alt="" style="width:468pt;height:.05pt;mso-width-percent:0;mso-height-percent:0;mso-width-percent:0;mso-height-percent:0" o:hralign="center" o:hrstd="t" o:hr="t"/>
        </w:pict>
      </w:r>
    </w:p>
    <w:p w14:paraId="58D721C6" w14:textId="77777777" w:rsidR="00076D1A" w:rsidRPr="009517DD" w:rsidRDefault="00000000">
      <w:pPr>
        <w:pStyle w:val="Heading3"/>
        <w:rPr>
          <w:rFonts w:ascii="Calibri" w:hAnsi="Calibri" w:cs="Calibri"/>
          <w:sz w:val="22"/>
          <w:szCs w:val="22"/>
        </w:rPr>
      </w:pPr>
      <w:bookmarkStart w:id="7" w:name="link-to-regional-competences"/>
      <w:bookmarkEnd w:id="6"/>
      <w:r w:rsidRPr="009517DD">
        <w:rPr>
          <w:rFonts w:ascii="Calibri" w:hAnsi="Calibri" w:cs="Calibri"/>
          <w:sz w:val="22"/>
          <w:szCs w:val="22"/>
        </w:rPr>
        <w:t>6. LINK TO REGIONAL COMPETENCES</w:t>
      </w:r>
    </w:p>
    <w:p w14:paraId="50378850" w14:textId="77777777" w:rsidR="00076D1A" w:rsidRPr="009517DD" w:rsidRDefault="00000000">
      <w:pPr>
        <w:pStyle w:val="FirstParagraph"/>
        <w:rPr>
          <w:rFonts w:ascii="Calibri" w:hAnsi="Calibri" w:cs="Calibri"/>
          <w:sz w:val="22"/>
          <w:szCs w:val="22"/>
        </w:rPr>
      </w:pPr>
      <w:r w:rsidRPr="009517DD">
        <w:rPr>
          <w:rFonts w:ascii="Calibri" w:hAnsi="Calibri" w:cs="Calibri"/>
          <w:b/>
          <w:bCs/>
          <w:sz w:val="22"/>
          <w:szCs w:val="22"/>
        </w:rPr>
        <w:t>Primary:</w:t>
      </w:r>
      <w:r w:rsidRPr="009517DD">
        <w:rPr>
          <w:rFonts w:ascii="Calibri" w:hAnsi="Calibri" w:cs="Calibri"/>
          <w:sz w:val="22"/>
          <w:szCs w:val="22"/>
        </w:rPr>
        <w:t xml:space="preserve"> Local authorities and public administration (Art. 6 §1 VIII Special Law) - Brussels Region has authority over organization of local public administrations - Transparency of 19 municipalities falls under regional oversight</w:t>
      </w:r>
      <w:r w:rsidR="00B6135D" w:rsidRPr="009517DD">
        <w:rPr>
          <w:rFonts w:ascii="Calibri" w:hAnsi="Calibri" w:cs="Calibri"/>
          <w:sz w:val="22"/>
          <w:szCs w:val="22"/>
        </w:rPr>
        <w:t>.</w:t>
      </w:r>
    </w:p>
    <w:p w14:paraId="7D7547AA" w14:textId="77777777" w:rsidR="00076D1A" w:rsidRPr="009517DD" w:rsidRDefault="00000000">
      <w:pPr>
        <w:pStyle w:val="BodyText"/>
        <w:rPr>
          <w:rFonts w:ascii="Calibri" w:hAnsi="Calibri" w:cs="Calibri"/>
          <w:sz w:val="22"/>
          <w:szCs w:val="22"/>
        </w:rPr>
      </w:pPr>
      <w:r w:rsidRPr="009517DD">
        <w:rPr>
          <w:rFonts w:ascii="Calibri" w:hAnsi="Calibri" w:cs="Calibri"/>
          <w:b/>
          <w:bCs/>
          <w:sz w:val="22"/>
          <w:szCs w:val="22"/>
        </w:rPr>
        <w:t>Alignment with regional policy:</w:t>
      </w:r>
      <w:r w:rsidRPr="009517DD">
        <w:rPr>
          <w:rFonts w:ascii="Calibri" w:hAnsi="Calibri" w:cs="Calibri"/>
          <w:sz w:val="22"/>
          <w:szCs w:val="22"/>
        </w:rPr>
        <w:t xml:space="preserve"> - Brussels Regional Policy Statement commitment to “good governance” - Smart.brussels digital strategy - Regional Ombudsman’s transparency mandate</w:t>
      </w:r>
      <w:r w:rsidR="00B6135D" w:rsidRPr="009517DD">
        <w:rPr>
          <w:rFonts w:ascii="Calibri" w:hAnsi="Calibri" w:cs="Calibri"/>
          <w:sz w:val="22"/>
          <w:szCs w:val="22"/>
        </w:rPr>
        <w:t>.</w:t>
      </w:r>
    </w:p>
    <w:p w14:paraId="174B4676"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1F7C4C85">
          <v:rect id="_x0000_i1028" alt="" style="width:468pt;height:.05pt;mso-width-percent:0;mso-height-percent:0;mso-width-percent:0;mso-height-percent:0" o:hralign="center" o:hrstd="t" o:hr="t"/>
        </w:pict>
      </w:r>
    </w:p>
    <w:p w14:paraId="3DDAE087" w14:textId="77777777" w:rsidR="00076D1A" w:rsidRPr="009517DD" w:rsidRDefault="00000000">
      <w:pPr>
        <w:pStyle w:val="Heading3"/>
        <w:rPr>
          <w:rFonts w:ascii="Calibri" w:hAnsi="Calibri" w:cs="Calibri"/>
          <w:sz w:val="22"/>
          <w:szCs w:val="22"/>
        </w:rPr>
      </w:pPr>
      <w:bookmarkStart w:id="8" w:name="expected-outcomes"/>
      <w:bookmarkEnd w:id="7"/>
      <w:r w:rsidRPr="009517DD">
        <w:rPr>
          <w:rFonts w:ascii="Calibri" w:hAnsi="Calibri" w:cs="Calibri"/>
          <w:sz w:val="22"/>
          <w:szCs w:val="22"/>
        </w:rPr>
        <w:t>7. EXPECTED OUTCOMES</w:t>
      </w:r>
    </w:p>
    <w:p w14:paraId="10E475B6" w14:textId="77777777" w:rsidR="00076D1A" w:rsidRPr="009517DD" w:rsidRDefault="00000000">
      <w:pPr>
        <w:pStyle w:val="FirstParagraph"/>
        <w:rPr>
          <w:rFonts w:ascii="Calibri" w:hAnsi="Calibri" w:cs="Calibri"/>
          <w:sz w:val="22"/>
          <w:szCs w:val="22"/>
        </w:rPr>
      </w:pPr>
      <w:r w:rsidRPr="009517DD">
        <w:rPr>
          <w:rFonts w:ascii="Calibri" w:hAnsi="Calibri" w:cs="Calibri"/>
          <w:b/>
          <w:bCs/>
          <w:sz w:val="22"/>
          <w:szCs w:val="22"/>
        </w:rPr>
        <w:t>Academic:</w:t>
      </w:r>
      <w:r w:rsidRPr="009517DD">
        <w:rPr>
          <w:rFonts w:ascii="Calibri" w:hAnsi="Calibri" w:cs="Calibri"/>
          <w:sz w:val="22"/>
          <w:szCs w:val="22"/>
        </w:rPr>
        <w:t xml:space="preserve"> - 2-3 peer-reviewed publications - Validated NLP methodology FOI analysis - Contribution to international FOI responsiveness literature</w:t>
      </w:r>
      <w:r w:rsidR="00A83898" w:rsidRPr="009517DD">
        <w:rPr>
          <w:rFonts w:ascii="Calibri" w:hAnsi="Calibri" w:cs="Calibri"/>
          <w:sz w:val="22"/>
          <w:szCs w:val="22"/>
        </w:rPr>
        <w:t xml:space="preserve"> promoting Brussels as leading first case.</w:t>
      </w:r>
    </w:p>
    <w:p w14:paraId="2784725A" w14:textId="77777777" w:rsidR="001F4E8A" w:rsidRPr="009517DD" w:rsidRDefault="001F4E8A"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b/>
          <w:bCs/>
          <w:sz w:val="22"/>
          <w:szCs w:val="22"/>
        </w:rPr>
      </w:pPr>
      <w:r w:rsidRPr="009517DD">
        <w:rPr>
          <w:rFonts w:ascii="Calibri" w:hAnsi="Calibri" w:cs="Calibri"/>
          <w:b/>
          <w:bCs/>
          <w:sz w:val="22"/>
          <w:szCs w:val="22"/>
        </w:rPr>
        <w:t>Practical:</w:t>
      </w:r>
    </w:p>
    <w:p w14:paraId="1F23B91E" w14:textId="77777777" w:rsidR="001F4E8A" w:rsidRPr="009517DD" w:rsidRDefault="001F4E8A"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sz w:val="22"/>
          <w:szCs w:val="22"/>
        </w:rPr>
      </w:pPr>
      <w:r w:rsidRPr="009517DD">
        <w:rPr>
          <w:rFonts w:ascii="Calibri" w:hAnsi="Calibri" w:cs="Calibri"/>
          <w:sz w:val="22"/>
          <w:szCs w:val="22"/>
        </w:rPr>
        <w:t xml:space="preserve">- </w:t>
      </w:r>
      <w:r w:rsidR="00B6135D" w:rsidRPr="009517DD">
        <w:rPr>
          <w:rFonts w:ascii="Calibri" w:hAnsi="Calibri" w:cs="Calibri"/>
          <w:sz w:val="22"/>
          <w:szCs w:val="22"/>
          <w:u w:val="single"/>
        </w:rPr>
        <w:t>Dashboard for the public</w:t>
      </w:r>
      <w:r w:rsidRPr="009517DD">
        <w:rPr>
          <w:rFonts w:ascii="Calibri" w:hAnsi="Calibri" w:cs="Calibri"/>
          <w:sz w:val="22"/>
          <w:szCs w:val="22"/>
          <w:u w:val="single"/>
        </w:rPr>
        <w:t>:</w:t>
      </w:r>
      <w:r w:rsidRPr="009517DD">
        <w:rPr>
          <w:rFonts w:ascii="Calibri" w:hAnsi="Calibri" w:cs="Calibri"/>
          <w:sz w:val="22"/>
          <w:szCs w:val="22"/>
        </w:rPr>
        <w:t xml:space="preserve"> A tool enabling</w:t>
      </w:r>
      <w:r w:rsidR="00BC1156" w:rsidRPr="009517DD">
        <w:rPr>
          <w:rFonts w:ascii="Calibri" w:hAnsi="Calibri" w:cs="Calibri"/>
          <w:sz w:val="22"/>
          <w:szCs w:val="22"/>
        </w:rPr>
        <w:t xml:space="preserve"> </w:t>
      </w:r>
      <w:r w:rsidRPr="009517DD">
        <w:rPr>
          <w:rFonts w:ascii="Calibri" w:hAnsi="Calibri" w:cs="Calibri"/>
          <w:sz w:val="22"/>
          <w:szCs w:val="22"/>
        </w:rPr>
        <w:t>the platform to automatically classify, and visualize</w:t>
      </w:r>
      <w:r w:rsidR="00BC1156" w:rsidRPr="009517DD">
        <w:rPr>
          <w:rFonts w:ascii="Calibri" w:hAnsi="Calibri" w:cs="Calibri"/>
          <w:sz w:val="22"/>
          <w:szCs w:val="22"/>
        </w:rPr>
        <w:t xml:space="preserve"> </w:t>
      </w:r>
      <w:r w:rsidRPr="009517DD">
        <w:rPr>
          <w:rFonts w:ascii="Calibri" w:hAnsi="Calibri" w:cs="Calibri"/>
          <w:sz w:val="22"/>
          <w:szCs w:val="22"/>
        </w:rPr>
        <w:t>FOI request-response patterns across administrations and over time — transforming raw data into actionable insights for</w:t>
      </w:r>
      <w:r w:rsidR="00BC1156" w:rsidRPr="009517DD">
        <w:rPr>
          <w:rFonts w:ascii="Calibri" w:hAnsi="Calibri" w:cs="Calibri"/>
          <w:sz w:val="22"/>
          <w:szCs w:val="22"/>
        </w:rPr>
        <w:t xml:space="preserve"> </w:t>
      </w:r>
      <w:r w:rsidRPr="009517DD">
        <w:rPr>
          <w:rFonts w:ascii="Calibri" w:hAnsi="Calibri" w:cs="Calibri"/>
          <w:sz w:val="22"/>
          <w:szCs w:val="22"/>
        </w:rPr>
        <w:t>advocacy, reporting, and platform improvement.</w:t>
      </w:r>
    </w:p>
    <w:p w14:paraId="3881863F" w14:textId="77777777" w:rsidR="00BC1156" w:rsidRPr="009517DD" w:rsidRDefault="00BC1156" w:rsidP="001F4E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sz w:val="22"/>
          <w:szCs w:val="22"/>
        </w:rPr>
      </w:pPr>
    </w:p>
    <w:p w14:paraId="5C07EA43" w14:textId="77777777" w:rsidR="001F4E8A" w:rsidRPr="009517DD" w:rsidRDefault="001F4E8A" w:rsidP="00BC1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sz w:val="22"/>
          <w:szCs w:val="22"/>
        </w:rPr>
      </w:pPr>
      <w:r w:rsidRPr="009517DD">
        <w:rPr>
          <w:rFonts w:ascii="Calibri" w:hAnsi="Calibri" w:cs="Calibri"/>
          <w:sz w:val="22"/>
          <w:szCs w:val="22"/>
        </w:rPr>
        <w:lastRenderedPageBreak/>
        <w:t xml:space="preserve">- </w:t>
      </w:r>
      <w:r w:rsidRPr="009517DD">
        <w:rPr>
          <w:rFonts w:ascii="Calibri" w:hAnsi="Calibri" w:cs="Calibri"/>
          <w:sz w:val="22"/>
          <w:szCs w:val="22"/>
          <w:u w:val="single"/>
        </w:rPr>
        <w:t>Dashboard for public administration</w:t>
      </w:r>
      <w:r w:rsidRPr="009517DD">
        <w:rPr>
          <w:rFonts w:ascii="Calibri" w:hAnsi="Calibri" w:cs="Calibri"/>
          <w:sz w:val="22"/>
          <w:szCs w:val="22"/>
        </w:rPr>
        <w:t>: An operational monitoring tool co-designed and piloted with a Brussels-Capital Region municipality, allowing public bodies to track their own FOI responsiveness metrics (timeliness, completeness, tone), benchmark against peers, and identify areas for organizational improvement. Designed to be scalable across the 19 Brussels communes and, in perspective, across the 1,810 public authorities on Transparencia.be.</w:t>
      </w:r>
    </w:p>
    <w:p w14:paraId="36B30234"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0307A1D3">
          <v:rect id="_x0000_i1027" alt="" style="width:468pt;height:.05pt;mso-width-percent:0;mso-height-percent:0;mso-width-percent:0;mso-height-percent:0" o:hralign="center" o:hrstd="t" o:hr="t"/>
        </w:pict>
      </w:r>
    </w:p>
    <w:p w14:paraId="0C685405" w14:textId="77777777" w:rsidR="00076D1A" w:rsidRPr="009517DD" w:rsidRDefault="00000000">
      <w:pPr>
        <w:pStyle w:val="Heading3"/>
        <w:rPr>
          <w:rFonts w:ascii="Calibri" w:hAnsi="Calibri" w:cs="Calibri"/>
          <w:sz w:val="22"/>
          <w:szCs w:val="22"/>
        </w:rPr>
      </w:pPr>
      <w:bookmarkStart w:id="9" w:name="why-co-research"/>
      <w:bookmarkEnd w:id="8"/>
      <w:r w:rsidRPr="009517DD">
        <w:rPr>
          <w:rFonts w:ascii="Calibri" w:hAnsi="Calibri" w:cs="Calibri"/>
          <w:sz w:val="22"/>
          <w:szCs w:val="22"/>
        </w:rPr>
        <w:t>8. WHY CO-RESEARCH?</w:t>
      </w:r>
    </w:p>
    <w:p w14:paraId="196BF01A" w14:textId="77777777" w:rsidR="00076D1A" w:rsidRPr="009517DD" w:rsidRDefault="00000000">
      <w:pPr>
        <w:pStyle w:val="FirstParagraph"/>
        <w:rPr>
          <w:rFonts w:ascii="Calibri" w:hAnsi="Calibri" w:cs="Calibri"/>
          <w:sz w:val="22"/>
          <w:szCs w:val="22"/>
        </w:rPr>
      </w:pPr>
      <w:r w:rsidRPr="009517DD">
        <w:rPr>
          <w:rFonts w:ascii="Calibri" w:hAnsi="Calibri" w:cs="Calibri"/>
          <w:sz w:val="22"/>
          <w:szCs w:val="22"/>
        </w:rPr>
        <w:t>This project requires co-research</w:t>
      </w:r>
      <w:r w:rsidR="00062548" w:rsidRPr="009517DD">
        <w:rPr>
          <w:rFonts w:ascii="Calibri" w:hAnsi="Calibri" w:cs="Calibri"/>
          <w:sz w:val="22"/>
          <w:szCs w:val="22"/>
        </w:rPr>
        <w:t xml:space="preserve"> </w:t>
      </w:r>
      <w:r w:rsidRPr="009517DD">
        <w:rPr>
          <w:rFonts w:ascii="Calibri" w:hAnsi="Calibri" w:cs="Calibri"/>
          <w:sz w:val="22"/>
          <w:szCs w:val="22"/>
        </w:rPr>
        <w:t>because:</w:t>
      </w:r>
    </w:p>
    <w:p w14:paraId="5CE6D655" w14:textId="77777777" w:rsidR="00076D1A" w:rsidRPr="009517DD" w:rsidRDefault="00000000">
      <w:pPr>
        <w:pStyle w:val="Compact"/>
        <w:numPr>
          <w:ilvl w:val="0"/>
          <w:numId w:val="4"/>
        </w:numPr>
        <w:rPr>
          <w:rFonts w:ascii="Calibri" w:hAnsi="Calibri" w:cs="Calibri"/>
          <w:sz w:val="22"/>
          <w:szCs w:val="22"/>
        </w:rPr>
      </w:pPr>
      <w:r w:rsidRPr="009517DD">
        <w:rPr>
          <w:rFonts w:ascii="Calibri" w:hAnsi="Calibri" w:cs="Calibri"/>
          <w:b/>
          <w:bCs/>
          <w:sz w:val="22"/>
          <w:szCs w:val="22"/>
        </w:rPr>
        <w:t>Fundamental uncertainty</w:t>
      </w:r>
      <w:r w:rsidRPr="009517DD">
        <w:rPr>
          <w:rFonts w:ascii="Calibri" w:hAnsi="Calibri" w:cs="Calibri"/>
          <w:sz w:val="22"/>
          <w:szCs w:val="22"/>
        </w:rPr>
        <w:t xml:space="preserve"> exists about what factors truly drive FOI responsiveness</w:t>
      </w:r>
    </w:p>
    <w:p w14:paraId="1EB96042" w14:textId="77777777" w:rsidR="00076D1A" w:rsidRPr="009517DD" w:rsidRDefault="00000000">
      <w:pPr>
        <w:pStyle w:val="Compact"/>
        <w:numPr>
          <w:ilvl w:val="0"/>
          <w:numId w:val="4"/>
        </w:numPr>
        <w:rPr>
          <w:rFonts w:ascii="Calibri" w:hAnsi="Calibri" w:cs="Calibri"/>
          <w:sz w:val="22"/>
          <w:szCs w:val="22"/>
        </w:rPr>
      </w:pPr>
      <w:r w:rsidRPr="009517DD">
        <w:rPr>
          <w:rFonts w:ascii="Calibri" w:hAnsi="Calibri" w:cs="Calibri"/>
          <w:b/>
          <w:bCs/>
          <w:sz w:val="22"/>
          <w:szCs w:val="22"/>
        </w:rPr>
        <w:t>Knowledge must be co-constructed</w:t>
      </w:r>
      <w:r w:rsidRPr="009517DD">
        <w:rPr>
          <w:rFonts w:ascii="Calibri" w:hAnsi="Calibri" w:cs="Calibri"/>
          <w:sz w:val="22"/>
          <w:szCs w:val="22"/>
        </w:rPr>
        <w:t xml:space="preserve"> between academics and civil society</w:t>
      </w:r>
    </w:p>
    <w:p w14:paraId="48AE9499" w14:textId="77777777" w:rsidR="00076D1A" w:rsidRPr="009517DD" w:rsidRDefault="00000000">
      <w:pPr>
        <w:pStyle w:val="Compact"/>
        <w:numPr>
          <w:ilvl w:val="0"/>
          <w:numId w:val="4"/>
        </w:numPr>
        <w:rPr>
          <w:rFonts w:ascii="Calibri" w:hAnsi="Calibri" w:cs="Calibri"/>
          <w:sz w:val="22"/>
          <w:szCs w:val="22"/>
        </w:rPr>
      </w:pPr>
      <w:r w:rsidRPr="009517DD">
        <w:rPr>
          <w:rFonts w:ascii="Calibri" w:hAnsi="Calibri" w:cs="Calibri"/>
          <w:b/>
          <w:bCs/>
          <w:sz w:val="22"/>
          <w:szCs w:val="22"/>
        </w:rPr>
        <w:t>Research questions remain open</w:t>
      </w:r>
      <w:r w:rsidRPr="009517DD">
        <w:rPr>
          <w:rFonts w:ascii="Calibri" w:hAnsi="Calibri" w:cs="Calibri"/>
          <w:sz w:val="22"/>
          <w:szCs w:val="22"/>
        </w:rPr>
        <w:t xml:space="preserve"> - we don’t yet know what solutions will emerge</w:t>
      </w:r>
    </w:p>
    <w:p w14:paraId="6C879C81" w14:textId="77777777" w:rsidR="00076D1A" w:rsidRPr="009517DD" w:rsidRDefault="00000000">
      <w:pPr>
        <w:pStyle w:val="Compact"/>
        <w:numPr>
          <w:ilvl w:val="0"/>
          <w:numId w:val="4"/>
        </w:numPr>
        <w:rPr>
          <w:rFonts w:ascii="Calibri" w:hAnsi="Calibri" w:cs="Calibri"/>
          <w:sz w:val="22"/>
          <w:szCs w:val="22"/>
        </w:rPr>
      </w:pPr>
      <w:r w:rsidRPr="009517DD">
        <w:rPr>
          <w:rFonts w:ascii="Calibri" w:hAnsi="Calibri" w:cs="Calibri"/>
          <w:b/>
          <w:bCs/>
          <w:sz w:val="22"/>
          <w:szCs w:val="22"/>
        </w:rPr>
        <w:t>Methodological innovation</w:t>
      </w:r>
      <w:r w:rsidRPr="009517DD">
        <w:rPr>
          <w:rFonts w:ascii="Calibri" w:hAnsi="Calibri" w:cs="Calibri"/>
          <w:sz w:val="22"/>
          <w:szCs w:val="22"/>
        </w:rPr>
        <w:t xml:space="preserve"> is needed to study this domain</w:t>
      </w:r>
    </w:p>
    <w:p w14:paraId="298BE26C" w14:textId="77777777" w:rsidR="00C30CC4" w:rsidRPr="009517DD" w:rsidRDefault="00C30CC4">
      <w:pPr>
        <w:pStyle w:val="Compact"/>
        <w:numPr>
          <w:ilvl w:val="0"/>
          <w:numId w:val="4"/>
        </w:numPr>
        <w:rPr>
          <w:rFonts w:ascii="Calibri" w:hAnsi="Calibri" w:cs="Calibri"/>
          <w:sz w:val="22"/>
          <w:szCs w:val="22"/>
        </w:rPr>
      </w:pPr>
      <w:r w:rsidRPr="009517DD">
        <w:rPr>
          <w:rFonts w:ascii="Calibri" w:hAnsi="Calibri" w:cs="Calibri"/>
          <w:b/>
          <w:bCs/>
          <w:sz w:val="22"/>
          <w:szCs w:val="22"/>
        </w:rPr>
        <w:t>The identification of a suitable PA partner — specifically, a municipality of the Brussels-Capital Region — remains an open task to be addressed in the early phase of the project</w:t>
      </w:r>
    </w:p>
    <w:p w14:paraId="767A0FBD" w14:textId="77777777" w:rsidR="009F1335" w:rsidRPr="009517DD" w:rsidRDefault="009F1335">
      <w:pPr>
        <w:rPr>
          <w:rFonts w:ascii="Calibri" w:hAnsi="Calibri" w:cs="Calibri"/>
          <w:sz w:val="22"/>
          <w:szCs w:val="22"/>
        </w:rPr>
      </w:pPr>
      <w:bookmarkStart w:id="10" w:name="indicative-budget"/>
      <w:bookmarkEnd w:id="9"/>
    </w:p>
    <w:p w14:paraId="43BAC2F1" w14:textId="77777777" w:rsidR="009F1335" w:rsidRPr="009517DD" w:rsidRDefault="009F1335" w:rsidP="009F13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sz w:val="22"/>
          <w:szCs w:val="22"/>
        </w:rPr>
      </w:pPr>
      <w:r w:rsidRPr="009517DD">
        <w:rPr>
          <w:rFonts w:ascii="Calibri" w:hAnsi="Calibri" w:cs="Calibri"/>
          <w:sz w:val="22"/>
          <w:szCs w:val="22"/>
        </w:rPr>
        <w:t>Note: We have considered whether this project better fits co-problematisation.</w:t>
      </w:r>
    </w:p>
    <w:p w14:paraId="6ED56600" w14:textId="77777777" w:rsidR="009F1335" w:rsidRPr="009517DD" w:rsidRDefault="009F1335" w:rsidP="009F13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alibri" w:hAnsi="Calibri" w:cs="Calibri"/>
          <w:sz w:val="22"/>
          <w:szCs w:val="22"/>
        </w:rPr>
      </w:pPr>
      <w:r w:rsidRPr="009517DD">
        <w:rPr>
          <w:rFonts w:ascii="Calibri" w:hAnsi="Calibri" w:cs="Calibri"/>
          <w:sz w:val="22"/>
          <w:szCs w:val="22"/>
        </w:rPr>
        <w:t>We believe the research problem is sufficiently identified to justify co-research — but we acknowledge that the community of interests (particularly the PA partner) is still consolidating, which is consistent with the Co-Create rule that "consolidation work can be continued during the project"(§2.2).</w:t>
      </w:r>
    </w:p>
    <w:p w14:paraId="0BB6EEA9"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16C41238">
          <v:rect id="_x0000_i1026" alt="" style="width:468pt;height:.05pt;mso-width-percent:0;mso-height-percent:0;mso-width-percent:0;mso-height-percent:0" o:hralign="center" o:hrstd="t" o:hr="t"/>
        </w:pict>
      </w:r>
    </w:p>
    <w:p w14:paraId="03EE8903" w14:textId="77777777" w:rsidR="00076D1A" w:rsidRPr="009517DD" w:rsidRDefault="00000000">
      <w:pPr>
        <w:pStyle w:val="Heading3"/>
        <w:rPr>
          <w:rFonts w:ascii="Calibri" w:hAnsi="Calibri" w:cs="Calibri"/>
          <w:sz w:val="22"/>
          <w:szCs w:val="22"/>
        </w:rPr>
      </w:pPr>
      <w:bookmarkStart w:id="11" w:name="international-network"/>
      <w:bookmarkEnd w:id="10"/>
      <w:r w:rsidRPr="009517DD">
        <w:rPr>
          <w:rFonts w:ascii="Calibri" w:hAnsi="Calibri" w:cs="Calibri"/>
          <w:sz w:val="22"/>
          <w:szCs w:val="22"/>
        </w:rPr>
        <w:t>10. INTERNATIONAL NETWORK</w:t>
      </w:r>
    </w:p>
    <w:p w14:paraId="710AF3BB" w14:textId="77777777" w:rsidR="00076D1A" w:rsidRPr="009517DD" w:rsidRDefault="00000000">
      <w:pPr>
        <w:pStyle w:val="FirstParagraph"/>
        <w:rPr>
          <w:rFonts w:ascii="Calibri" w:hAnsi="Calibri" w:cs="Calibri"/>
          <w:sz w:val="22"/>
          <w:szCs w:val="22"/>
        </w:rPr>
      </w:pPr>
      <w:r w:rsidRPr="009517DD">
        <w:rPr>
          <w:rFonts w:ascii="Calibri" w:hAnsi="Calibri" w:cs="Calibri"/>
          <w:sz w:val="22"/>
          <w:szCs w:val="22"/>
        </w:rPr>
        <w:t xml:space="preserve">Through Prof. Esposito’s research network, we have established contacts with: - </w:t>
      </w:r>
      <w:r w:rsidRPr="009517DD">
        <w:rPr>
          <w:rFonts w:ascii="Calibri" w:hAnsi="Calibri" w:cs="Calibri"/>
          <w:b/>
          <w:bCs/>
          <w:sz w:val="22"/>
          <w:szCs w:val="22"/>
        </w:rPr>
        <w:t>Ma Dada</w:t>
      </w:r>
      <w:r w:rsidRPr="009517DD">
        <w:rPr>
          <w:rFonts w:ascii="Calibri" w:hAnsi="Calibri" w:cs="Calibri"/>
          <w:sz w:val="22"/>
          <w:szCs w:val="22"/>
        </w:rPr>
        <w:t xml:space="preserve"> (FOI platform) - </w:t>
      </w:r>
      <w:r w:rsidRPr="009517DD">
        <w:rPr>
          <w:rFonts w:ascii="Calibri" w:hAnsi="Calibri" w:cs="Calibri"/>
          <w:b/>
          <w:bCs/>
          <w:sz w:val="22"/>
          <w:szCs w:val="22"/>
        </w:rPr>
        <w:t>AskTheEU.org</w:t>
      </w:r>
      <w:r w:rsidRPr="009517DD">
        <w:rPr>
          <w:rFonts w:ascii="Calibri" w:hAnsi="Calibri" w:cs="Calibri"/>
          <w:sz w:val="22"/>
          <w:szCs w:val="22"/>
        </w:rPr>
        <w:t xml:space="preserve"> (Access Info Europe) - </w:t>
      </w:r>
      <w:r w:rsidRPr="009517DD">
        <w:rPr>
          <w:rFonts w:ascii="Calibri" w:hAnsi="Calibri" w:cs="Calibri"/>
          <w:b/>
          <w:bCs/>
          <w:sz w:val="22"/>
          <w:szCs w:val="22"/>
        </w:rPr>
        <w:t>mySociety</w:t>
      </w:r>
      <w:r w:rsidRPr="009517DD">
        <w:rPr>
          <w:rFonts w:ascii="Calibri" w:hAnsi="Calibri" w:cs="Calibri"/>
          <w:sz w:val="22"/>
          <w:szCs w:val="22"/>
        </w:rPr>
        <w:t xml:space="preserve"> (UK, operating WhatDoTheyKnow.com)</w:t>
      </w:r>
    </w:p>
    <w:p w14:paraId="4C353D40" w14:textId="77777777" w:rsidR="00076D1A" w:rsidRPr="009517DD" w:rsidRDefault="00000000">
      <w:pPr>
        <w:pStyle w:val="BodyText"/>
        <w:rPr>
          <w:rFonts w:ascii="Calibri" w:hAnsi="Calibri" w:cs="Calibri"/>
          <w:sz w:val="22"/>
          <w:szCs w:val="22"/>
        </w:rPr>
      </w:pPr>
      <w:r w:rsidRPr="009517DD">
        <w:rPr>
          <w:rFonts w:ascii="Calibri" w:hAnsi="Calibri" w:cs="Calibri"/>
          <w:sz w:val="22"/>
          <w:szCs w:val="22"/>
        </w:rPr>
        <w:t>This enables comparative analysis contextualizing Brussels findings internationally.</w:t>
      </w:r>
    </w:p>
    <w:p w14:paraId="317BA4E1" w14:textId="77777777" w:rsidR="00076D1A" w:rsidRPr="009517DD" w:rsidRDefault="002E3B93">
      <w:pPr>
        <w:rPr>
          <w:rFonts w:ascii="Calibri" w:hAnsi="Calibri" w:cs="Calibri"/>
          <w:sz w:val="22"/>
          <w:szCs w:val="22"/>
        </w:rPr>
      </w:pPr>
      <w:r w:rsidRPr="002E3B93">
        <w:rPr>
          <w:rFonts w:ascii="Calibri" w:hAnsi="Calibri" w:cs="Calibri"/>
          <w:noProof/>
          <w:sz w:val="22"/>
          <w:szCs w:val="22"/>
        </w:rPr>
        <w:pict w14:anchorId="3E0BD9CC">
          <v:rect id="_x0000_i1025" alt="" style="width:468pt;height:.05pt;mso-width-percent:0;mso-height-percent:0;mso-width-percent:0;mso-height-percent:0" o:hralign="center" o:hrstd="t" o:hr="t"/>
        </w:pict>
      </w:r>
    </w:p>
    <w:bookmarkEnd w:id="0"/>
    <w:bookmarkEnd w:id="1"/>
    <w:bookmarkEnd w:id="11"/>
    <w:p w14:paraId="6F712367" w14:textId="77777777" w:rsidR="008611FE" w:rsidRPr="009517DD" w:rsidRDefault="008611FE" w:rsidP="008611FE">
      <w:pPr>
        <w:pStyle w:val="BodyText"/>
        <w:rPr>
          <w:rFonts w:ascii="Calibri" w:hAnsi="Calibri" w:cs="Calibri"/>
        </w:rPr>
      </w:pPr>
    </w:p>
    <w:sectPr w:rsidR="008611FE" w:rsidRPr="009517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C24B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8055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926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A43845"/>
    <w:multiLevelType w:val="hybridMultilevel"/>
    <w:tmpl w:val="C030A40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 w15:restartNumberingAfterBreak="0">
    <w:nsid w:val="1474586B"/>
    <w:multiLevelType w:val="hybridMultilevel"/>
    <w:tmpl w:val="996ADF74"/>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5" w15:restartNumberingAfterBreak="0">
    <w:nsid w:val="15522035"/>
    <w:multiLevelType w:val="hybridMultilevel"/>
    <w:tmpl w:val="8B62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75DFE"/>
    <w:multiLevelType w:val="hybridMultilevel"/>
    <w:tmpl w:val="5D366FF2"/>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7" w15:restartNumberingAfterBreak="0">
    <w:nsid w:val="393E478F"/>
    <w:multiLevelType w:val="hybridMultilevel"/>
    <w:tmpl w:val="41DAC100"/>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8" w15:restartNumberingAfterBreak="0">
    <w:nsid w:val="4D50407B"/>
    <w:multiLevelType w:val="hybridMultilevel"/>
    <w:tmpl w:val="17FEC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691076"/>
    <w:multiLevelType w:val="hybridMultilevel"/>
    <w:tmpl w:val="699C1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23F2BC7"/>
    <w:multiLevelType w:val="hybridMultilevel"/>
    <w:tmpl w:val="4C3E6DF0"/>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num w:numId="1" w16cid:durableId="1961258025">
    <w:abstractNumId w:val="0"/>
  </w:num>
  <w:num w:numId="2" w16cid:durableId="792748451">
    <w:abstractNumId w:val="1"/>
  </w:num>
  <w:num w:numId="3" w16cid:durableId="431780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2084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0734769">
    <w:abstractNumId w:val="1"/>
  </w:num>
  <w:num w:numId="6" w16cid:durableId="1735158154">
    <w:abstractNumId w:val="6"/>
  </w:num>
  <w:num w:numId="7" w16cid:durableId="2012444681">
    <w:abstractNumId w:val="7"/>
  </w:num>
  <w:num w:numId="8" w16cid:durableId="1072578944">
    <w:abstractNumId w:val="4"/>
  </w:num>
  <w:num w:numId="9" w16cid:durableId="1446922497">
    <w:abstractNumId w:val="10"/>
  </w:num>
  <w:num w:numId="10" w16cid:durableId="1337727748">
    <w:abstractNumId w:val="5"/>
  </w:num>
  <w:num w:numId="11" w16cid:durableId="1770197592">
    <w:abstractNumId w:val="9"/>
  </w:num>
  <w:num w:numId="12" w16cid:durableId="157506707">
    <w:abstractNumId w:val="8"/>
  </w:num>
  <w:num w:numId="13" w16cid:durableId="1313943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1A"/>
    <w:rsid w:val="000459D9"/>
    <w:rsid w:val="00062548"/>
    <w:rsid w:val="00076D1A"/>
    <w:rsid w:val="000C3C8A"/>
    <w:rsid w:val="001552D4"/>
    <w:rsid w:val="00164B99"/>
    <w:rsid w:val="001F4E8A"/>
    <w:rsid w:val="00203351"/>
    <w:rsid w:val="00234654"/>
    <w:rsid w:val="00262526"/>
    <w:rsid w:val="002625C6"/>
    <w:rsid w:val="00274FCC"/>
    <w:rsid w:val="00283E2C"/>
    <w:rsid w:val="002847D9"/>
    <w:rsid w:val="002E3B93"/>
    <w:rsid w:val="002F3608"/>
    <w:rsid w:val="002F4C97"/>
    <w:rsid w:val="003010D5"/>
    <w:rsid w:val="00314DA5"/>
    <w:rsid w:val="003507E0"/>
    <w:rsid w:val="00356287"/>
    <w:rsid w:val="003A5DFD"/>
    <w:rsid w:val="003D2D6B"/>
    <w:rsid w:val="004516D5"/>
    <w:rsid w:val="005160C8"/>
    <w:rsid w:val="005B0E1E"/>
    <w:rsid w:val="005B52A5"/>
    <w:rsid w:val="005C2FA8"/>
    <w:rsid w:val="005C7D04"/>
    <w:rsid w:val="005F05DE"/>
    <w:rsid w:val="00646271"/>
    <w:rsid w:val="006D2B36"/>
    <w:rsid w:val="00775A60"/>
    <w:rsid w:val="00787253"/>
    <w:rsid w:val="007C4CF2"/>
    <w:rsid w:val="00831B45"/>
    <w:rsid w:val="00852975"/>
    <w:rsid w:val="00855472"/>
    <w:rsid w:val="008611FE"/>
    <w:rsid w:val="0087167D"/>
    <w:rsid w:val="008A06D7"/>
    <w:rsid w:val="008D486C"/>
    <w:rsid w:val="009046C1"/>
    <w:rsid w:val="009218FE"/>
    <w:rsid w:val="009517DD"/>
    <w:rsid w:val="009B37C5"/>
    <w:rsid w:val="009D7CB1"/>
    <w:rsid w:val="009F1335"/>
    <w:rsid w:val="00A24D97"/>
    <w:rsid w:val="00A74A81"/>
    <w:rsid w:val="00A83448"/>
    <w:rsid w:val="00A83898"/>
    <w:rsid w:val="00AD56D2"/>
    <w:rsid w:val="00B1290A"/>
    <w:rsid w:val="00B152E4"/>
    <w:rsid w:val="00B52BFE"/>
    <w:rsid w:val="00B568B2"/>
    <w:rsid w:val="00B6135D"/>
    <w:rsid w:val="00BC1156"/>
    <w:rsid w:val="00BD2EC8"/>
    <w:rsid w:val="00BE6640"/>
    <w:rsid w:val="00C30CC4"/>
    <w:rsid w:val="00C64441"/>
    <w:rsid w:val="00D41525"/>
    <w:rsid w:val="00D61514"/>
    <w:rsid w:val="00DA6679"/>
    <w:rsid w:val="00E31D7A"/>
    <w:rsid w:val="00E81F20"/>
    <w:rsid w:val="00E92D05"/>
    <w:rsid w:val="00E94614"/>
    <w:rsid w:val="00F10133"/>
    <w:rsid w:val="00F1245C"/>
    <w:rsid w:val="00F15D44"/>
    <w:rsid w:val="00F255E2"/>
    <w:rsid w:val="00F8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AA8A"/>
  <w15:docId w15:val="{3DCA980A-F7F8-AC4E-AAE2-4E569E28C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526"/>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1245C"/>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F1245C"/>
    <w:rPr>
      <w:b/>
      <w:bCs/>
    </w:rPr>
  </w:style>
  <w:style w:type="character" w:customStyle="1" w:styleId="apple-converted-space">
    <w:name w:val="apple-converted-space"/>
    <w:basedOn w:val="DefaultParagraphFont"/>
    <w:rsid w:val="00F1245C"/>
  </w:style>
  <w:style w:type="character" w:styleId="Emphasis">
    <w:name w:val="Emphasis"/>
    <w:basedOn w:val="DefaultParagraphFont"/>
    <w:uiPriority w:val="20"/>
    <w:qFormat/>
    <w:rsid w:val="00F1245C"/>
    <w:rPr>
      <w:i/>
      <w:iCs/>
    </w:rPr>
  </w:style>
  <w:style w:type="character" w:customStyle="1" w:styleId="whitespace-normal">
    <w:name w:val="whitespace-normal"/>
    <w:basedOn w:val="DefaultParagraphFont"/>
    <w:rsid w:val="009046C1"/>
  </w:style>
  <w:style w:type="paragraph" w:styleId="ListParagraph">
    <w:name w:val="List Paragraph"/>
    <w:basedOn w:val="Normal"/>
    <w:rsid w:val="00A24D97"/>
    <w:pPr>
      <w:ind w:left="720"/>
      <w:contextualSpacing/>
    </w:pPr>
  </w:style>
  <w:style w:type="character" w:customStyle="1" w:styleId="x3jgonx">
    <w:name w:val="x3jgonx"/>
    <w:basedOn w:val="DefaultParagraphFont"/>
    <w:rsid w:val="007C4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C9F47-B6ED-C840-A187-CC61445BC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3375</Words>
  <Characters>19239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Enrico Quaglia</dc:creator>
  <cp:keywords/>
  <cp:lastModifiedBy>Enrico Quaglia</cp:lastModifiedBy>
  <cp:revision>15</cp:revision>
  <dcterms:created xsi:type="dcterms:W3CDTF">2026-02-13T16:16:00Z</dcterms:created>
  <dcterms:modified xsi:type="dcterms:W3CDTF">2026-02-28T17:31:00Z</dcterms:modified>
</cp:coreProperties>
</file>