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DAD93C"/>
    <w:p w14:paraId="54F1FBAE"/>
    <w:p w14:paraId="1737BCBE">
      <w:pPr>
        <w:jc w:val="center"/>
      </w:pPr>
      <w:r>
        <w:drawing>
          <wp:inline distT="0" distB="0" distL="114300" distR="114300">
            <wp:extent cx="1943735" cy="1943735"/>
            <wp:effectExtent l="0" t="0" r="12065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44000" cy="19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E6653">
      <w:pPr>
        <w:jc w:val="center"/>
      </w:pPr>
      <w:r>
        <w:rPr>
          <w:rFonts w:eastAsia="微软雅黑"/>
          <w:b/>
          <w:color w:val="0A1E3C"/>
          <w:sz w:val="68"/>
        </w:rPr>
        <w:t>项目计划书</w:t>
      </w:r>
    </w:p>
    <w:p w14:paraId="2592B1B9">
      <w:pPr>
        <w:jc w:val="center"/>
      </w:pPr>
      <w:r>
        <w:rPr>
          <w:rFonts w:eastAsia="微软雅黑"/>
          <w:b/>
          <w:color w:val="177E7E"/>
          <w:sz w:val="44"/>
        </w:rPr>
        <w:t>蚁巢智运 AntNest</w:t>
      </w:r>
    </w:p>
    <w:p w14:paraId="0B5C21B8">
      <w:pPr>
        <w:jc w:val="center"/>
      </w:pPr>
      <w:r>
        <w:rPr>
          <w:rFonts w:eastAsia="微软雅黑"/>
          <w:color w:val="44505C"/>
          <w:sz w:val="28"/>
        </w:rPr>
        <w:t>多机器人协同搬运与边缘智能物流系统</w:t>
      </w:r>
    </w:p>
    <w:p w14:paraId="1F33F8BA"/>
    <w:p w14:paraId="37915ED5">
      <w:pPr>
        <w:jc w:val="center"/>
      </w:pPr>
      <w:r>
        <w:rPr>
          <w:rFonts w:eastAsia="微软雅黑"/>
          <w:color w:val="C26A00"/>
          <w:sz w:val="24"/>
        </w:rPr>
        <w:t>—— 基于嵌入式边缘 AI 视觉与集群协同的柔性物流解决方案 ——</w:t>
      </w:r>
    </w:p>
    <w:p w14:paraId="40FBF463"/>
    <w:p w14:paraId="348DE1C5"/>
    <w:p w14:paraId="7B602574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5669"/>
      </w:tblGrid>
      <w:tr w14:paraId="5FC865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AF1F7"/>
            <w:vAlign w:val="center"/>
          </w:tcPr>
          <w:p w14:paraId="02487B93">
            <w:pPr>
              <w:spacing w:after="0" w:line="240" w:lineRule="auto"/>
            </w:pPr>
            <w:r>
              <w:rPr>
                <w:rFonts w:eastAsia="微软雅黑"/>
                <w:b/>
                <w:sz w:val="22"/>
              </w:rPr>
              <w:t>版本</w:t>
            </w:r>
          </w:p>
        </w:tc>
        <w:tc>
          <w:tcPr>
            <w:tcW w:w="5669" w:type="dxa"/>
            <w:vAlign w:val="center"/>
          </w:tcPr>
          <w:p w14:paraId="434696EC">
            <w:pPr>
              <w:spacing w:after="0" w:line="240" w:lineRule="auto"/>
            </w:pPr>
            <w:r>
              <w:rPr>
                <w:rFonts w:eastAsia="微软雅黑"/>
                <w:b w:val="0"/>
                <w:sz w:val="22"/>
              </w:rPr>
              <w:t>V1.1</w:t>
            </w:r>
          </w:p>
        </w:tc>
      </w:tr>
      <w:tr w14:paraId="254C6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AF1F7"/>
            <w:vAlign w:val="center"/>
          </w:tcPr>
          <w:p w14:paraId="74D7B69F">
            <w:pPr>
              <w:spacing w:after="0" w:line="240" w:lineRule="auto"/>
            </w:pPr>
            <w:r>
              <w:rPr>
                <w:rFonts w:eastAsia="微软雅黑"/>
                <w:b/>
                <w:sz w:val="22"/>
              </w:rPr>
              <w:t>编制</w:t>
            </w:r>
          </w:p>
        </w:tc>
        <w:tc>
          <w:tcPr>
            <w:tcW w:w="5669" w:type="dxa"/>
            <w:vAlign w:val="center"/>
          </w:tcPr>
          <w:p w14:paraId="1427CF48">
            <w:pPr>
              <w:spacing w:after="0" w:line="240" w:lineRule="auto"/>
            </w:pPr>
            <w:r>
              <w:rPr>
                <w:rFonts w:eastAsia="微软雅黑"/>
                <w:b w:val="0"/>
                <w:sz w:val="22"/>
              </w:rPr>
              <w:t>哈工大（深圳）智能车实验室项目组</w:t>
            </w:r>
          </w:p>
        </w:tc>
      </w:tr>
      <w:tr w14:paraId="17F198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AF1F7"/>
            <w:vAlign w:val="center"/>
          </w:tcPr>
          <w:p w14:paraId="09F37812">
            <w:pPr>
              <w:spacing w:after="0" w:line="240" w:lineRule="auto"/>
            </w:pPr>
            <w:r>
              <w:rPr>
                <w:rFonts w:eastAsia="微软雅黑"/>
                <w:b/>
                <w:sz w:val="22"/>
              </w:rPr>
              <w:t>日期</w:t>
            </w:r>
          </w:p>
        </w:tc>
        <w:tc>
          <w:tcPr>
            <w:tcW w:w="5669" w:type="dxa"/>
            <w:vAlign w:val="center"/>
          </w:tcPr>
          <w:p w14:paraId="1B2B217F">
            <w:pPr>
              <w:spacing w:after="0" w:line="240" w:lineRule="auto"/>
            </w:pPr>
            <w:r>
              <w:rPr>
                <w:rFonts w:eastAsia="微软雅黑"/>
                <w:b w:val="0"/>
                <w:sz w:val="22"/>
              </w:rPr>
              <w:t>2026 年 8 月</w:t>
            </w:r>
          </w:p>
        </w:tc>
      </w:tr>
      <w:tr w14:paraId="031395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AF1F7"/>
            <w:vAlign w:val="center"/>
          </w:tcPr>
          <w:p w14:paraId="5B1A9F98">
            <w:pPr>
              <w:spacing w:after="0" w:line="240" w:lineRule="auto"/>
            </w:pPr>
            <w:r>
              <w:rPr>
                <w:rFonts w:eastAsia="微软雅黑"/>
                <w:b/>
                <w:sz w:val="22"/>
              </w:rPr>
              <w:t>密级</w:t>
            </w:r>
          </w:p>
        </w:tc>
        <w:tc>
          <w:tcPr>
            <w:tcW w:w="5669" w:type="dxa"/>
            <w:vAlign w:val="center"/>
          </w:tcPr>
          <w:p w14:paraId="72B29096"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b w:val="0"/>
                <w:sz w:val="22"/>
                <w:lang w:val="en-US" w:eastAsia="zh-CN"/>
              </w:rPr>
              <w:t>普通</w:t>
            </w:r>
          </w:p>
        </w:tc>
      </w:tr>
    </w:tbl>
    <w:p w14:paraId="6BD3ED09">
      <w:r>
        <w:br w:type="page"/>
      </w:r>
      <w:bookmarkStart w:id="0" w:name="_GoBack"/>
      <w:bookmarkEnd w:id="0"/>
    </w:p>
    <w:p w14:paraId="2027CD1F">
      <w:pPr>
        <w:pStyle w:val="3"/>
      </w:pPr>
      <w:r>
        <w:t>目 录</w:t>
      </w:r>
    </w:p>
    <w:p w14:paraId="05859A8B">
      <w:pPr>
        <w:spacing w:after="160"/>
      </w:pPr>
      <w:r>
        <w:rPr>
          <w:rFonts w:eastAsia="微软雅黑"/>
          <w:b w:val="0"/>
          <w:sz w:val="24"/>
        </w:rPr>
        <w:t>一、项目信息摘要</w:t>
      </w:r>
    </w:p>
    <w:p w14:paraId="608A226C">
      <w:pPr>
        <w:spacing w:after="160"/>
      </w:pPr>
      <w:r>
        <w:rPr>
          <w:rFonts w:eastAsia="微软雅黑"/>
          <w:b w:val="0"/>
          <w:sz w:val="24"/>
        </w:rPr>
        <w:t>二、项目概述</w:t>
      </w:r>
    </w:p>
    <w:p w14:paraId="5C312D8C">
      <w:pPr>
        <w:spacing w:after="160"/>
      </w:pPr>
      <w:r>
        <w:rPr>
          <w:rFonts w:eastAsia="微软雅黑"/>
          <w:b w:val="0"/>
          <w:sz w:val="24"/>
        </w:rPr>
        <w:t>三、市场分析</w:t>
      </w:r>
    </w:p>
    <w:p w14:paraId="6139130D">
      <w:pPr>
        <w:spacing w:after="160"/>
      </w:pPr>
      <w:r>
        <w:rPr>
          <w:rFonts w:eastAsia="微软雅黑"/>
          <w:b w:val="0"/>
          <w:sz w:val="24"/>
        </w:rPr>
        <w:t>四、产品与系统方案</w:t>
      </w:r>
    </w:p>
    <w:p w14:paraId="40CAFA00">
      <w:pPr>
        <w:spacing w:after="160"/>
      </w:pPr>
      <w:r>
        <w:rPr>
          <w:rFonts w:eastAsia="微软雅黑"/>
          <w:b w:val="0"/>
          <w:sz w:val="24"/>
        </w:rPr>
        <w:t>五、商业化路线</w:t>
      </w:r>
    </w:p>
    <w:p w14:paraId="6961CB22">
      <w:pPr>
        <w:spacing w:after="160"/>
      </w:pPr>
      <w:r>
        <w:rPr>
          <w:rFonts w:eastAsia="微软雅黑"/>
          <w:b w:val="0"/>
          <w:sz w:val="24"/>
        </w:rPr>
        <w:t>六、发展规划与里程碑</w:t>
      </w:r>
    </w:p>
    <w:p w14:paraId="6262590F">
      <w:pPr>
        <w:spacing w:after="160"/>
      </w:pPr>
      <w:r>
        <w:rPr>
          <w:rFonts w:eastAsia="微软雅黑"/>
          <w:b w:val="0"/>
          <w:sz w:val="24"/>
        </w:rPr>
        <w:t>七、团队与资源</w:t>
      </w:r>
    </w:p>
    <w:p w14:paraId="2C17FA07">
      <w:pPr>
        <w:spacing w:after="160"/>
      </w:pPr>
      <w:r>
        <w:rPr>
          <w:rFonts w:eastAsia="微软雅黑"/>
          <w:b w:val="0"/>
          <w:sz w:val="24"/>
        </w:rPr>
        <w:t>八、风险分析与应对</w:t>
      </w:r>
    </w:p>
    <w:p w14:paraId="6314ACAB">
      <w:pPr>
        <w:spacing w:after="160"/>
      </w:pPr>
      <w:r>
        <w:rPr>
          <w:rFonts w:eastAsia="微软雅黑"/>
          <w:b w:val="0"/>
          <w:sz w:val="24"/>
        </w:rPr>
        <w:t>九、财务概算</w:t>
      </w:r>
    </w:p>
    <w:p w14:paraId="40559160">
      <w:pPr>
        <w:spacing w:after="160"/>
      </w:pPr>
      <w:r>
        <w:rPr>
          <w:rFonts w:eastAsia="微软雅黑"/>
          <w:b w:val="0"/>
          <w:sz w:val="24"/>
        </w:rPr>
        <w:t>十、总结与展望</w:t>
      </w:r>
    </w:p>
    <w:p w14:paraId="24047D8B">
      <w:pPr>
        <w:spacing w:after="160"/>
      </w:pPr>
      <w:r>
        <w:rPr>
          <w:rFonts w:eastAsia="微软雅黑"/>
          <w:b w:val="0"/>
          <w:sz w:val="24"/>
        </w:rPr>
        <w:t>附录 A：研发资产概览</w:t>
      </w:r>
    </w:p>
    <w:p w14:paraId="1F72CA73">
      <w:r>
        <w:br w:type="page"/>
      </w:r>
    </w:p>
    <w:p w14:paraId="657B7A3E">
      <w:pPr>
        <w:pStyle w:val="3"/>
      </w:pPr>
      <w:r>
        <w:t>一、项目信息摘要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6236"/>
      </w:tblGrid>
      <w:tr w14:paraId="29434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shd w:val="clear" w:color="auto" w:fill="0A1E3C"/>
            <w:vAlign w:val="center"/>
          </w:tcPr>
          <w:p w14:paraId="60DC29FD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w="6236" w:type="dxa"/>
            <w:shd w:val="clear" w:color="auto" w:fill="0A1E3C"/>
            <w:vAlign w:val="center"/>
          </w:tcPr>
          <w:p w14:paraId="205DB87A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20"/>
              </w:rPr>
              <w:t>内容</w:t>
            </w:r>
          </w:p>
        </w:tc>
      </w:tr>
      <w:tr w14:paraId="4F986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vAlign w:val="center"/>
          </w:tcPr>
          <w:p w14:paraId="1F3049AF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项目名称</w:t>
            </w:r>
          </w:p>
        </w:tc>
        <w:tc>
          <w:tcPr>
            <w:tcW w:w="6236" w:type="dxa"/>
            <w:vAlign w:val="center"/>
          </w:tcPr>
          <w:p w14:paraId="73DB6865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蚁巢智运 AntNest</w:t>
            </w:r>
          </w:p>
        </w:tc>
      </w:tr>
      <w:tr w14:paraId="4B6BE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vAlign w:val="center"/>
          </w:tcPr>
          <w:p w14:paraId="0EC8D658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所属领域</w:t>
            </w:r>
          </w:p>
        </w:tc>
        <w:tc>
          <w:tcPr>
            <w:tcW w:w="6236" w:type="dxa"/>
            <w:vAlign w:val="center"/>
          </w:tcPr>
          <w:p w14:paraId="244397EE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智能物流与仓储机器人 · 多机器人协同系统（具身智能 Embodied AI）</w:t>
            </w:r>
          </w:p>
        </w:tc>
      </w:tr>
      <w:tr w14:paraId="4C5C5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vAlign w:val="center"/>
          </w:tcPr>
          <w:p w14:paraId="4D0A90A4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项目定位</w:t>
            </w:r>
          </w:p>
        </w:tc>
        <w:tc>
          <w:tcPr>
            <w:tcW w:w="6236" w:type="dxa"/>
            <w:vAlign w:val="center"/>
          </w:tcPr>
          <w:p w14:paraId="2A34829C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低成本、边缘智能、多机协同的柔性搬运与物流自动化解决方案</w:t>
            </w:r>
          </w:p>
        </w:tc>
      </w:tr>
      <w:tr w14:paraId="5346C1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vAlign w:val="center"/>
          </w:tcPr>
          <w:p w14:paraId="21B6AD15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核心产品</w:t>
            </w:r>
          </w:p>
        </w:tc>
        <w:tc>
          <w:tcPr>
            <w:tcW w:w="6236" w:type="dxa"/>
            <w:vAlign w:val="center"/>
          </w:tcPr>
          <w:p w14:paraId="347BEDD5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① 边缘智能移动机器人平台  ② 集群调度与协同软件  ③ 行业定制解决方案</w:t>
            </w:r>
          </w:p>
        </w:tc>
      </w:tr>
      <w:tr w14:paraId="53FCA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vAlign w:val="center"/>
          </w:tcPr>
          <w:p w14:paraId="3F5BBD6F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项目背景</w:t>
            </w:r>
          </w:p>
        </w:tc>
        <w:tc>
          <w:tcPr>
            <w:tcW w:w="6236" w:type="dxa"/>
            <w:vAlign w:val="center"/>
          </w:tcPr>
          <w:p w14:paraId="25338349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源自全国大学生智能车竞赛嵌入式智能车项目，具备多机协同、边缘视觉与移动底盘的完整工程验证</w:t>
            </w:r>
          </w:p>
        </w:tc>
      </w:tr>
      <w:tr w14:paraId="2961FB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vAlign w:val="center"/>
          </w:tcPr>
          <w:p w14:paraId="48D634EA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核心技术能力</w:t>
            </w:r>
          </w:p>
        </w:tc>
        <w:tc>
          <w:tcPr>
            <w:tcW w:w="6236" w:type="dxa"/>
            <w:vAlign w:val="center"/>
          </w:tcPr>
          <w:p w14:paraId="397902EE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端侧轻量化 AI 识别、多目标跟踪、自主导航、视觉伺服、多机协同、环境自适应</w:t>
            </w:r>
          </w:p>
        </w:tc>
      </w:tr>
      <w:tr w14:paraId="3388F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vAlign w:val="center"/>
          </w:tcPr>
          <w:p w14:paraId="10CFCE76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目标市场</w:t>
            </w:r>
          </w:p>
        </w:tc>
        <w:tc>
          <w:tcPr>
            <w:tcW w:w="6236" w:type="dxa"/>
            <w:vAlign w:val="center"/>
          </w:tcPr>
          <w:p w14:paraId="07BACD13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智能仓储与分拣、柔性制造、医院/实验室物流、园区安防巡检、教育科研</w:t>
            </w:r>
          </w:p>
        </w:tc>
      </w:tr>
      <w:tr w14:paraId="00C676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vAlign w:val="center"/>
          </w:tcPr>
          <w:p w14:paraId="63DC7915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商业模式</w:t>
            </w:r>
          </w:p>
        </w:tc>
        <w:tc>
          <w:tcPr>
            <w:tcW w:w="6236" w:type="dxa"/>
            <w:vAlign w:val="center"/>
          </w:tcPr>
          <w:p w14:paraId="5823DE5F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硬件设备销售 + 软件授权 + 行业解决方案 + 运维订阅</w:t>
            </w:r>
          </w:p>
        </w:tc>
      </w:tr>
      <w:tr w14:paraId="796647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vAlign w:val="center"/>
          </w:tcPr>
          <w:p w14:paraId="372AFAB5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当前阶段</w:t>
            </w:r>
          </w:p>
        </w:tc>
        <w:tc>
          <w:tcPr>
            <w:tcW w:w="6236" w:type="dxa"/>
            <w:vAlign w:val="center"/>
          </w:tcPr>
          <w:p w14:paraId="46BECE8D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原型验证完成（可运行演示） → 工程化产品化（Pre-A 前）</w:t>
            </w:r>
          </w:p>
        </w:tc>
      </w:tr>
      <w:tr w14:paraId="7F5CC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vAlign w:val="center"/>
          </w:tcPr>
          <w:p w14:paraId="254E99B3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核心壁垒</w:t>
            </w:r>
          </w:p>
        </w:tc>
        <w:tc>
          <w:tcPr>
            <w:tcW w:w="6236" w:type="dxa"/>
            <w:vAlign w:val="center"/>
          </w:tcPr>
          <w:p w14:paraId="330FDC0C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端侧算力与资源优化、低成本感知融合、多机协同算法、嵌入式软硬件一体能力</w:t>
            </w:r>
          </w:p>
        </w:tc>
      </w:tr>
      <w:tr w14:paraId="1054CF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vAlign w:val="center"/>
          </w:tcPr>
          <w:p w14:paraId="2AFEF2CE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团队背景</w:t>
            </w:r>
          </w:p>
        </w:tc>
        <w:tc>
          <w:tcPr>
            <w:tcW w:w="6236" w:type="dxa"/>
            <w:vAlign w:val="center"/>
          </w:tcPr>
          <w:p w14:paraId="6B84CF25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哈工大（深圳）计算机专业，竞赛与科研双线积累，具备算法—硬件—软件全栈能力</w:t>
            </w:r>
          </w:p>
        </w:tc>
      </w:tr>
    </w:tbl>
    <w:p w14:paraId="3355FDAF">
      <w:pPr>
        <w:spacing w:after="40"/>
      </w:pPr>
    </w:p>
    <w:p w14:paraId="0AE6E13D">
      <w:pPr>
        <w:spacing w:after="160"/>
      </w:pPr>
      <w:r>
        <w:rPr>
          <w:rFonts w:eastAsia="微软雅黑"/>
          <w:b/>
          <w:color w:val="177E7E"/>
          <w:sz w:val="22"/>
        </w:rPr>
        <w:t>一句话概括：把“搬家的蚂蚁”做成“会协作的机器人”——在端侧完成识别、决策与协同，重构传统高成本、重调度的搬运模式。</w:t>
      </w:r>
    </w:p>
    <w:p w14:paraId="62FBA291">
      <w:pPr>
        <w:pStyle w:val="3"/>
      </w:pPr>
      <w:r>
        <w:t>二、项目概述</w:t>
      </w:r>
    </w:p>
    <w:p w14:paraId="7391D18D">
      <w:pPr>
        <w:pStyle w:val="4"/>
      </w:pPr>
      <w:r>
        <w:t>2.1 项目背景</w:t>
      </w:r>
    </w:p>
    <w:p w14:paraId="35D45DAB">
      <w:pPr>
        <w:spacing w:after="120"/>
      </w:pPr>
      <w:r>
        <w:rPr>
          <w:rFonts w:eastAsia="微软雅黑"/>
          <w:b w:val="0"/>
          <w:sz w:val="22"/>
        </w:rPr>
        <w:t>本项目的技术原型源自全国大学生智能车竞赛高难度赛道：在一张限定场地上，多台智能车协同，自主完成区域探测、目标识别（多类搬运物与定位标识）、路径规划与避障、目标接近、搬运执行、归位校准的全流程任务。</w:t>
      </w:r>
    </w:p>
    <w:p w14:paraId="539340CA">
      <w:pPr>
        <w:spacing w:after="120"/>
      </w:pPr>
      <w:r>
        <w:rPr>
          <w:rFonts w:eastAsia="微软雅黑"/>
          <w:b w:val="0"/>
          <w:sz w:val="22"/>
        </w:rPr>
        <w:t>项目组在赛事中完整自研并验证了一条「感知—决策—执行—协同」闭环技术链：端侧嵌入式平台部署轻量化神经网络实现多目标实时识别；以全向移动底盘结合多传感器融合构建低成本定位与姿态估计；以多目标跟踪算法实现目标稳定锁定与丢失预测；以状态机编排复杂任务；并通过无线通信实现多机对等协同。</w:t>
      </w:r>
    </w:p>
    <w:p w14:paraId="5CB6BAFC">
      <w:pPr>
        <w:spacing w:after="120"/>
      </w:pPr>
      <w:r>
        <w:rPr>
          <w:rFonts w:eastAsia="微软雅黑"/>
          <w:b w:val="0"/>
          <w:sz w:val="22"/>
        </w:rPr>
        <w:t>这些能力恰好命中了当下物流行业的核心矛盾：传统方案依赖高成本传感器与重型中央调度，难以低成本、小批量地覆盖碎片化场景。本项目的技术路线，为“边缘智能 + 群体协同”的下一代柔性物流提供了可工程化的样本。</w:t>
      </w:r>
    </w:p>
    <w:p w14:paraId="19022710">
      <w:pPr>
        <w:pStyle w:val="4"/>
      </w:pPr>
      <w:r>
        <w:t>2.2 项目是什么</w:t>
      </w:r>
    </w:p>
    <w:p w14:paraId="49A635EB">
      <w:pPr>
        <w:spacing w:after="80"/>
      </w:pPr>
      <w:r>
        <w:rPr>
          <w:rFonts w:eastAsia="微软雅黑"/>
          <w:b w:val="0"/>
          <w:sz w:val="22"/>
        </w:rPr>
        <w:t>「蚁巢智运」是一个多机器人协同搬运与边缘智能物流系统，包含三大产品形态：</w:t>
      </w:r>
    </w:p>
    <w:p w14:paraId="3E57B1DE">
      <w:pPr>
        <w:pStyle w:val="16"/>
        <w:spacing w:after="60"/>
      </w:pPr>
      <w:r>
        <w:rPr>
          <w:rFonts w:eastAsia="微软雅黑"/>
          <w:b w:val="0"/>
          <w:sz w:val="22"/>
        </w:rPr>
        <w:t>边缘智能移动机器人平台：模块化的全向移动机器人，端侧完成识别、导航与搬运执行，支持单机独立运行与多机协同。</w:t>
      </w:r>
    </w:p>
    <w:p w14:paraId="26CBC90E">
      <w:pPr>
        <w:pStyle w:val="16"/>
        <w:spacing w:after="60"/>
      </w:pPr>
      <w:r>
        <w:rPr>
          <w:rFonts w:eastAsia="微软雅黑"/>
          <w:b w:val="0"/>
          <w:sz w:val="22"/>
        </w:rPr>
        <w:t>集群调度与协同软件：任务下发、多机协作、状态监控、路径管理与数据可视化，支持从小规模（2–10 台）到中规模（数十台）弹性扩展。</w:t>
      </w:r>
    </w:p>
    <w:p w14:paraId="02B7BF43">
      <w:pPr>
        <w:pStyle w:val="16"/>
        <w:spacing w:after="60"/>
      </w:pPr>
      <w:r>
        <w:rPr>
          <w:rFonts w:eastAsia="微软雅黑"/>
          <w:b w:val="0"/>
          <w:sz w:val="22"/>
        </w:rPr>
        <w:t>行业解决方案：面向智能仓储分拣、实验室/医院物资转运、园区巡检、教育科研等场景的定制化交付。</w:t>
      </w:r>
    </w:p>
    <w:p w14:paraId="5ECD69D3">
      <w:pPr>
        <w:pStyle w:val="4"/>
      </w:pPr>
      <w:r>
        <w:t>2.3 价值主张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6236"/>
      </w:tblGrid>
      <w:tr w14:paraId="41F68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shd w:val="clear" w:color="auto" w:fill="0A1E3C"/>
            <w:vAlign w:val="center"/>
          </w:tcPr>
          <w:p w14:paraId="2A8EC9CA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20"/>
              </w:rPr>
              <w:t>对象</w:t>
            </w:r>
          </w:p>
        </w:tc>
        <w:tc>
          <w:tcPr>
            <w:tcW w:w="6236" w:type="dxa"/>
            <w:shd w:val="clear" w:color="auto" w:fill="0A1E3C"/>
            <w:vAlign w:val="center"/>
          </w:tcPr>
          <w:p w14:paraId="5E282AB2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20"/>
              </w:rPr>
              <w:t>价值</w:t>
            </w:r>
          </w:p>
        </w:tc>
      </w:tr>
      <w:tr w14:paraId="016DD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vAlign w:val="center"/>
          </w:tcPr>
          <w:p w14:paraId="18E86DF2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仓储/物流企业</w:t>
            </w:r>
          </w:p>
        </w:tc>
        <w:tc>
          <w:tcPr>
            <w:tcW w:w="6236" w:type="dxa"/>
            <w:vAlign w:val="center"/>
          </w:tcPr>
          <w:p w14:paraId="20277668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以传统方案 1/3–1/5 的硬件成本获得端侧智能 + 多机协同能力；随增随用、无需重型中央改造</w:t>
            </w:r>
          </w:p>
        </w:tc>
      </w:tr>
      <w:tr w14:paraId="692461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vAlign w:val="center"/>
          </w:tcPr>
          <w:p w14:paraId="4BDE0150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制造/实验室</w:t>
            </w:r>
          </w:p>
        </w:tc>
        <w:tc>
          <w:tcPr>
            <w:tcW w:w="6236" w:type="dxa"/>
            <w:vAlign w:val="center"/>
          </w:tcPr>
          <w:p w14:paraId="34FDF18B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实现小批量柔性搬运与夜间值守巡检，降低人力成本与差错率</w:t>
            </w:r>
          </w:p>
        </w:tc>
      </w:tr>
      <w:tr w14:paraId="6E0FD4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vAlign w:val="center"/>
          </w:tcPr>
          <w:p w14:paraId="0402FB58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行业/生态</w:t>
            </w:r>
          </w:p>
        </w:tc>
        <w:tc>
          <w:tcPr>
            <w:tcW w:w="6236" w:type="dxa"/>
            <w:vAlign w:val="center"/>
          </w:tcPr>
          <w:p w14:paraId="001CA0EC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验证“低成本感知 + 群体智能”技术路线，为机器人普及提供可行性样本</w:t>
            </w:r>
          </w:p>
        </w:tc>
      </w:tr>
      <w:tr w14:paraId="4826E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vAlign w:val="center"/>
          </w:tcPr>
          <w:p w14:paraId="51B49912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团队自身</w:t>
            </w:r>
          </w:p>
        </w:tc>
        <w:tc>
          <w:tcPr>
            <w:tcW w:w="6236" w:type="dxa"/>
            <w:vAlign w:val="center"/>
          </w:tcPr>
          <w:p w14:paraId="622987EB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沉淀嵌入式视觉、协同算法与软硬一体工程能力，形成高校科技成果转化样板</w:t>
            </w:r>
          </w:p>
        </w:tc>
      </w:tr>
    </w:tbl>
    <w:p w14:paraId="107004C4">
      <w:pPr>
        <w:spacing w:after="40"/>
      </w:pPr>
    </w:p>
    <w:p w14:paraId="50906C62">
      <w:pPr>
        <w:pStyle w:val="4"/>
      </w:pPr>
      <w:r>
        <w:t>2.4 创新点与差异化</w:t>
      </w:r>
    </w:p>
    <w:p w14:paraId="27B95716">
      <w:pPr>
        <w:pStyle w:val="16"/>
        <w:spacing w:after="60"/>
      </w:pPr>
      <w:r>
        <w:rPr>
          <w:rFonts w:eastAsia="微软雅黑"/>
          <w:b w:val="0"/>
          <w:sz w:val="22"/>
        </w:rPr>
        <w:t>端侧轻量化视觉：在嵌入式平台完成识别、跟踪与决策，不依赖云端、无网络延迟、隐私安全。</w:t>
      </w:r>
    </w:p>
    <w:p w14:paraId="7BC4DD27">
      <w:pPr>
        <w:pStyle w:val="16"/>
        <w:spacing w:after="60"/>
      </w:pPr>
      <w:r>
        <w:rPr>
          <w:rFonts w:eastAsia="微软雅黑"/>
          <w:b w:val="0"/>
          <w:sz w:val="22"/>
        </w:rPr>
        <w:t>低成本感知融合：不依赖高成本传感器，以多传感器低成本组合实现识别、定位与伺服，单机硬件成本可压低到万元级以下。</w:t>
      </w:r>
    </w:p>
    <w:p w14:paraId="5D65E289">
      <w:pPr>
        <w:pStyle w:val="16"/>
        <w:spacing w:after="60"/>
      </w:pPr>
      <w:r>
        <w:rPr>
          <w:rFonts w:eastAsia="微软雅黑"/>
          <w:b w:val="0"/>
          <w:sz w:val="22"/>
        </w:rPr>
        <w:t>多机对等协同：轻量级无线通信实现机间状态同步与任务交接，无需重型中央调度即可协同作业。</w:t>
      </w:r>
    </w:p>
    <w:p w14:paraId="7D31DD70">
      <w:pPr>
        <w:pStyle w:val="16"/>
        <w:spacing w:after="60"/>
      </w:pPr>
      <w:r>
        <w:rPr>
          <w:rFonts w:eastAsia="微软雅黑"/>
          <w:b w:val="0"/>
          <w:sz w:val="22"/>
        </w:rPr>
        <w:t>环境自适应：按环境自动调节识别参数，在光照与场景变化下保持识别鲁棒性。</w:t>
      </w:r>
    </w:p>
    <w:p w14:paraId="7910810E">
      <w:pPr>
        <w:pStyle w:val="3"/>
      </w:pPr>
      <w:r>
        <w:t>三、市场分析</w:t>
      </w:r>
    </w:p>
    <w:p w14:paraId="7BA8CCB3">
      <w:pPr>
        <w:pStyle w:val="4"/>
      </w:pPr>
      <w:r>
        <w:t>3.1 行业背景与市场空间</w:t>
      </w:r>
    </w:p>
    <w:p w14:paraId="035D0781">
      <w:pPr>
        <w:spacing w:after="120"/>
      </w:pPr>
      <w:r>
        <w:rPr>
          <w:rFonts w:eastAsia="微软雅黑"/>
          <w:b w:val="0"/>
          <w:sz w:val="22"/>
        </w:rPr>
        <w:t>全球移动机器人（AGV/AMR）市场持续高增，智能仓储、电商分拣、柔性制造成为主要需求来源。行业正向两个方向演进：一是从固定轨道方案走向自主导航；二是从“单机智能”走向“集群协同”与“人机协同”。与此同时，大量中小企业与长尾场景（实验室、医院、门店、园区）存在“要得起、用得起”的低成本搬运与巡检需求，这恰是本项目的目标地带。</w:t>
      </w:r>
    </w:p>
    <w:p w14:paraId="4A1C9AFA">
      <w:pPr>
        <w:pStyle w:val="4"/>
      </w:pPr>
      <w:r>
        <w:t>3.2 目标市场与用户画像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2381"/>
        <w:gridCol w:w="3855"/>
      </w:tblGrid>
      <w:tr w14:paraId="7E7F45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shd w:val="clear" w:color="auto" w:fill="0A1E3C"/>
            <w:vAlign w:val="center"/>
          </w:tcPr>
          <w:p w14:paraId="795A431C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20"/>
              </w:rPr>
              <w:t>细分市场</w:t>
            </w:r>
          </w:p>
        </w:tc>
        <w:tc>
          <w:tcPr>
            <w:tcW w:w="2381" w:type="dxa"/>
            <w:shd w:val="clear" w:color="auto" w:fill="0A1E3C"/>
            <w:vAlign w:val="center"/>
          </w:tcPr>
          <w:p w14:paraId="26A61BEF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20"/>
              </w:rPr>
              <w:t>典型用户</w:t>
            </w:r>
          </w:p>
        </w:tc>
        <w:tc>
          <w:tcPr>
            <w:tcW w:w="3855" w:type="dxa"/>
            <w:shd w:val="clear" w:color="auto" w:fill="0A1E3C"/>
            <w:vAlign w:val="center"/>
          </w:tcPr>
          <w:p w14:paraId="0A27A438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20"/>
              </w:rPr>
              <w:t>核心需求</w:t>
            </w:r>
          </w:p>
        </w:tc>
      </w:tr>
      <w:tr w14:paraId="4AF1BB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vAlign w:val="center"/>
          </w:tcPr>
          <w:p w14:paraId="38160916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智能仓储/分拣中心</w:t>
            </w:r>
          </w:p>
        </w:tc>
        <w:tc>
          <w:tcPr>
            <w:tcW w:w="2381" w:type="dxa"/>
            <w:vAlign w:val="center"/>
          </w:tcPr>
          <w:p w14:paraId="58366700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中小电商仓、前置仓</w:t>
            </w:r>
          </w:p>
        </w:tc>
        <w:tc>
          <w:tcPr>
            <w:tcW w:w="3855" w:type="dxa"/>
            <w:vAlign w:val="center"/>
          </w:tcPr>
          <w:p w14:paraId="657E0015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低成本分拣、跨区转运、夜间补货</w:t>
            </w:r>
          </w:p>
        </w:tc>
      </w:tr>
      <w:tr w14:paraId="26E48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vAlign w:val="center"/>
          </w:tcPr>
          <w:p w14:paraId="3BBDD296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柔性制造/实验室</w:t>
            </w:r>
          </w:p>
        </w:tc>
        <w:tc>
          <w:tcPr>
            <w:tcW w:w="2381" w:type="dxa"/>
            <w:vAlign w:val="center"/>
          </w:tcPr>
          <w:p w14:paraId="06EB221A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高校实验室、电子/医药企业</w:t>
            </w:r>
          </w:p>
        </w:tc>
        <w:tc>
          <w:tcPr>
            <w:tcW w:w="3855" w:type="dxa"/>
            <w:vAlign w:val="center"/>
          </w:tcPr>
          <w:p w14:paraId="1D613AD0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小批量物料转运、仪器/样本配送、环境巡检</w:t>
            </w:r>
          </w:p>
        </w:tc>
      </w:tr>
      <w:tr w14:paraId="16B76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vAlign w:val="center"/>
          </w:tcPr>
          <w:p w14:paraId="2B5E2859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公共服务</w:t>
            </w:r>
          </w:p>
        </w:tc>
        <w:tc>
          <w:tcPr>
            <w:tcW w:w="2381" w:type="dxa"/>
            <w:vAlign w:val="center"/>
          </w:tcPr>
          <w:p w14:paraId="4B66372C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医院、图书馆、园区物业</w:t>
            </w:r>
          </w:p>
        </w:tc>
        <w:tc>
          <w:tcPr>
            <w:tcW w:w="3855" w:type="dxa"/>
            <w:vAlign w:val="center"/>
          </w:tcPr>
          <w:p w14:paraId="24BC3545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物资配送、夜间安全巡检</w:t>
            </w:r>
          </w:p>
        </w:tc>
      </w:tr>
      <w:tr w14:paraId="37209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vAlign w:val="center"/>
          </w:tcPr>
          <w:p w14:paraId="06661EC5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教育科研</w:t>
            </w:r>
          </w:p>
        </w:tc>
        <w:tc>
          <w:tcPr>
            <w:tcW w:w="2381" w:type="dxa"/>
            <w:vAlign w:val="center"/>
          </w:tcPr>
          <w:p w14:paraId="55CD9AB6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高校、职业院校</w:t>
            </w:r>
          </w:p>
        </w:tc>
        <w:tc>
          <w:tcPr>
            <w:tcW w:w="3855" w:type="dxa"/>
            <w:vAlign w:val="center"/>
          </w:tcPr>
          <w:p w14:paraId="6471BB4D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机器人教学平台、科研载体、竞赛训练</w:t>
            </w:r>
          </w:p>
        </w:tc>
      </w:tr>
    </w:tbl>
    <w:p w14:paraId="77247D59">
      <w:pPr>
        <w:spacing w:after="40"/>
      </w:pPr>
    </w:p>
    <w:p w14:paraId="3E5DF9C9">
      <w:pPr>
        <w:pStyle w:val="4"/>
      </w:pPr>
      <w:r>
        <w:t>3.3 竞品分析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1701"/>
        <w:gridCol w:w="1701"/>
        <w:gridCol w:w="2041"/>
        <w:gridCol w:w="1814"/>
      </w:tblGrid>
      <w:tr w14:paraId="711744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8" w:type="dxa"/>
            <w:shd w:val="clear" w:color="auto" w:fill="0A1E3C"/>
            <w:vAlign w:val="center"/>
          </w:tcPr>
          <w:p w14:paraId="0ABD448C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20"/>
              </w:rPr>
              <w:t>方案类型</w:t>
            </w:r>
          </w:p>
        </w:tc>
        <w:tc>
          <w:tcPr>
            <w:tcW w:w="1701" w:type="dxa"/>
            <w:shd w:val="clear" w:color="auto" w:fill="0A1E3C"/>
            <w:vAlign w:val="center"/>
          </w:tcPr>
          <w:p w14:paraId="633036BE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20"/>
              </w:rPr>
              <w:t>代表</w:t>
            </w:r>
          </w:p>
        </w:tc>
        <w:tc>
          <w:tcPr>
            <w:tcW w:w="1701" w:type="dxa"/>
            <w:shd w:val="clear" w:color="auto" w:fill="0A1E3C"/>
            <w:vAlign w:val="center"/>
          </w:tcPr>
          <w:p w14:paraId="42FCABFD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20"/>
              </w:rPr>
              <w:t>优势</w:t>
            </w:r>
          </w:p>
        </w:tc>
        <w:tc>
          <w:tcPr>
            <w:tcW w:w="2041" w:type="dxa"/>
            <w:shd w:val="clear" w:color="auto" w:fill="0A1E3C"/>
            <w:vAlign w:val="center"/>
          </w:tcPr>
          <w:p w14:paraId="21F4804B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20"/>
              </w:rPr>
              <w:t>劣势</w:t>
            </w:r>
          </w:p>
        </w:tc>
        <w:tc>
          <w:tcPr>
            <w:tcW w:w="1814" w:type="dxa"/>
            <w:shd w:val="clear" w:color="auto" w:fill="0A1E3C"/>
            <w:vAlign w:val="center"/>
          </w:tcPr>
          <w:p w14:paraId="0C806322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20"/>
              </w:rPr>
              <w:t>本项目应对</w:t>
            </w:r>
          </w:p>
        </w:tc>
      </w:tr>
      <w:tr w14:paraId="27D57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8" w:type="dxa"/>
            <w:vAlign w:val="center"/>
          </w:tcPr>
          <w:p w14:paraId="2ABEC8F9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传统重载 AGV 方案</w:t>
            </w:r>
          </w:p>
        </w:tc>
        <w:tc>
          <w:tcPr>
            <w:tcW w:w="1701" w:type="dxa"/>
            <w:vAlign w:val="center"/>
          </w:tcPr>
          <w:p w14:paraId="1E29A08D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行业主流厂家</w:t>
            </w:r>
          </w:p>
        </w:tc>
        <w:tc>
          <w:tcPr>
            <w:tcW w:w="1701" w:type="dxa"/>
            <w:vAlign w:val="center"/>
          </w:tcPr>
          <w:p w14:paraId="6551F7D5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负载大、成熟度高</w:t>
            </w:r>
          </w:p>
        </w:tc>
        <w:tc>
          <w:tcPr>
            <w:tcW w:w="2041" w:type="dxa"/>
            <w:vAlign w:val="center"/>
          </w:tcPr>
          <w:p w14:paraId="3B037FF4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高成本传感器、重型调度、部署周期长</w:t>
            </w:r>
          </w:p>
        </w:tc>
        <w:tc>
          <w:tcPr>
            <w:tcW w:w="1814" w:type="dxa"/>
            <w:vAlign w:val="center"/>
          </w:tcPr>
          <w:p w14:paraId="7E7EC37A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低成本 + 端侧智能 + 快速部署</w:t>
            </w:r>
          </w:p>
        </w:tc>
      </w:tr>
      <w:tr w14:paraId="22DFC1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8" w:type="dxa"/>
            <w:vAlign w:val="center"/>
          </w:tcPr>
          <w:p w14:paraId="49D9ABAC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云脑依赖型 AMR</w:t>
            </w:r>
          </w:p>
        </w:tc>
        <w:tc>
          <w:tcPr>
            <w:tcW w:w="1701" w:type="dxa"/>
            <w:vAlign w:val="center"/>
          </w:tcPr>
          <w:p w14:paraId="62D9B1B7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多厂商</w:t>
            </w:r>
          </w:p>
        </w:tc>
        <w:tc>
          <w:tcPr>
            <w:tcW w:w="1701" w:type="dxa"/>
            <w:vAlign w:val="center"/>
          </w:tcPr>
          <w:p w14:paraId="6C38A5DA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云端能力通用</w:t>
            </w:r>
          </w:p>
        </w:tc>
        <w:tc>
          <w:tcPr>
            <w:tcW w:w="2041" w:type="dxa"/>
            <w:vAlign w:val="center"/>
          </w:tcPr>
          <w:p w14:paraId="100FCEEB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依赖网络、延迟与隐私问题、单机智能化弱</w:t>
            </w:r>
          </w:p>
        </w:tc>
        <w:tc>
          <w:tcPr>
            <w:tcW w:w="1814" w:type="dxa"/>
            <w:vAlign w:val="center"/>
          </w:tcPr>
          <w:p w14:paraId="5F1AC873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全端侧处理、无网可用</w:t>
            </w:r>
          </w:p>
        </w:tc>
      </w:tr>
      <w:tr w14:paraId="66509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8" w:type="dxa"/>
            <w:vAlign w:val="center"/>
          </w:tcPr>
          <w:p w14:paraId="7FC3B4E5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固定轨道/磁条方案</w:t>
            </w:r>
          </w:p>
        </w:tc>
        <w:tc>
          <w:tcPr>
            <w:tcW w:w="1701" w:type="dxa"/>
            <w:vAlign w:val="center"/>
          </w:tcPr>
          <w:p w14:paraId="26B8FA55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传统分拣线</w:t>
            </w:r>
          </w:p>
        </w:tc>
        <w:tc>
          <w:tcPr>
            <w:tcW w:w="1701" w:type="dxa"/>
            <w:vAlign w:val="center"/>
          </w:tcPr>
          <w:p w14:paraId="210BE88C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简单可靠</w:t>
            </w:r>
          </w:p>
        </w:tc>
        <w:tc>
          <w:tcPr>
            <w:tcW w:w="2041" w:type="dxa"/>
            <w:vAlign w:val="center"/>
          </w:tcPr>
          <w:p w14:paraId="4BC35814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不灵活、改造费用高</w:t>
            </w:r>
          </w:p>
        </w:tc>
        <w:tc>
          <w:tcPr>
            <w:tcW w:w="1814" w:type="dxa"/>
            <w:vAlign w:val="center"/>
          </w:tcPr>
          <w:p w14:paraId="189B9638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全向自主 + 无轨化</w:t>
            </w:r>
          </w:p>
        </w:tc>
      </w:tr>
      <w:tr w14:paraId="1E4C35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8" w:type="dxa"/>
            <w:vAlign w:val="center"/>
          </w:tcPr>
          <w:p w14:paraId="75369450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教育机器人</w:t>
            </w:r>
          </w:p>
        </w:tc>
        <w:tc>
          <w:tcPr>
            <w:tcW w:w="1701" w:type="dxa"/>
            <w:vAlign w:val="center"/>
          </w:tcPr>
          <w:p w14:paraId="38A39F8B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各高校教具</w:t>
            </w:r>
          </w:p>
        </w:tc>
        <w:tc>
          <w:tcPr>
            <w:tcW w:w="1701" w:type="dxa"/>
            <w:vAlign w:val="center"/>
          </w:tcPr>
          <w:p w14:paraId="602987A1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易上手</w:t>
            </w:r>
          </w:p>
        </w:tc>
        <w:tc>
          <w:tcPr>
            <w:tcW w:w="2041" w:type="dxa"/>
            <w:vAlign w:val="center"/>
          </w:tcPr>
          <w:p w14:paraId="7D088687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缺乏工业级协同与真实搬运能力</w:t>
            </w:r>
          </w:p>
        </w:tc>
        <w:tc>
          <w:tcPr>
            <w:tcW w:w="1814" w:type="dxa"/>
            <w:vAlign w:val="center"/>
          </w:tcPr>
          <w:p w14:paraId="1D5A2D23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以真实业务能力切入，向下兼容教育</w:t>
            </w:r>
          </w:p>
        </w:tc>
      </w:tr>
    </w:tbl>
    <w:p w14:paraId="4A688497">
      <w:pPr>
        <w:spacing w:after="40"/>
      </w:pPr>
    </w:p>
    <w:p w14:paraId="4F03EA15">
      <w:pPr>
        <w:pStyle w:val="4"/>
      </w:pPr>
      <w:r>
        <w:t>3.4 竞争壁垒</w:t>
      </w:r>
    </w:p>
    <w:p w14:paraId="398ED1F5">
      <w:pPr>
        <w:pStyle w:val="16"/>
        <w:spacing w:after="60"/>
      </w:pPr>
      <w:r>
        <w:rPr>
          <w:rFonts w:eastAsia="微软雅黑"/>
          <w:b w:val="0"/>
          <w:sz w:val="22"/>
        </w:rPr>
        <w:t>算法侧：端侧模型与资源优化、低成本多传感器融合、多机协同的工程化经验，源自高强度迭代。</w:t>
      </w:r>
    </w:p>
    <w:p w14:paraId="000A432D">
      <w:pPr>
        <w:pStyle w:val="16"/>
        <w:spacing w:after="60"/>
      </w:pPr>
      <w:r>
        <w:rPr>
          <w:rFonts w:eastAsia="微软雅黑"/>
          <w:b w:val="0"/>
          <w:sz w:val="22"/>
        </w:rPr>
        <w:t>工程侧：嵌入式软硬件一体的自研与调参能力。</w:t>
      </w:r>
    </w:p>
    <w:p w14:paraId="3521CB69">
      <w:pPr>
        <w:pStyle w:val="16"/>
        <w:spacing w:after="60"/>
      </w:pPr>
      <w:r>
        <w:rPr>
          <w:rFonts w:eastAsia="微软雅黑"/>
          <w:b w:val="0"/>
          <w:sz w:val="22"/>
        </w:rPr>
        <w:t>成本侧：规避高成本感知器件与重型调度，把单机成本压低一个数量级，形成价格护城河。</w:t>
      </w:r>
    </w:p>
    <w:p w14:paraId="6C7F19DF">
      <w:pPr>
        <w:pStyle w:val="16"/>
        <w:spacing w:after="60"/>
      </w:pPr>
      <w:r>
        <w:rPr>
          <w:rFonts w:eastAsia="微软雅黑"/>
          <w:b w:val="0"/>
          <w:sz w:val="22"/>
        </w:rPr>
        <w:t>场景侧：已具备“识别—搬运—协同—归位”全流程闭环，而非单点识别演示，可直接演化为业务原型。</w:t>
      </w:r>
    </w:p>
    <w:p w14:paraId="62CBA008">
      <w:pPr>
        <w:pStyle w:val="3"/>
      </w:pPr>
      <w:r>
        <w:t>四、产品与系统方案</w:t>
      </w:r>
    </w:p>
    <w:p w14:paraId="467EA21A">
      <w:pPr>
        <w:pStyle w:val="4"/>
      </w:pPr>
      <w:r>
        <w:t>4.1 系统总体架构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1928"/>
        <w:gridCol w:w="5216"/>
      </w:tblGrid>
      <w:tr w14:paraId="5F26F2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  <w:shd w:val="clear" w:color="auto" w:fill="0A1E3C"/>
            <w:vAlign w:val="center"/>
          </w:tcPr>
          <w:p w14:paraId="69AF64DA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20"/>
              </w:rPr>
              <w:t>层级</w:t>
            </w:r>
          </w:p>
        </w:tc>
        <w:tc>
          <w:tcPr>
            <w:tcW w:w="1928" w:type="dxa"/>
            <w:shd w:val="clear" w:color="auto" w:fill="0A1E3C"/>
            <w:vAlign w:val="center"/>
          </w:tcPr>
          <w:p w14:paraId="3E80CF83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20"/>
              </w:rPr>
              <w:t>定位</w:t>
            </w:r>
          </w:p>
        </w:tc>
        <w:tc>
          <w:tcPr>
            <w:tcW w:w="5216" w:type="dxa"/>
            <w:shd w:val="clear" w:color="auto" w:fill="0A1E3C"/>
            <w:vAlign w:val="center"/>
          </w:tcPr>
          <w:p w14:paraId="78E6963C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20"/>
              </w:rPr>
              <w:t>关键能力</w:t>
            </w:r>
          </w:p>
        </w:tc>
      </w:tr>
      <w:tr w14:paraId="22D009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  <w:vAlign w:val="center"/>
          </w:tcPr>
          <w:p w14:paraId="06026DCC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协同层</w:t>
            </w:r>
          </w:p>
        </w:tc>
        <w:tc>
          <w:tcPr>
            <w:tcW w:w="1928" w:type="dxa"/>
            <w:vAlign w:val="center"/>
          </w:tcPr>
          <w:p w14:paraId="5537BAAC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多机与人机</w:t>
            </w:r>
          </w:p>
        </w:tc>
        <w:tc>
          <w:tcPr>
            <w:tcW w:w="5216" w:type="dxa"/>
            <w:vAlign w:val="center"/>
          </w:tcPr>
          <w:p w14:paraId="3BCCC84F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任务编排、多机协同、状态同步、集群调度与监控（上位机）</w:t>
            </w:r>
          </w:p>
        </w:tc>
      </w:tr>
      <w:tr w14:paraId="557FD7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  <w:vAlign w:val="center"/>
          </w:tcPr>
          <w:p w14:paraId="4A5D2BA6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决策层</w:t>
            </w:r>
          </w:p>
        </w:tc>
        <w:tc>
          <w:tcPr>
            <w:tcW w:w="1928" w:type="dxa"/>
            <w:vAlign w:val="center"/>
          </w:tcPr>
          <w:p w14:paraId="7D5EA410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单机大脑</w:t>
            </w:r>
          </w:p>
        </w:tc>
        <w:tc>
          <w:tcPr>
            <w:tcW w:w="5216" w:type="dxa"/>
            <w:vAlign w:val="center"/>
          </w:tcPr>
          <w:p w14:paraId="084110BB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状态机任务编排、路径规划、避障决策、目标跟随控制</w:t>
            </w:r>
          </w:p>
        </w:tc>
      </w:tr>
      <w:tr w14:paraId="1A336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  <w:vAlign w:val="center"/>
          </w:tcPr>
          <w:p w14:paraId="5906A470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感知层</w:t>
            </w:r>
          </w:p>
        </w:tc>
        <w:tc>
          <w:tcPr>
            <w:tcW w:w="1928" w:type="dxa"/>
            <w:vAlign w:val="center"/>
          </w:tcPr>
          <w:p w14:paraId="2C4919D5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端侧视觉与传感</w:t>
            </w:r>
          </w:p>
        </w:tc>
        <w:tc>
          <w:tcPr>
            <w:tcW w:w="5216" w:type="dxa"/>
            <w:vAlign w:val="center"/>
          </w:tcPr>
          <w:p w14:paraId="2358804F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端侧视觉识别、多目标跟踪、定位标识识别、环境自适应</w:t>
            </w:r>
          </w:p>
        </w:tc>
      </w:tr>
      <w:tr w14:paraId="7047A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  <w:vAlign w:val="center"/>
          </w:tcPr>
          <w:p w14:paraId="6695098F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执行层</w:t>
            </w:r>
          </w:p>
        </w:tc>
        <w:tc>
          <w:tcPr>
            <w:tcW w:w="1928" w:type="dxa"/>
            <w:vAlign w:val="center"/>
          </w:tcPr>
          <w:p w14:paraId="1AD4107B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底盘与执行</w:t>
            </w:r>
          </w:p>
        </w:tc>
        <w:tc>
          <w:tcPr>
            <w:tcW w:w="5216" w:type="dxa"/>
            <w:vAlign w:val="center"/>
          </w:tcPr>
          <w:p w14:paraId="200E9BD5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全向移动底盘、多传感器融合定位、运动控制、无线通信</w:t>
            </w:r>
          </w:p>
        </w:tc>
      </w:tr>
    </w:tbl>
    <w:p w14:paraId="1199E009">
      <w:pPr>
        <w:spacing w:after="40"/>
      </w:pPr>
    </w:p>
    <w:p w14:paraId="5AC29A50">
      <w:pPr>
        <w:pStyle w:val="4"/>
      </w:pPr>
      <w:r>
        <w:t>4.2 核心功能模块</w:t>
      </w:r>
    </w:p>
    <w:p w14:paraId="2E493EBD">
      <w:pPr>
        <w:pStyle w:val="5"/>
      </w:pPr>
      <w:r>
        <w:t>① 边缘视觉感知</w:t>
      </w:r>
    </w:p>
    <w:p w14:paraId="7382BF12">
      <w:pPr>
        <w:pStyle w:val="16"/>
        <w:spacing w:after="60"/>
      </w:pPr>
      <w:r>
        <w:rPr>
          <w:rFonts w:eastAsia="微软雅黑"/>
          <w:b w:val="0"/>
          <w:sz w:val="22"/>
        </w:rPr>
        <w:t>端侧轻量化目标识别：识别多类搬运物与定位标识；</w:t>
      </w:r>
    </w:p>
    <w:p w14:paraId="1D4CC085">
      <w:pPr>
        <w:pStyle w:val="16"/>
        <w:spacing w:after="60"/>
      </w:pPr>
      <w:r>
        <w:rPr>
          <w:rFonts w:eastAsia="微软雅黑"/>
          <w:b w:val="0"/>
          <w:sz w:val="22"/>
        </w:rPr>
        <w:t>多目标稳定跟踪：目标位置平滑与丢失预测，跨帧稳定锁定；</w:t>
      </w:r>
    </w:p>
    <w:p w14:paraId="6A177A82">
      <w:pPr>
        <w:pStyle w:val="16"/>
        <w:spacing w:after="60"/>
      </w:pPr>
      <w:r>
        <w:rPr>
          <w:rFonts w:eastAsia="微软雅黑"/>
          <w:b w:val="0"/>
          <w:sz w:val="22"/>
        </w:rPr>
        <w:t>定位标识识别：输出相对位姿，用于站点与基准定位；</w:t>
      </w:r>
    </w:p>
    <w:p w14:paraId="3B3441F2">
      <w:pPr>
        <w:pStyle w:val="16"/>
        <w:spacing w:after="60"/>
      </w:pPr>
      <w:r>
        <w:rPr>
          <w:rFonts w:eastAsia="微软雅黑"/>
          <w:b w:val="0"/>
          <w:sz w:val="22"/>
        </w:rPr>
        <w:t>环境自适应：按环境自动调节识别参数，保证不同光照下的鲁棒性。</w:t>
      </w:r>
    </w:p>
    <w:p w14:paraId="555DB679">
      <w:pPr>
        <w:pStyle w:val="5"/>
      </w:pPr>
      <w:r>
        <w:t>② 全向移动与定位</w:t>
      </w:r>
    </w:p>
    <w:p w14:paraId="65160237">
      <w:pPr>
        <w:pStyle w:val="16"/>
        <w:spacing w:after="60"/>
      </w:pPr>
      <w:r>
        <w:rPr>
          <w:rFonts w:eastAsia="微软雅黑"/>
          <w:b w:val="0"/>
          <w:sz w:val="22"/>
        </w:rPr>
        <w:t>全向移动底盘与多传感器融合，构建低成本定位与姿态估计；</w:t>
      </w:r>
    </w:p>
    <w:p w14:paraId="1C490EB8">
      <w:pPr>
        <w:pStyle w:val="16"/>
        <w:spacing w:after="60"/>
      </w:pPr>
      <w:r>
        <w:rPr>
          <w:rFonts w:eastAsia="微软雅黑"/>
          <w:b w:val="0"/>
          <w:sz w:val="22"/>
        </w:rPr>
        <w:t>多环运动控制与滤波平滑，保证运动平稳与定位精度。</w:t>
      </w:r>
    </w:p>
    <w:p w14:paraId="3F1AE3C9">
      <w:pPr>
        <w:pStyle w:val="5"/>
      </w:pPr>
      <w:r>
        <w:t>③ 路径规划与任务编排</w:t>
      </w:r>
    </w:p>
    <w:p w14:paraId="1E50C2F7">
      <w:pPr>
        <w:pStyle w:val="16"/>
        <w:spacing w:after="60"/>
      </w:pPr>
      <w:r>
        <w:rPr>
          <w:rFonts w:eastAsia="微软雅黑"/>
          <w:b w:val="0"/>
          <w:sz w:val="22"/>
        </w:rPr>
        <w:t>状态机编排复杂作业流程（探测→导航→接近→搬运→归位→校准）；</w:t>
      </w:r>
    </w:p>
    <w:p w14:paraId="1356B447">
      <w:pPr>
        <w:pStyle w:val="16"/>
        <w:spacing w:after="60"/>
      </w:pPr>
      <w:r>
        <w:rPr>
          <w:rFonts w:eastAsia="微软雅黑"/>
          <w:b w:val="0"/>
          <w:sz w:val="22"/>
        </w:rPr>
        <w:t>避障、校准、定点导航与多机协同路径交接。</w:t>
      </w:r>
    </w:p>
    <w:p w14:paraId="355B6459">
      <w:pPr>
        <w:pStyle w:val="5"/>
      </w:pPr>
      <w:r>
        <w:t>④ 目标接近与搬运</w:t>
      </w:r>
    </w:p>
    <w:p w14:paraId="104B3B38">
      <w:pPr>
        <w:pStyle w:val="16"/>
        <w:spacing w:after="60"/>
      </w:pPr>
      <w:r>
        <w:rPr>
          <w:rFonts w:eastAsia="微软雅黑"/>
          <w:b w:val="0"/>
          <w:sz w:val="22"/>
        </w:rPr>
        <w:t>基于视觉反馈的目标接近与位姿调整；</w:t>
      </w:r>
    </w:p>
    <w:p w14:paraId="4945CCF0">
      <w:pPr>
        <w:pStyle w:val="16"/>
        <w:spacing w:after="60"/>
      </w:pPr>
      <w:r>
        <w:rPr>
          <w:rFonts w:eastAsia="微软雅黑"/>
          <w:b w:val="0"/>
          <w:sz w:val="22"/>
        </w:rPr>
        <w:t>为各类装载机构预留标准接口，适配不同搬运物。</w:t>
      </w:r>
    </w:p>
    <w:p w14:paraId="44E829C9">
      <w:pPr>
        <w:pStyle w:val="5"/>
      </w:pPr>
      <w:r>
        <w:t>⑤ 多机协同</w:t>
      </w:r>
    </w:p>
    <w:p w14:paraId="4AA3C65D">
      <w:pPr>
        <w:pStyle w:val="16"/>
        <w:spacing w:after="60"/>
      </w:pPr>
      <w:r>
        <w:rPr>
          <w:rFonts w:eastAsia="微软雅黑"/>
          <w:b w:val="0"/>
          <w:sz w:val="22"/>
        </w:rPr>
        <w:t>轻量级无线通信链路与自定义报文协议；</w:t>
      </w:r>
    </w:p>
    <w:p w14:paraId="0D8348BB">
      <w:pPr>
        <w:pStyle w:val="16"/>
        <w:spacing w:after="60"/>
      </w:pPr>
      <w:r>
        <w:rPr>
          <w:rFonts w:eastAsia="微软雅黑"/>
          <w:b w:val="0"/>
          <w:sz w:val="22"/>
        </w:rPr>
        <w:t>多机状态互知、路径共享、任务交接与互备。</w:t>
      </w:r>
    </w:p>
    <w:p w14:paraId="574D7BA2">
      <w:pPr>
        <w:pStyle w:val="5"/>
      </w:pPr>
      <w:r>
        <w:t>⑥ 人机交互与运维</w:t>
      </w:r>
    </w:p>
    <w:p w14:paraId="5BAE3AE8">
      <w:pPr>
        <w:pStyle w:val="16"/>
        <w:spacing w:after="60"/>
      </w:pPr>
      <w:r>
        <w:rPr>
          <w:rFonts w:eastAsia="微软雅黑"/>
          <w:b w:val="0"/>
          <w:sz w:val="22"/>
        </w:rPr>
        <w:t>可视化菜单系统与调试接口；参数配置与持久化；</w:t>
      </w:r>
    </w:p>
    <w:p w14:paraId="673E7021">
      <w:pPr>
        <w:pStyle w:val="16"/>
        <w:spacing w:after="60"/>
      </w:pPr>
      <w:r>
        <w:rPr>
          <w:rFonts w:eastAsia="微软雅黑"/>
          <w:b w:val="0"/>
          <w:sz w:val="22"/>
        </w:rPr>
        <w:t>上位机无线调试、波形输出、在线调参与数据回放。</w:t>
      </w:r>
    </w:p>
    <w:p w14:paraId="64F486B9">
      <w:pPr>
        <w:pStyle w:val="4"/>
      </w:pPr>
      <w:r>
        <w:t>4.3 能力现状与商业化升级方向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3175"/>
        <w:gridCol w:w="3855"/>
      </w:tblGrid>
      <w:tr w14:paraId="0ECA0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shd w:val="clear" w:color="auto" w:fill="0A1E3C"/>
            <w:vAlign w:val="center"/>
          </w:tcPr>
          <w:p w14:paraId="59790A2A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20"/>
              </w:rPr>
              <w:t>模块</w:t>
            </w:r>
          </w:p>
        </w:tc>
        <w:tc>
          <w:tcPr>
            <w:tcW w:w="3175" w:type="dxa"/>
            <w:shd w:val="clear" w:color="auto" w:fill="0A1E3C"/>
            <w:vAlign w:val="center"/>
          </w:tcPr>
          <w:p w14:paraId="1F1F5C73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20"/>
              </w:rPr>
              <w:t>能力现状（概述）</w:t>
            </w:r>
          </w:p>
        </w:tc>
        <w:tc>
          <w:tcPr>
            <w:tcW w:w="3855" w:type="dxa"/>
            <w:shd w:val="clear" w:color="auto" w:fill="0A1E3C"/>
            <w:vAlign w:val="center"/>
          </w:tcPr>
          <w:p w14:paraId="785094F9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20"/>
              </w:rPr>
              <w:t>商业化升级方向</w:t>
            </w:r>
          </w:p>
        </w:tc>
      </w:tr>
      <w:tr w14:paraId="64526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vAlign w:val="center"/>
          </w:tcPr>
          <w:p w14:paraId="32E944BF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视觉感知</w:t>
            </w:r>
          </w:p>
        </w:tc>
        <w:tc>
          <w:tcPr>
            <w:tcW w:w="3175" w:type="dxa"/>
            <w:vAlign w:val="center"/>
          </w:tcPr>
          <w:p w14:paraId="2941EA33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端侧轻量模型 + 传统特征双路识别</w:t>
            </w:r>
          </w:p>
        </w:tc>
        <w:tc>
          <w:tcPr>
            <w:tcW w:w="3855" w:type="dxa"/>
            <w:vAlign w:val="center"/>
          </w:tcPr>
          <w:p w14:paraId="42B77EFA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模型迭代升级、数据增强、自动标定工具链</w:t>
            </w:r>
          </w:p>
        </w:tc>
      </w:tr>
      <w:tr w14:paraId="7F3C4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vAlign w:val="center"/>
          </w:tcPr>
          <w:p w14:paraId="07648DBA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多目标跟踪</w:t>
            </w:r>
          </w:p>
        </w:tc>
        <w:tc>
          <w:tcPr>
            <w:tcW w:w="3175" w:type="dxa"/>
            <w:vAlign w:val="center"/>
          </w:tcPr>
          <w:p w14:paraId="2F9C9A69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多目标跟踪算法</w:t>
            </w:r>
          </w:p>
        </w:tc>
        <w:tc>
          <w:tcPr>
            <w:tcW w:w="3855" w:type="dxa"/>
            <w:vAlign w:val="center"/>
          </w:tcPr>
          <w:p w14:paraId="53C5CBC4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增强目标关联、支持多视角扩展</w:t>
            </w:r>
          </w:p>
        </w:tc>
      </w:tr>
      <w:tr w14:paraId="2B2C1D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vAlign w:val="center"/>
          </w:tcPr>
          <w:p w14:paraId="2FFC29CB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定位导航</w:t>
            </w:r>
          </w:p>
        </w:tc>
        <w:tc>
          <w:tcPr>
            <w:tcW w:w="3175" w:type="dxa"/>
            <w:vAlign w:val="center"/>
          </w:tcPr>
          <w:p w14:paraId="43BDD874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多传感器融合里程计 + 定位标识</w:t>
            </w:r>
          </w:p>
        </w:tc>
        <w:tc>
          <w:tcPr>
            <w:tcW w:w="3855" w:type="dxa"/>
            <w:vAlign w:val="center"/>
          </w:tcPr>
          <w:p w14:paraId="369E3B59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引入轻量化地图构建与重定位能力</w:t>
            </w:r>
          </w:p>
        </w:tc>
      </w:tr>
      <w:tr w14:paraId="5DB5E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vAlign w:val="center"/>
          </w:tcPr>
          <w:p w14:paraId="7DE2ADEF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运动控制</w:t>
            </w:r>
          </w:p>
        </w:tc>
        <w:tc>
          <w:tcPr>
            <w:tcW w:w="3175" w:type="dxa"/>
            <w:vAlign w:val="center"/>
          </w:tcPr>
          <w:p w14:paraId="57E34FA5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多环运动控制</w:t>
            </w:r>
          </w:p>
        </w:tc>
        <w:tc>
          <w:tcPr>
            <w:tcW w:w="3855" w:type="dxa"/>
            <w:vAlign w:val="center"/>
          </w:tcPr>
          <w:p w14:paraId="72FE97A9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底盘平台化与多构型适配、抗干扰与急停安全机制</w:t>
            </w:r>
          </w:p>
        </w:tc>
      </w:tr>
      <w:tr w14:paraId="52C398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vAlign w:val="center"/>
          </w:tcPr>
          <w:p w14:paraId="5FB21015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协同调度</w:t>
            </w:r>
          </w:p>
        </w:tc>
        <w:tc>
          <w:tcPr>
            <w:tcW w:w="3175" w:type="dxa"/>
            <w:vAlign w:val="center"/>
          </w:tcPr>
          <w:p w14:paraId="2AEB2A0B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多机无线协同</w:t>
            </w:r>
          </w:p>
        </w:tc>
        <w:tc>
          <w:tcPr>
            <w:tcW w:w="3855" w:type="dxa"/>
            <w:vAlign w:val="center"/>
          </w:tcPr>
          <w:p w14:paraId="08A5963F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多机编队、任务调度、断链重连与队形保持</w:t>
            </w:r>
          </w:p>
        </w:tc>
      </w:tr>
      <w:tr w14:paraId="15FC9C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vAlign w:val="center"/>
          </w:tcPr>
          <w:p w14:paraId="1763B0DF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软件生态</w:t>
            </w:r>
          </w:p>
        </w:tc>
        <w:tc>
          <w:tcPr>
            <w:tcW w:w="3175" w:type="dxa"/>
            <w:vAlign w:val="center"/>
          </w:tcPr>
          <w:p w14:paraId="5EFA0549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嵌入式固件</w:t>
            </w:r>
          </w:p>
        </w:tc>
        <w:tc>
          <w:tcPr>
            <w:tcW w:w="3855" w:type="dxa"/>
            <w:vAlign w:val="center"/>
          </w:tcPr>
          <w:p w14:paraId="56588068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上位机调度/监控软件、仿真环境、OTA 升级</w:t>
            </w:r>
          </w:p>
        </w:tc>
      </w:tr>
      <w:tr w14:paraId="167E65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vAlign w:val="center"/>
          </w:tcPr>
          <w:p w14:paraId="424DDF9D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可靠性</w:t>
            </w:r>
          </w:p>
        </w:tc>
        <w:tc>
          <w:tcPr>
            <w:tcW w:w="3175" w:type="dxa"/>
            <w:vAlign w:val="center"/>
          </w:tcPr>
          <w:p w14:paraId="549B937C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单次运行验证</w:t>
            </w:r>
          </w:p>
        </w:tc>
        <w:tc>
          <w:tcPr>
            <w:tcW w:w="3855" w:type="dxa"/>
            <w:vAlign w:val="center"/>
          </w:tcPr>
          <w:p w14:paraId="0E7A9DDC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工业级结构、电源管理、过流/欠压保护、防护等级、合规认证</w:t>
            </w:r>
          </w:p>
        </w:tc>
      </w:tr>
    </w:tbl>
    <w:p w14:paraId="7AFC97FF">
      <w:pPr>
        <w:spacing w:after="40"/>
      </w:pPr>
    </w:p>
    <w:p w14:paraId="1412B456">
      <w:pPr>
        <w:pStyle w:val="3"/>
      </w:pPr>
      <w:r>
        <w:t>五、商业化路线</w:t>
      </w:r>
    </w:p>
    <w:p w14:paraId="27116400">
      <w:pPr>
        <w:pStyle w:val="4"/>
      </w:pPr>
      <w:r>
        <w:t>5.1 商业模式设计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4535"/>
        <w:gridCol w:w="2041"/>
      </w:tblGrid>
      <w:tr w14:paraId="5B4FD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  <w:shd w:val="clear" w:color="auto" w:fill="0A1E3C"/>
            <w:vAlign w:val="center"/>
          </w:tcPr>
          <w:p w14:paraId="5EE61435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20"/>
              </w:rPr>
              <w:t>收入来源</w:t>
            </w:r>
          </w:p>
        </w:tc>
        <w:tc>
          <w:tcPr>
            <w:tcW w:w="4535" w:type="dxa"/>
            <w:shd w:val="clear" w:color="auto" w:fill="0A1E3C"/>
            <w:vAlign w:val="center"/>
          </w:tcPr>
          <w:p w14:paraId="430F0828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w="2041" w:type="dxa"/>
            <w:shd w:val="clear" w:color="auto" w:fill="0A1E3C"/>
            <w:vAlign w:val="center"/>
          </w:tcPr>
          <w:p w14:paraId="65857B02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20"/>
              </w:rPr>
              <w:t>阶段</w:t>
            </w:r>
          </w:p>
        </w:tc>
      </w:tr>
      <w:tr w14:paraId="2B13AA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  <w:vAlign w:val="center"/>
          </w:tcPr>
          <w:p w14:paraId="0FDC4147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硬件设备销售</w:t>
            </w:r>
          </w:p>
        </w:tc>
        <w:tc>
          <w:tcPr>
            <w:tcW w:w="4535" w:type="dxa"/>
            <w:vAlign w:val="center"/>
          </w:tcPr>
          <w:p w14:paraId="0FE4DDEC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边缘智能移动机器人平台（整机/套件）</w:t>
            </w:r>
          </w:p>
        </w:tc>
        <w:tc>
          <w:tcPr>
            <w:tcW w:w="2041" w:type="dxa"/>
            <w:vAlign w:val="center"/>
          </w:tcPr>
          <w:p w14:paraId="1E8F0DE7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中短期主力</w:t>
            </w:r>
          </w:p>
        </w:tc>
      </w:tr>
      <w:tr w14:paraId="0EA1C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  <w:vAlign w:val="center"/>
          </w:tcPr>
          <w:p w14:paraId="6682FDB6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软件授权</w:t>
            </w:r>
          </w:p>
        </w:tc>
        <w:tc>
          <w:tcPr>
            <w:tcW w:w="4535" w:type="dxa"/>
            <w:vAlign w:val="center"/>
          </w:tcPr>
          <w:p w14:paraId="722E3964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集群调度软件、视觉识别能力包（License/年费）</w:t>
            </w:r>
          </w:p>
        </w:tc>
        <w:tc>
          <w:tcPr>
            <w:tcW w:w="2041" w:type="dxa"/>
            <w:vAlign w:val="center"/>
          </w:tcPr>
          <w:p w14:paraId="5C3D81A4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中期增长点</w:t>
            </w:r>
          </w:p>
        </w:tc>
      </w:tr>
      <w:tr w14:paraId="2F908F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  <w:vAlign w:val="center"/>
          </w:tcPr>
          <w:p w14:paraId="7D8A0574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行业解决方案</w:t>
            </w:r>
          </w:p>
        </w:tc>
        <w:tc>
          <w:tcPr>
            <w:tcW w:w="4535" w:type="dxa"/>
            <w:vAlign w:val="center"/>
          </w:tcPr>
          <w:p w14:paraId="02791BAB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仓储/实验室/医院场景定制交付（项目制）</w:t>
            </w:r>
          </w:p>
        </w:tc>
        <w:tc>
          <w:tcPr>
            <w:tcW w:w="2041" w:type="dxa"/>
            <w:vAlign w:val="center"/>
          </w:tcPr>
          <w:p w14:paraId="5FDB7DF3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中期主力利润</w:t>
            </w:r>
          </w:p>
        </w:tc>
      </w:tr>
      <w:tr w14:paraId="6FE4AB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  <w:vAlign w:val="center"/>
          </w:tcPr>
          <w:p w14:paraId="2FCEFDDC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运维与订阅</w:t>
            </w:r>
          </w:p>
        </w:tc>
        <w:tc>
          <w:tcPr>
            <w:tcW w:w="4535" w:type="dxa"/>
            <w:vAlign w:val="center"/>
          </w:tcPr>
          <w:p w14:paraId="04A6F385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远程运维、能力升级、SLA 保障服务</w:t>
            </w:r>
          </w:p>
        </w:tc>
        <w:tc>
          <w:tcPr>
            <w:tcW w:w="2041" w:type="dxa"/>
            <w:vAlign w:val="center"/>
          </w:tcPr>
          <w:p w14:paraId="64B8FEBA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长期现金流</w:t>
            </w:r>
          </w:p>
        </w:tc>
      </w:tr>
      <w:tr w14:paraId="16DB00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  <w:vAlign w:val="center"/>
          </w:tcPr>
          <w:p w14:paraId="5A835646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教育/竞赛生态</w:t>
            </w:r>
          </w:p>
        </w:tc>
        <w:tc>
          <w:tcPr>
            <w:tcW w:w="4535" w:type="dxa"/>
            <w:vAlign w:val="center"/>
          </w:tcPr>
          <w:p w14:paraId="4E294D78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教学套件、课程、竞赛训练营</w:t>
            </w:r>
          </w:p>
        </w:tc>
        <w:tc>
          <w:tcPr>
            <w:tcW w:w="2041" w:type="dxa"/>
            <w:vAlign w:val="center"/>
          </w:tcPr>
          <w:p w14:paraId="352DD671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品牌与人才蓄水池</w:t>
            </w:r>
          </w:p>
        </w:tc>
      </w:tr>
    </w:tbl>
    <w:p w14:paraId="72DF3EC9">
      <w:pPr>
        <w:spacing w:after="40"/>
      </w:pPr>
    </w:p>
    <w:p w14:paraId="0E407ED8">
      <w:pPr>
        <w:pStyle w:val="4"/>
      </w:pPr>
      <w:r>
        <w:t>5.2 产品化升级路线</w:t>
      </w:r>
    </w:p>
    <w:p w14:paraId="6F57F569">
      <w:pPr>
        <w:pStyle w:val="16"/>
        <w:spacing w:after="60"/>
      </w:pPr>
      <w:r>
        <w:rPr>
          <w:rFonts w:eastAsia="微软雅黑"/>
          <w:b w:val="0"/>
          <w:sz w:val="22"/>
        </w:rPr>
        <w:t>结构工程化：原型件 → 工业注塑/钣金，模块化快速拆装；</w:t>
      </w:r>
    </w:p>
    <w:p w14:paraId="3493B23D">
      <w:pPr>
        <w:pStyle w:val="16"/>
        <w:spacing w:after="60"/>
      </w:pPr>
      <w:r>
        <w:rPr>
          <w:rFonts w:eastAsia="微软雅黑"/>
          <w:b w:val="0"/>
          <w:sz w:val="22"/>
        </w:rPr>
        <w:t>电气与安全：统一电源管理、电池管理、安全急停、过流/欠压/堵转保护；</w:t>
      </w:r>
    </w:p>
    <w:p w14:paraId="48CC39A5">
      <w:pPr>
        <w:pStyle w:val="16"/>
        <w:spacing w:after="60"/>
      </w:pPr>
      <w:r>
        <w:rPr>
          <w:rFonts w:eastAsia="微软雅黑"/>
          <w:b w:val="0"/>
          <w:sz w:val="22"/>
        </w:rPr>
        <w:t>可靠性：环境测试（温湿/振动）、长时间耐久跑测、故障自诊断；</w:t>
      </w:r>
    </w:p>
    <w:p w14:paraId="02EF3C51">
      <w:pPr>
        <w:pStyle w:val="16"/>
        <w:spacing w:after="60"/>
      </w:pPr>
      <w:r>
        <w:rPr>
          <w:rFonts w:eastAsia="微软雅黑"/>
          <w:b w:val="0"/>
          <w:sz w:val="22"/>
        </w:rPr>
        <w:t>软件工程化：代码分层重构、单元测试、版本管理、配置化部署；</w:t>
      </w:r>
    </w:p>
    <w:p w14:paraId="767203C3">
      <w:pPr>
        <w:pStyle w:val="16"/>
        <w:spacing w:after="60"/>
      </w:pPr>
      <w:r>
        <w:rPr>
          <w:rFonts w:eastAsia="微软雅黑"/>
          <w:b w:val="0"/>
          <w:sz w:val="22"/>
        </w:rPr>
        <w:t>合规认证：相关国际/国内认证，为出口与行业准入做准备。</w:t>
      </w:r>
    </w:p>
    <w:p w14:paraId="75A7823E">
      <w:pPr>
        <w:pStyle w:val="4"/>
      </w:pPr>
      <w:r>
        <w:t>5.3 定价策略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8"/>
        <w:gridCol w:w="2041"/>
        <w:gridCol w:w="3855"/>
      </w:tblGrid>
      <w:tr w14:paraId="127EE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8" w:type="dxa"/>
            <w:shd w:val="clear" w:color="auto" w:fill="0A1E3C"/>
            <w:vAlign w:val="center"/>
          </w:tcPr>
          <w:p w14:paraId="252A63D6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20"/>
              </w:rPr>
              <w:t>产品</w:t>
            </w:r>
          </w:p>
        </w:tc>
        <w:tc>
          <w:tcPr>
            <w:tcW w:w="2041" w:type="dxa"/>
            <w:shd w:val="clear" w:color="auto" w:fill="0A1E3C"/>
            <w:vAlign w:val="center"/>
          </w:tcPr>
          <w:p w14:paraId="40962400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20"/>
              </w:rPr>
              <w:t>参考定价</w:t>
            </w:r>
          </w:p>
        </w:tc>
        <w:tc>
          <w:tcPr>
            <w:tcW w:w="3855" w:type="dxa"/>
            <w:shd w:val="clear" w:color="auto" w:fill="0A1E3C"/>
            <w:vAlign w:val="center"/>
          </w:tcPr>
          <w:p w14:paraId="697FA5C7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20"/>
              </w:rPr>
              <w:t>说明</w:t>
            </w:r>
          </w:p>
        </w:tc>
      </w:tr>
      <w:tr w14:paraId="67A636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8" w:type="dxa"/>
            <w:vAlign w:val="center"/>
          </w:tcPr>
          <w:p w14:paraId="37E53889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单机平台（标准版）</w:t>
            </w:r>
          </w:p>
        </w:tc>
        <w:tc>
          <w:tcPr>
            <w:tcW w:w="2041" w:type="dxa"/>
            <w:vAlign w:val="center"/>
          </w:tcPr>
          <w:p w14:paraId="0BB29A25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1.5–3 万元</w:t>
            </w:r>
          </w:p>
        </w:tc>
        <w:tc>
          <w:tcPr>
            <w:tcW w:w="3855" w:type="dxa"/>
            <w:vAlign w:val="center"/>
          </w:tcPr>
          <w:p w14:paraId="3DE2993D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按载重与配置梯度定价，竞品同档 5–10 万元</w:t>
            </w:r>
          </w:p>
        </w:tc>
      </w:tr>
      <w:tr w14:paraId="2493FF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8" w:type="dxa"/>
            <w:vAlign w:val="center"/>
          </w:tcPr>
          <w:p w14:paraId="3F910B51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软件授权</w:t>
            </w:r>
          </w:p>
        </w:tc>
        <w:tc>
          <w:tcPr>
            <w:tcW w:w="2041" w:type="dxa"/>
            <w:vAlign w:val="center"/>
          </w:tcPr>
          <w:p w14:paraId="6698BC4E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0.5–1 万元/台/年</w:t>
            </w:r>
          </w:p>
        </w:tc>
        <w:tc>
          <w:tcPr>
            <w:tcW w:w="3855" w:type="dxa"/>
            <w:vAlign w:val="center"/>
          </w:tcPr>
          <w:p w14:paraId="6C6D34B9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调度与识别能力包</w:t>
            </w:r>
          </w:p>
        </w:tc>
      </w:tr>
      <w:tr w14:paraId="1BC92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8" w:type="dxa"/>
            <w:vAlign w:val="center"/>
          </w:tcPr>
          <w:p w14:paraId="0CF2C4C6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行业解决方案</w:t>
            </w:r>
          </w:p>
        </w:tc>
        <w:tc>
          <w:tcPr>
            <w:tcW w:w="2041" w:type="dxa"/>
            <w:vAlign w:val="center"/>
          </w:tcPr>
          <w:p w14:paraId="23A0C219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10–50 万元/项目</w:t>
            </w:r>
          </w:p>
        </w:tc>
        <w:tc>
          <w:tcPr>
            <w:tcW w:w="3855" w:type="dxa"/>
            <w:vAlign w:val="center"/>
          </w:tcPr>
          <w:p w14:paraId="01E0BA30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按站点规模与定制深度报价</w:t>
            </w:r>
          </w:p>
        </w:tc>
      </w:tr>
      <w:tr w14:paraId="45690A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8" w:type="dxa"/>
            <w:vAlign w:val="center"/>
          </w:tcPr>
          <w:p w14:paraId="69E5C22E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教育套件</w:t>
            </w:r>
          </w:p>
        </w:tc>
        <w:tc>
          <w:tcPr>
            <w:tcW w:w="2041" w:type="dxa"/>
            <w:vAlign w:val="center"/>
          </w:tcPr>
          <w:p w14:paraId="44D47743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0.3–0.8 万元</w:t>
            </w:r>
          </w:p>
        </w:tc>
        <w:tc>
          <w:tcPr>
            <w:tcW w:w="3855" w:type="dxa"/>
            <w:vAlign w:val="center"/>
          </w:tcPr>
          <w:p w14:paraId="6CB06FE3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含课程与仿真环境，构建生态</w:t>
            </w:r>
          </w:p>
        </w:tc>
      </w:tr>
    </w:tbl>
    <w:p w14:paraId="309D4E67">
      <w:pPr>
        <w:spacing w:after="40"/>
      </w:pPr>
    </w:p>
    <w:p w14:paraId="56EBACBF">
      <w:pPr>
        <w:pStyle w:val="3"/>
      </w:pPr>
      <w:r>
        <w:t>六、发展规划与里程碑</w:t>
      </w:r>
    </w:p>
    <w:p w14:paraId="2DDE904E">
      <w:pPr>
        <w:pStyle w:val="4"/>
      </w:pPr>
      <w:r>
        <w:t>6.1 总体路线图（36 个月）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474"/>
        <w:gridCol w:w="1928"/>
        <w:gridCol w:w="3402"/>
      </w:tblGrid>
      <w:tr w14:paraId="2741C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14" w:type="dxa"/>
            <w:shd w:val="clear" w:color="auto" w:fill="0A1E3C"/>
            <w:vAlign w:val="center"/>
          </w:tcPr>
          <w:p w14:paraId="0E66FE51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20"/>
              </w:rPr>
              <w:t>阶段</w:t>
            </w:r>
          </w:p>
        </w:tc>
        <w:tc>
          <w:tcPr>
            <w:tcW w:w="1474" w:type="dxa"/>
            <w:shd w:val="clear" w:color="auto" w:fill="0A1E3C"/>
            <w:vAlign w:val="center"/>
          </w:tcPr>
          <w:p w14:paraId="68BA777B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20"/>
              </w:rPr>
              <w:t>周期</w:t>
            </w:r>
          </w:p>
        </w:tc>
        <w:tc>
          <w:tcPr>
            <w:tcW w:w="1928" w:type="dxa"/>
            <w:shd w:val="clear" w:color="auto" w:fill="0A1E3C"/>
            <w:vAlign w:val="center"/>
          </w:tcPr>
          <w:p w14:paraId="3C8A9D05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20"/>
              </w:rPr>
              <w:t>目标</w:t>
            </w:r>
          </w:p>
        </w:tc>
        <w:tc>
          <w:tcPr>
            <w:tcW w:w="3402" w:type="dxa"/>
            <w:shd w:val="clear" w:color="auto" w:fill="0A1E3C"/>
            <w:vAlign w:val="center"/>
          </w:tcPr>
          <w:p w14:paraId="06C5FF87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20"/>
              </w:rPr>
              <w:t>关键里程碑</w:t>
            </w:r>
          </w:p>
        </w:tc>
      </w:tr>
      <w:tr w14:paraId="51044B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  <w:vAlign w:val="center"/>
          </w:tcPr>
          <w:p w14:paraId="1A784C1A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Phase 0 商业化筹备</w:t>
            </w:r>
          </w:p>
        </w:tc>
        <w:tc>
          <w:tcPr>
            <w:tcW w:w="1474" w:type="dxa"/>
            <w:vAlign w:val="center"/>
          </w:tcPr>
          <w:p w14:paraId="7CD5DF01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第 1–3 月</w:t>
            </w:r>
          </w:p>
        </w:tc>
        <w:tc>
          <w:tcPr>
            <w:tcW w:w="1928" w:type="dxa"/>
            <w:vAlign w:val="center"/>
          </w:tcPr>
          <w:p w14:paraId="5905B9C8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原型梳理与路演</w:t>
            </w:r>
          </w:p>
        </w:tc>
        <w:tc>
          <w:tcPr>
            <w:tcW w:w="3402" w:type="dxa"/>
            <w:vAlign w:val="center"/>
          </w:tcPr>
          <w:p w14:paraId="18A2A53D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技术文档化、Demo 视频、商业计划、团队组建、种子资源</w:t>
            </w:r>
          </w:p>
        </w:tc>
      </w:tr>
      <w:tr w14:paraId="568A68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  <w:vAlign w:val="center"/>
          </w:tcPr>
          <w:p w14:paraId="2B0249A4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Phase 1 产品化</w:t>
            </w:r>
          </w:p>
        </w:tc>
        <w:tc>
          <w:tcPr>
            <w:tcW w:w="1474" w:type="dxa"/>
            <w:vAlign w:val="center"/>
          </w:tcPr>
          <w:p w14:paraId="6A236D21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第 4–9 月</w:t>
            </w:r>
          </w:p>
        </w:tc>
        <w:tc>
          <w:tcPr>
            <w:tcW w:w="1928" w:type="dxa"/>
            <w:vAlign w:val="center"/>
          </w:tcPr>
          <w:p w14:paraId="47720AA4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工程样机 MVP</w:t>
            </w:r>
          </w:p>
        </w:tc>
        <w:tc>
          <w:tcPr>
            <w:tcW w:w="3402" w:type="dxa"/>
            <w:vAlign w:val="center"/>
          </w:tcPr>
          <w:p w14:paraId="0FFA11DF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底盘平台化、调度软件 v1、安全机制、环境测试、首批 2 台样机</w:t>
            </w:r>
          </w:p>
        </w:tc>
      </w:tr>
      <w:tr w14:paraId="43D186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  <w:vAlign w:val="center"/>
          </w:tcPr>
          <w:p w14:paraId="38B18D61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Phase 2 试点验证</w:t>
            </w:r>
          </w:p>
        </w:tc>
        <w:tc>
          <w:tcPr>
            <w:tcW w:w="1474" w:type="dxa"/>
            <w:vAlign w:val="center"/>
          </w:tcPr>
          <w:p w14:paraId="67D79C48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第 10–15 月</w:t>
            </w:r>
          </w:p>
        </w:tc>
        <w:tc>
          <w:tcPr>
            <w:tcW w:w="1928" w:type="dxa"/>
            <w:vAlign w:val="center"/>
          </w:tcPr>
          <w:p w14:paraId="468BA7B9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客户试点</w:t>
            </w:r>
          </w:p>
        </w:tc>
        <w:tc>
          <w:tcPr>
            <w:tcW w:w="3402" w:type="dxa"/>
            <w:vAlign w:val="center"/>
          </w:tcPr>
          <w:p w14:paraId="3D8EAC11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仓储/实验室试点落地、参数采集优化、SLA 与运维体系、2–3 个标杆案例</w:t>
            </w:r>
          </w:p>
        </w:tc>
      </w:tr>
      <w:tr w14:paraId="01389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  <w:vAlign w:val="center"/>
          </w:tcPr>
          <w:p w14:paraId="76B8793F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Phase 3 规模复制</w:t>
            </w:r>
          </w:p>
        </w:tc>
        <w:tc>
          <w:tcPr>
            <w:tcW w:w="1474" w:type="dxa"/>
            <w:vAlign w:val="center"/>
          </w:tcPr>
          <w:p w14:paraId="6871C147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第 16–24 月</w:t>
            </w:r>
          </w:p>
        </w:tc>
        <w:tc>
          <w:tcPr>
            <w:tcW w:w="1928" w:type="dxa"/>
            <w:vAlign w:val="center"/>
          </w:tcPr>
          <w:p w14:paraId="7925AC71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小批量交付</w:t>
            </w:r>
          </w:p>
        </w:tc>
        <w:tc>
          <w:tcPr>
            <w:tcW w:w="3402" w:type="dxa"/>
            <w:vAlign w:val="center"/>
          </w:tcPr>
          <w:p w14:paraId="2D55DDE8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产线化供应链、认证合规、销售体系、教育生态铺开</w:t>
            </w:r>
          </w:p>
        </w:tc>
      </w:tr>
      <w:tr w14:paraId="14DFE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  <w:vAlign w:val="center"/>
          </w:tcPr>
          <w:p w14:paraId="4B28415B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Phase 4 平台化</w:t>
            </w:r>
          </w:p>
        </w:tc>
        <w:tc>
          <w:tcPr>
            <w:tcW w:w="1474" w:type="dxa"/>
            <w:vAlign w:val="center"/>
          </w:tcPr>
          <w:p w14:paraId="6525B2D1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第 25–36 月</w:t>
            </w:r>
          </w:p>
        </w:tc>
        <w:tc>
          <w:tcPr>
            <w:tcW w:w="1928" w:type="dxa"/>
            <w:vAlign w:val="center"/>
          </w:tcPr>
          <w:p w14:paraId="1EB226ED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集群平台</w:t>
            </w:r>
          </w:p>
        </w:tc>
        <w:tc>
          <w:tcPr>
            <w:tcW w:w="3402" w:type="dxa"/>
            <w:vAlign w:val="center"/>
          </w:tcPr>
          <w:p w14:paraId="522113DB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数十台级协同、行业 SDK、生态伙伴、融资与商业化放量</w:t>
            </w:r>
          </w:p>
        </w:tc>
      </w:tr>
    </w:tbl>
    <w:p w14:paraId="6E08498E">
      <w:pPr>
        <w:spacing w:after="40"/>
      </w:pPr>
    </w:p>
    <w:p w14:paraId="0B714B53">
      <w:pPr>
        <w:pStyle w:val="4"/>
      </w:pPr>
      <w:r>
        <w:t>6.2 近期行动计划（90 天）</w:t>
      </w:r>
    </w:p>
    <w:p w14:paraId="27473604">
      <w:pPr>
        <w:pStyle w:val="16"/>
        <w:spacing w:after="60"/>
      </w:pPr>
      <w:r>
        <w:rPr>
          <w:rFonts w:eastAsia="微软雅黑"/>
          <w:b w:val="0"/>
          <w:sz w:val="22"/>
        </w:rPr>
        <w:t>第 1–2 周：技术资产盘点与文档化（本计划书即起点），整理代码仓库与知识产权可挖掘点；</w:t>
      </w:r>
    </w:p>
    <w:p w14:paraId="62A9300D">
      <w:pPr>
        <w:pStyle w:val="16"/>
        <w:spacing w:after="60"/>
      </w:pPr>
      <w:r>
        <w:rPr>
          <w:rFonts w:eastAsia="微软雅黑"/>
          <w:b w:val="0"/>
          <w:sz w:val="22"/>
        </w:rPr>
        <w:t>第 3–6 周：产出标准化演示 Demo（识别→协同→搬运全流程），打磨路演材料；</w:t>
      </w:r>
    </w:p>
    <w:p w14:paraId="2F2D2043">
      <w:pPr>
        <w:pStyle w:val="16"/>
        <w:spacing w:after="60"/>
      </w:pPr>
      <w:r>
        <w:rPr>
          <w:rFonts w:eastAsia="微软雅黑"/>
          <w:b w:val="0"/>
          <w:sz w:val="22"/>
        </w:rPr>
        <w:t>第 7–10 周：完成工程化改造设计（底盘平台 + 调度软件 v1），申请软著/专利 2–3 项；</w:t>
      </w:r>
    </w:p>
    <w:p w14:paraId="7CC8D372">
      <w:pPr>
        <w:pStyle w:val="16"/>
        <w:spacing w:after="60"/>
      </w:pPr>
      <w:r>
        <w:rPr>
          <w:rFonts w:eastAsia="微软雅黑"/>
          <w:b w:val="0"/>
          <w:sz w:val="22"/>
        </w:rPr>
        <w:t>第 11–13 周：对接 2–3 个潜在客户/导师/投资方，收集需求并输出试点方案。</w:t>
      </w:r>
    </w:p>
    <w:p w14:paraId="1F9DC922">
      <w:pPr>
        <w:pStyle w:val="3"/>
      </w:pPr>
      <w:r>
        <w:t>七、团队与资源</w:t>
      </w:r>
    </w:p>
    <w:p w14:paraId="42C6B075">
      <w:pPr>
        <w:pStyle w:val="4"/>
      </w:pPr>
      <w:r>
        <w:t>7.1 团队构成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3969"/>
        <w:gridCol w:w="2608"/>
      </w:tblGrid>
      <w:tr w14:paraId="1AA68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  <w:shd w:val="clear" w:color="auto" w:fill="0A1E3C"/>
            <w:vAlign w:val="center"/>
          </w:tcPr>
          <w:p w14:paraId="3E72D3E6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20"/>
              </w:rPr>
              <w:t>角色</w:t>
            </w:r>
          </w:p>
        </w:tc>
        <w:tc>
          <w:tcPr>
            <w:tcW w:w="3969" w:type="dxa"/>
            <w:shd w:val="clear" w:color="auto" w:fill="0A1E3C"/>
            <w:vAlign w:val="center"/>
          </w:tcPr>
          <w:p w14:paraId="416AF501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20"/>
              </w:rPr>
              <w:t>职责</w:t>
            </w:r>
          </w:p>
        </w:tc>
        <w:tc>
          <w:tcPr>
            <w:tcW w:w="2608" w:type="dxa"/>
            <w:shd w:val="clear" w:color="auto" w:fill="0A1E3C"/>
            <w:vAlign w:val="center"/>
          </w:tcPr>
          <w:p w14:paraId="5B946F02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20"/>
              </w:rPr>
              <w:t>现有/缺口</w:t>
            </w:r>
          </w:p>
        </w:tc>
      </w:tr>
      <w:tr w14:paraId="77E5F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  <w:vAlign w:val="center"/>
          </w:tcPr>
          <w:p w14:paraId="353B706A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项目负责人</w:t>
            </w:r>
          </w:p>
        </w:tc>
        <w:tc>
          <w:tcPr>
            <w:tcW w:w="3969" w:type="dxa"/>
            <w:vAlign w:val="center"/>
          </w:tcPr>
          <w:p w14:paraId="7E5F44DD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总体架构、商业化推进、对外沟通</w:t>
            </w:r>
          </w:p>
        </w:tc>
        <w:tc>
          <w:tcPr>
            <w:tcW w:w="2608" w:type="dxa"/>
            <w:vAlign w:val="center"/>
          </w:tcPr>
          <w:p w14:paraId="7A02F4F3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现有（项目组长）</w:t>
            </w:r>
          </w:p>
        </w:tc>
      </w:tr>
      <w:tr w14:paraId="60A807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  <w:vAlign w:val="center"/>
          </w:tcPr>
          <w:p w14:paraId="2CE469FB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视觉算法工程师</w:t>
            </w:r>
          </w:p>
        </w:tc>
        <w:tc>
          <w:tcPr>
            <w:tcW w:w="3969" w:type="dxa"/>
            <w:vAlign w:val="center"/>
          </w:tcPr>
          <w:p w14:paraId="1BED3C05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识别/跟踪能力与端侧部署</w:t>
            </w:r>
          </w:p>
        </w:tc>
        <w:tc>
          <w:tcPr>
            <w:tcW w:w="2608" w:type="dxa"/>
            <w:vAlign w:val="center"/>
          </w:tcPr>
          <w:p w14:paraId="7A07EAF7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现有，需强化数据与能力升级</w:t>
            </w:r>
          </w:p>
        </w:tc>
      </w:tr>
      <w:tr w14:paraId="76A266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  <w:vAlign w:val="center"/>
          </w:tcPr>
          <w:p w14:paraId="7B6E6B2E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嵌入式/底盘工程师</w:t>
            </w:r>
          </w:p>
        </w:tc>
        <w:tc>
          <w:tcPr>
            <w:tcW w:w="3969" w:type="dxa"/>
            <w:vAlign w:val="center"/>
          </w:tcPr>
          <w:p w14:paraId="720A622F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控制、通信、硬件集成</w:t>
            </w:r>
          </w:p>
        </w:tc>
        <w:tc>
          <w:tcPr>
            <w:tcW w:w="2608" w:type="dxa"/>
            <w:vAlign w:val="center"/>
          </w:tcPr>
          <w:p w14:paraId="6680605C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现有，需补充工业级结构/电气人才</w:t>
            </w:r>
          </w:p>
        </w:tc>
      </w:tr>
      <w:tr w14:paraId="757E4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  <w:vAlign w:val="center"/>
          </w:tcPr>
          <w:p w14:paraId="4B61594E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上位机/软件工程师</w:t>
            </w:r>
          </w:p>
        </w:tc>
        <w:tc>
          <w:tcPr>
            <w:tcW w:w="3969" w:type="dxa"/>
            <w:vAlign w:val="center"/>
          </w:tcPr>
          <w:p w14:paraId="4FAA4BA6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调度软件、监控平台、仿真</w:t>
            </w:r>
          </w:p>
        </w:tc>
        <w:tc>
          <w:tcPr>
            <w:tcW w:w="2608" w:type="dxa"/>
            <w:vAlign w:val="center"/>
          </w:tcPr>
          <w:p w14:paraId="7B08644A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缺口，需招/外包</w:t>
            </w:r>
          </w:p>
        </w:tc>
      </w:tr>
      <w:tr w14:paraId="7F775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  <w:vAlign w:val="center"/>
          </w:tcPr>
          <w:p w14:paraId="1221AFB2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市场与运营</w:t>
            </w:r>
          </w:p>
        </w:tc>
        <w:tc>
          <w:tcPr>
            <w:tcW w:w="3969" w:type="dxa"/>
            <w:vAlign w:val="center"/>
          </w:tcPr>
          <w:p w14:paraId="30AB999C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客户、渠道、售前售后</w:t>
            </w:r>
          </w:p>
        </w:tc>
        <w:tc>
          <w:tcPr>
            <w:tcW w:w="2608" w:type="dxa"/>
            <w:vAlign w:val="center"/>
          </w:tcPr>
          <w:p w14:paraId="317C509E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缺口，可先由团队兼任 + 导师/孵化器资源</w:t>
            </w:r>
          </w:p>
        </w:tc>
      </w:tr>
    </w:tbl>
    <w:p w14:paraId="06AA7545">
      <w:pPr>
        <w:spacing w:after="40"/>
      </w:pPr>
    </w:p>
    <w:p w14:paraId="6EA405B4">
      <w:pPr>
        <w:pStyle w:val="4"/>
      </w:pPr>
      <w:r>
        <w:t>7.2 资源需求</w:t>
      </w:r>
    </w:p>
    <w:p w14:paraId="11192818">
      <w:pPr>
        <w:pStyle w:val="16"/>
        <w:spacing w:after="60"/>
      </w:pPr>
      <w:r>
        <w:rPr>
          <w:rFonts w:eastAsia="微软雅黑"/>
          <w:b w:val="0"/>
          <w:sz w:val="22"/>
        </w:rPr>
        <w:t>启动资金：30–60 万元（详见财务概算）；</w:t>
      </w:r>
    </w:p>
    <w:p w14:paraId="57491F6B">
      <w:pPr>
        <w:pStyle w:val="16"/>
        <w:spacing w:after="60"/>
      </w:pPr>
      <w:r>
        <w:rPr>
          <w:rFonts w:eastAsia="微软雅黑"/>
          <w:b w:val="0"/>
          <w:sz w:val="22"/>
        </w:rPr>
        <w:t>场地与设备：实验室、加工与调试设备；</w:t>
      </w:r>
    </w:p>
    <w:p w14:paraId="50063505">
      <w:pPr>
        <w:pStyle w:val="16"/>
        <w:spacing w:after="60"/>
      </w:pPr>
      <w:r>
        <w:rPr>
          <w:rFonts w:eastAsia="微软雅黑"/>
          <w:b w:val="0"/>
          <w:sz w:val="22"/>
        </w:rPr>
        <w:t>外部支持：导师与学院产学研平台、学校孵化器/双创基金、行业展会与赛事合作。</w:t>
      </w:r>
    </w:p>
    <w:p w14:paraId="166437DD">
      <w:pPr>
        <w:pStyle w:val="3"/>
      </w:pPr>
      <w:r>
        <w:t>八、风险分析与应对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3061"/>
        <w:gridCol w:w="3969"/>
      </w:tblGrid>
      <w:tr w14:paraId="213A9D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shd w:val="clear" w:color="auto" w:fill="0A1E3C"/>
            <w:vAlign w:val="center"/>
          </w:tcPr>
          <w:p w14:paraId="3172C7E6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20"/>
              </w:rPr>
              <w:t>风险类别</w:t>
            </w:r>
          </w:p>
        </w:tc>
        <w:tc>
          <w:tcPr>
            <w:tcW w:w="3061" w:type="dxa"/>
            <w:shd w:val="clear" w:color="auto" w:fill="0A1E3C"/>
            <w:vAlign w:val="center"/>
          </w:tcPr>
          <w:p w14:paraId="005698C7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20"/>
              </w:rPr>
              <w:t>风险描述</w:t>
            </w:r>
          </w:p>
        </w:tc>
        <w:tc>
          <w:tcPr>
            <w:tcW w:w="3969" w:type="dxa"/>
            <w:shd w:val="clear" w:color="auto" w:fill="0A1E3C"/>
            <w:vAlign w:val="center"/>
          </w:tcPr>
          <w:p w14:paraId="0497F840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20"/>
              </w:rPr>
              <w:t>应对措施</w:t>
            </w:r>
          </w:p>
        </w:tc>
      </w:tr>
      <w:tr w14:paraId="2C2B67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vAlign w:val="center"/>
          </w:tcPr>
          <w:p w14:paraId="10EEA0D1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技术风险</w:t>
            </w:r>
          </w:p>
        </w:tc>
        <w:tc>
          <w:tcPr>
            <w:tcW w:w="3061" w:type="dxa"/>
            <w:vAlign w:val="center"/>
          </w:tcPr>
          <w:p w14:paraId="0E7F233A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识别率/稳定性不足影响验收</w:t>
            </w:r>
          </w:p>
        </w:tc>
        <w:tc>
          <w:tcPr>
            <w:tcW w:w="3969" w:type="dxa"/>
            <w:vAlign w:val="center"/>
          </w:tcPr>
          <w:p w14:paraId="4BA6BF2C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能力持续升级 + 数据增强 + 冗余传感融合；设严格过测标准</w:t>
            </w:r>
          </w:p>
        </w:tc>
      </w:tr>
      <w:tr w14:paraId="32DC54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vAlign w:val="center"/>
          </w:tcPr>
          <w:p w14:paraId="0394D8EB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成本风险</w:t>
            </w:r>
          </w:p>
        </w:tc>
        <w:tc>
          <w:tcPr>
            <w:tcW w:w="3061" w:type="dxa"/>
            <w:vAlign w:val="center"/>
          </w:tcPr>
          <w:p w14:paraId="30A03010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工程化后单机成本超预期</w:t>
            </w:r>
          </w:p>
        </w:tc>
        <w:tc>
          <w:tcPr>
            <w:tcW w:w="3969" w:type="dxa"/>
            <w:vAlign w:val="center"/>
          </w:tcPr>
          <w:p w14:paraId="7B0A6F61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器件选型国产化、模块复用、按量议价、分期迭代</w:t>
            </w:r>
          </w:p>
        </w:tc>
      </w:tr>
      <w:tr w14:paraId="1C894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vAlign w:val="center"/>
          </w:tcPr>
          <w:p w14:paraId="393B49A8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市场风险</w:t>
            </w:r>
          </w:p>
        </w:tc>
        <w:tc>
          <w:tcPr>
            <w:tcW w:w="3061" w:type="dxa"/>
            <w:vAlign w:val="center"/>
          </w:tcPr>
          <w:p w14:paraId="38997145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目标场景需求不达预期</w:t>
            </w:r>
          </w:p>
        </w:tc>
        <w:tc>
          <w:tcPr>
            <w:tcW w:w="3969" w:type="dxa"/>
            <w:vAlign w:val="center"/>
          </w:tcPr>
          <w:p w14:paraId="52272CAE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多场景并行试点、轻量 MVP 快速验证、渠道合作</w:t>
            </w:r>
          </w:p>
        </w:tc>
      </w:tr>
      <w:tr w14:paraId="5AC5C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vAlign w:val="center"/>
          </w:tcPr>
          <w:p w14:paraId="0C6C785D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竞争风险</w:t>
            </w:r>
          </w:p>
        </w:tc>
        <w:tc>
          <w:tcPr>
            <w:tcW w:w="3061" w:type="dxa"/>
            <w:vAlign w:val="center"/>
          </w:tcPr>
          <w:p w14:paraId="2442CA9C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大厂/低价方案挤压</w:t>
            </w:r>
          </w:p>
        </w:tc>
        <w:tc>
          <w:tcPr>
            <w:tcW w:w="3969" w:type="dxa"/>
            <w:vAlign w:val="center"/>
          </w:tcPr>
          <w:p w14:paraId="6D2E35A0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聚焦长尾场景 + 教育生态，强化服务与定制差异</w:t>
            </w:r>
          </w:p>
        </w:tc>
      </w:tr>
      <w:tr w14:paraId="01A2C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vAlign w:val="center"/>
          </w:tcPr>
          <w:p w14:paraId="749069AB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团队风险</w:t>
            </w:r>
          </w:p>
        </w:tc>
        <w:tc>
          <w:tcPr>
            <w:tcW w:w="3061" w:type="dxa"/>
            <w:vAlign w:val="center"/>
          </w:tcPr>
          <w:p w14:paraId="47773B5F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核心成员流失/精力分散</w:t>
            </w:r>
          </w:p>
        </w:tc>
        <w:tc>
          <w:tcPr>
            <w:tcW w:w="3969" w:type="dxa"/>
            <w:vAlign w:val="center"/>
          </w:tcPr>
          <w:p w14:paraId="6D68CE56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明确股权与激励机制、文档化沉淀、双线备份</w:t>
            </w:r>
          </w:p>
        </w:tc>
      </w:tr>
      <w:tr w14:paraId="61130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dxa"/>
            <w:vAlign w:val="center"/>
          </w:tcPr>
          <w:p w14:paraId="4B788924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合规风险</w:t>
            </w:r>
          </w:p>
        </w:tc>
        <w:tc>
          <w:tcPr>
            <w:tcW w:w="3061" w:type="dxa"/>
            <w:vAlign w:val="center"/>
          </w:tcPr>
          <w:p w14:paraId="59BC71AF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安全/认证/专利纠纷</w:t>
            </w:r>
          </w:p>
        </w:tc>
        <w:tc>
          <w:tcPr>
            <w:tcW w:w="3969" w:type="dxa"/>
            <w:vAlign w:val="center"/>
          </w:tcPr>
          <w:p w14:paraId="60ED28EE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提前认证规划、专利与软著布局、法务支持</w:t>
            </w:r>
          </w:p>
        </w:tc>
      </w:tr>
    </w:tbl>
    <w:p w14:paraId="3A2F8B3E">
      <w:pPr>
        <w:spacing w:after="40"/>
      </w:pPr>
    </w:p>
    <w:p w14:paraId="559815B9">
      <w:pPr>
        <w:pStyle w:val="3"/>
      </w:pPr>
      <w:r>
        <w:t>九、财务概算</w:t>
      </w:r>
    </w:p>
    <w:p w14:paraId="53B5A32D">
      <w:pPr>
        <w:pStyle w:val="4"/>
      </w:pPr>
      <w:r>
        <w:t>9.1 成本结构（单台标准版样机）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1"/>
        <w:gridCol w:w="2154"/>
        <w:gridCol w:w="3402"/>
      </w:tblGrid>
      <w:tr w14:paraId="4D90FC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61" w:type="dxa"/>
            <w:shd w:val="clear" w:color="auto" w:fill="0A1E3C"/>
            <w:vAlign w:val="center"/>
          </w:tcPr>
          <w:p w14:paraId="1F12573D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20"/>
              </w:rPr>
              <w:t>成本项</w:t>
            </w:r>
          </w:p>
        </w:tc>
        <w:tc>
          <w:tcPr>
            <w:tcW w:w="2154" w:type="dxa"/>
            <w:shd w:val="clear" w:color="auto" w:fill="0A1E3C"/>
            <w:vAlign w:val="center"/>
          </w:tcPr>
          <w:p w14:paraId="15F46929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20"/>
              </w:rPr>
              <w:t>估算（元）</w:t>
            </w:r>
          </w:p>
        </w:tc>
        <w:tc>
          <w:tcPr>
            <w:tcW w:w="3402" w:type="dxa"/>
            <w:shd w:val="clear" w:color="auto" w:fill="0A1E3C"/>
            <w:vAlign w:val="center"/>
          </w:tcPr>
          <w:p w14:paraId="37D4E63C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20"/>
              </w:rPr>
              <w:t>说明</w:t>
            </w:r>
          </w:p>
        </w:tc>
      </w:tr>
      <w:tr w14:paraId="2792C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61" w:type="dxa"/>
            <w:vAlign w:val="center"/>
          </w:tcPr>
          <w:p w14:paraId="6CBBC1EF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核心控制与视觉模组</w:t>
            </w:r>
          </w:p>
        </w:tc>
        <w:tc>
          <w:tcPr>
            <w:tcW w:w="2154" w:type="dxa"/>
            <w:vAlign w:val="center"/>
          </w:tcPr>
          <w:p w14:paraId="38B59440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600–1200</w:t>
            </w:r>
          </w:p>
        </w:tc>
        <w:tc>
          <w:tcPr>
            <w:tcW w:w="3402" w:type="dxa"/>
            <w:vAlign w:val="center"/>
          </w:tcPr>
          <w:p w14:paraId="18EEA887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端侧计算与感知核心</w:t>
            </w:r>
          </w:p>
        </w:tc>
      </w:tr>
      <w:tr w14:paraId="3426D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61" w:type="dxa"/>
            <w:vAlign w:val="center"/>
          </w:tcPr>
          <w:p w14:paraId="7EAA7AA6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全向底盘（电机/驱动/轮系）</w:t>
            </w:r>
          </w:p>
        </w:tc>
        <w:tc>
          <w:tcPr>
            <w:tcW w:w="2154" w:type="dxa"/>
            <w:vAlign w:val="center"/>
          </w:tcPr>
          <w:p w14:paraId="02AC10CE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1500–2500</w:t>
            </w:r>
          </w:p>
        </w:tc>
        <w:tc>
          <w:tcPr>
            <w:tcW w:w="3402" w:type="dxa"/>
            <w:vAlign w:val="center"/>
          </w:tcPr>
          <w:p w14:paraId="391F871C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全向移动方案</w:t>
            </w:r>
          </w:p>
        </w:tc>
      </w:tr>
      <w:tr w14:paraId="37E7E5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61" w:type="dxa"/>
            <w:vAlign w:val="center"/>
          </w:tcPr>
          <w:p w14:paraId="4B27F045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传感器与电源（姿态/里程/电源管理）</w:t>
            </w:r>
          </w:p>
        </w:tc>
        <w:tc>
          <w:tcPr>
            <w:tcW w:w="2154" w:type="dxa"/>
            <w:vAlign w:val="center"/>
          </w:tcPr>
          <w:p w14:paraId="3203C6C1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500–900</w:t>
            </w:r>
          </w:p>
        </w:tc>
        <w:tc>
          <w:tcPr>
            <w:tcW w:w="3402" w:type="dxa"/>
            <w:vAlign w:val="center"/>
          </w:tcPr>
          <w:p w14:paraId="7C0B000E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低成本感知融合</w:t>
            </w:r>
          </w:p>
        </w:tc>
      </w:tr>
      <w:tr w14:paraId="260DE7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61" w:type="dxa"/>
            <w:vAlign w:val="center"/>
          </w:tcPr>
          <w:p w14:paraId="67B78A68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结构件与线材</w:t>
            </w:r>
          </w:p>
        </w:tc>
        <w:tc>
          <w:tcPr>
            <w:tcW w:w="2154" w:type="dxa"/>
            <w:vAlign w:val="center"/>
          </w:tcPr>
          <w:p w14:paraId="6676E065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300–600</w:t>
            </w:r>
          </w:p>
        </w:tc>
        <w:tc>
          <w:tcPr>
            <w:tcW w:w="3402" w:type="dxa"/>
            <w:vAlign w:val="center"/>
          </w:tcPr>
          <w:p w14:paraId="6724E677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批量化后下降</w:t>
            </w:r>
          </w:p>
        </w:tc>
      </w:tr>
      <w:tr w14:paraId="72307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61" w:type="dxa"/>
            <w:vAlign w:val="center"/>
          </w:tcPr>
          <w:p w14:paraId="37F5E8B4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其他（通信/接口/辅料）</w:t>
            </w:r>
          </w:p>
        </w:tc>
        <w:tc>
          <w:tcPr>
            <w:tcW w:w="2154" w:type="dxa"/>
            <w:vAlign w:val="center"/>
          </w:tcPr>
          <w:p w14:paraId="2197CF07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200–400</w:t>
            </w:r>
          </w:p>
        </w:tc>
        <w:tc>
          <w:tcPr>
            <w:tcW w:w="3402" w:type="dxa"/>
            <w:vAlign w:val="center"/>
          </w:tcPr>
          <w:p w14:paraId="6425E0AC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—</w:t>
            </w:r>
          </w:p>
        </w:tc>
      </w:tr>
      <w:tr w14:paraId="3872D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61" w:type="dxa"/>
            <w:vAlign w:val="center"/>
          </w:tcPr>
          <w:p w14:paraId="7E073F66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合计（BOM）</w:t>
            </w:r>
          </w:p>
        </w:tc>
        <w:tc>
          <w:tcPr>
            <w:tcW w:w="2154" w:type="dxa"/>
            <w:vAlign w:val="center"/>
          </w:tcPr>
          <w:p w14:paraId="4A8FF150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约 3100–5600</w:t>
            </w:r>
          </w:p>
        </w:tc>
        <w:tc>
          <w:tcPr>
            <w:tcW w:w="3402" w:type="dxa"/>
            <w:vAlign w:val="center"/>
          </w:tcPr>
          <w:p w14:paraId="3E2AFF52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不含研发摊销</w:t>
            </w:r>
          </w:p>
        </w:tc>
      </w:tr>
    </w:tbl>
    <w:p w14:paraId="0E344D44">
      <w:pPr>
        <w:spacing w:after="40"/>
      </w:pPr>
    </w:p>
    <w:p w14:paraId="283DBBBA">
      <w:pPr>
        <w:pStyle w:val="4"/>
      </w:pPr>
      <w:r>
        <w:t>9.2 预算与融资需求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1"/>
        <w:gridCol w:w="2154"/>
        <w:gridCol w:w="3402"/>
      </w:tblGrid>
      <w:tr w14:paraId="417971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061" w:type="dxa"/>
            <w:shd w:val="clear" w:color="auto" w:fill="0A1E3C"/>
            <w:vAlign w:val="center"/>
          </w:tcPr>
          <w:p w14:paraId="7ABFF44B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20"/>
              </w:rPr>
              <w:t>用途</w:t>
            </w:r>
          </w:p>
        </w:tc>
        <w:tc>
          <w:tcPr>
            <w:tcW w:w="2154" w:type="dxa"/>
            <w:shd w:val="clear" w:color="auto" w:fill="0A1E3C"/>
            <w:vAlign w:val="center"/>
          </w:tcPr>
          <w:p w14:paraId="135CDE2E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20"/>
              </w:rPr>
              <w:t>预算（万元）</w:t>
            </w:r>
          </w:p>
        </w:tc>
        <w:tc>
          <w:tcPr>
            <w:tcW w:w="3402" w:type="dxa"/>
            <w:shd w:val="clear" w:color="auto" w:fill="0A1E3C"/>
            <w:vAlign w:val="center"/>
          </w:tcPr>
          <w:p w14:paraId="5D8DC09C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20"/>
              </w:rPr>
              <w:t>说明</w:t>
            </w:r>
          </w:p>
        </w:tc>
      </w:tr>
      <w:tr w14:paraId="14C39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061" w:type="dxa"/>
            <w:vAlign w:val="center"/>
          </w:tcPr>
          <w:p w14:paraId="58DAA9A9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工程样机（2 台）</w:t>
            </w:r>
          </w:p>
        </w:tc>
        <w:tc>
          <w:tcPr>
            <w:tcW w:w="2154" w:type="dxa"/>
            <w:vAlign w:val="center"/>
          </w:tcPr>
          <w:p w14:paraId="2797DCE5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3–6</w:t>
            </w:r>
          </w:p>
        </w:tc>
        <w:tc>
          <w:tcPr>
            <w:tcW w:w="3402" w:type="dxa"/>
            <w:vAlign w:val="center"/>
          </w:tcPr>
          <w:p w14:paraId="5BF890B9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底盘平台 + 感知 + 调度软件 v1</w:t>
            </w:r>
          </w:p>
        </w:tc>
      </w:tr>
      <w:tr w14:paraId="62392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61" w:type="dxa"/>
            <w:vAlign w:val="center"/>
          </w:tcPr>
          <w:p w14:paraId="7A5444DE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模具与供应链起步</w:t>
            </w:r>
          </w:p>
        </w:tc>
        <w:tc>
          <w:tcPr>
            <w:tcW w:w="2154" w:type="dxa"/>
            <w:vAlign w:val="center"/>
          </w:tcPr>
          <w:p w14:paraId="13CEFF97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5–10</w:t>
            </w:r>
          </w:p>
        </w:tc>
        <w:tc>
          <w:tcPr>
            <w:tcW w:w="3402" w:type="dxa"/>
            <w:vAlign w:val="center"/>
          </w:tcPr>
          <w:p w14:paraId="30714121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批量降本与产能准备</w:t>
            </w:r>
          </w:p>
        </w:tc>
      </w:tr>
      <w:tr w14:paraId="38187C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61" w:type="dxa"/>
            <w:vAlign w:val="center"/>
          </w:tcPr>
          <w:p w14:paraId="7037269E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软件与算法研发</w:t>
            </w:r>
          </w:p>
        </w:tc>
        <w:tc>
          <w:tcPr>
            <w:tcW w:w="2154" w:type="dxa"/>
            <w:vAlign w:val="center"/>
          </w:tcPr>
          <w:p w14:paraId="43BCDDB0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5–10</w:t>
            </w:r>
          </w:p>
        </w:tc>
        <w:tc>
          <w:tcPr>
            <w:tcW w:w="3402" w:type="dxa"/>
            <w:vAlign w:val="center"/>
          </w:tcPr>
          <w:p w14:paraId="1DD44B67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调度软件、能力升级、仿真</w:t>
            </w:r>
          </w:p>
        </w:tc>
      </w:tr>
      <w:tr w14:paraId="3068D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61" w:type="dxa"/>
            <w:vAlign w:val="center"/>
          </w:tcPr>
          <w:p w14:paraId="021309F2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测试与认证</w:t>
            </w:r>
          </w:p>
        </w:tc>
        <w:tc>
          <w:tcPr>
            <w:tcW w:w="2154" w:type="dxa"/>
            <w:vAlign w:val="center"/>
          </w:tcPr>
          <w:p w14:paraId="5724D988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3–6</w:t>
            </w:r>
          </w:p>
        </w:tc>
        <w:tc>
          <w:tcPr>
            <w:tcW w:w="3402" w:type="dxa"/>
            <w:vAlign w:val="center"/>
          </w:tcPr>
          <w:p w14:paraId="591F086B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环境测试、合规认证等</w:t>
            </w:r>
          </w:p>
        </w:tc>
      </w:tr>
      <w:tr w14:paraId="61B91E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61" w:type="dxa"/>
            <w:vAlign w:val="center"/>
          </w:tcPr>
          <w:p w14:paraId="7086ECBA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市场与试点</w:t>
            </w:r>
          </w:p>
        </w:tc>
        <w:tc>
          <w:tcPr>
            <w:tcW w:w="2154" w:type="dxa"/>
            <w:vAlign w:val="center"/>
          </w:tcPr>
          <w:p w14:paraId="2306092D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5–12</w:t>
            </w:r>
          </w:p>
        </w:tc>
        <w:tc>
          <w:tcPr>
            <w:tcW w:w="3402" w:type="dxa"/>
            <w:vAlign w:val="center"/>
          </w:tcPr>
          <w:p w14:paraId="7C006079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客户试点、展会、路演</w:t>
            </w:r>
          </w:p>
        </w:tc>
      </w:tr>
      <w:tr w14:paraId="7AE2D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61" w:type="dxa"/>
            <w:vAlign w:val="center"/>
          </w:tcPr>
          <w:p w14:paraId="2BA19D1C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运营与人力</w:t>
            </w:r>
          </w:p>
        </w:tc>
        <w:tc>
          <w:tcPr>
            <w:tcW w:w="2154" w:type="dxa"/>
            <w:vAlign w:val="center"/>
          </w:tcPr>
          <w:p w14:paraId="1933DD97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8–15</w:t>
            </w:r>
          </w:p>
        </w:tc>
        <w:tc>
          <w:tcPr>
            <w:tcW w:w="3402" w:type="dxa"/>
            <w:vAlign w:val="center"/>
          </w:tcPr>
          <w:p w14:paraId="6DCEFCFE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核心团队与外包</w:t>
            </w:r>
          </w:p>
        </w:tc>
      </w:tr>
      <w:tr w14:paraId="6051D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61" w:type="dxa"/>
            <w:vAlign w:val="center"/>
          </w:tcPr>
          <w:p w14:paraId="03A9D057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合计</w:t>
            </w:r>
          </w:p>
        </w:tc>
        <w:tc>
          <w:tcPr>
            <w:tcW w:w="2154" w:type="dxa"/>
            <w:vAlign w:val="center"/>
          </w:tcPr>
          <w:p w14:paraId="1AB7403C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约 30–60</w:t>
            </w:r>
          </w:p>
        </w:tc>
        <w:tc>
          <w:tcPr>
            <w:tcW w:w="3402" w:type="dxa"/>
            <w:vAlign w:val="center"/>
          </w:tcPr>
          <w:p w14:paraId="3777E265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可先以双创基金/竞赛孵化启动</w:t>
            </w:r>
          </w:p>
        </w:tc>
      </w:tr>
    </w:tbl>
    <w:p w14:paraId="06E9D0F1">
      <w:pPr>
        <w:spacing w:after="40"/>
      </w:pPr>
    </w:p>
    <w:p w14:paraId="6F198D02">
      <w:pPr>
        <w:pStyle w:val="4"/>
      </w:pPr>
      <w:r>
        <w:t>9.3 收入与盈亏预期</w:t>
      </w:r>
    </w:p>
    <w:p w14:paraId="026AB86C">
      <w:pPr>
        <w:pStyle w:val="16"/>
        <w:spacing w:after="60"/>
      </w:pPr>
      <w:r>
        <w:rPr>
          <w:rFonts w:eastAsia="微软雅黑"/>
          <w:b w:val="0"/>
          <w:sz w:val="22"/>
        </w:rPr>
        <w:t>Phase 1–2（0–15 月）：以设备销售 + 试点项目为主，目标营收 30–80 万元，实现盈亏平衡的初期验证；</w:t>
      </w:r>
    </w:p>
    <w:p w14:paraId="4C2D2993">
      <w:pPr>
        <w:pStyle w:val="16"/>
        <w:spacing w:after="60"/>
      </w:pPr>
      <w:r>
        <w:rPr>
          <w:rFonts w:eastAsia="微软雅黑"/>
          <w:b w:val="0"/>
          <w:sz w:val="22"/>
        </w:rPr>
        <w:t>Phase 3（16–24 月）：解决方案放量，目标年营收 150–400 万元；</w:t>
      </w:r>
    </w:p>
    <w:p w14:paraId="042238E9">
      <w:pPr>
        <w:pStyle w:val="16"/>
        <w:spacing w:after="60"/>
      </w:pPr>
      <w:r>
        <w:rPr>
          <w:rFonts w:eastAsia="微软雅黑"/>
          <w:b w:val="0"/>
          <w:sz w:val="22"/>
        </w:rPr>
        <w:t>Phase 4（25–36 月）：平台化 + 订阅，目标年营收 500 万元以上，净利润率 25%+。</w:t>
      </w:r>
    </w:p>
    <w:p w14:paraId="5AD0B80D">
      <w:pPr>
        <w:spacing w:after="120"/>
      </w:pPr>
      <w:r>
        <w:rPr>
          <w:rFonts w:eastAsia="微软雅黑"/>
          <w:b w:val="0"/>
          <w:color w:val="44505C"/>
          <w:sz w:val="20"/>
        </w:rPr>
        <w:t>注：以上为基于行业均值与项目资源禀赋的测算口径，实际以试点数据校准。</w:t>
      </w:r>
    </w:p>
    <w:p w14:paraId="3874D82C">
      <w:pPr>
        <w:pStyle w:val="3"/>
      </w:pPr>
      <w:r>
        <w:t>十、总结与展望</w:t>
      </w:r>
    </w:p>
    <w:p w14:paraId="63533B7B">
      <w:pPr>
        <w:spacing w:after="120"/>
      </w:pPr>
      <w:r>
        <w:rPr>
          <w:rFonts w:eastAsia="微软雅黑"/>
          <w:b w:val="0"/>
          <w:sz w:val="22"/>
        </w:rPr>
        <w:t>「蚁巢智运」的价值在于：把一项赛事锤炼出的“端侧感知 + 多机协同”硬实力，转化为可规模化复制的柔性物流产品。它不追求在红海中与大厂正面竞争，而是以“低成本、边缘化、群体智能”的差异化路线，切入中小企业、实验室、医院与教育等长尾场景，先活下来、再长大。</w:t>
      </w:r>
    </w:p>
    <w:p w14:paraId="5420EDF3">
      <w:pPr>
        <w:spacing w:after="120"/>
      </w:pPr>
      <w:r>
        <w:rPr>
          <w:rFonts w:eastAsia="微软雅黑"/>
          <w:b w:val="0"/>
          <w:sz w:val="22"/>
        </w:rPr>
        <w:t>我们相信，未来十年机器人会像今天的一台手机一样，成为普适的生产力工具。而协作，是机器人从“工具”走向“团队”的必经之路。蚁巢智运想做的，就是让每一台机器人，都会像蚂蚁一样协作。</w:t>
      </w:r>
    </w:p>
    <w:p w14:paraId="3D6BC105">
      <w:pPr>
        <w:spacing w:after="120"/>
      </w:pPr>
      <w:r>
        <w:rPr>
          <w:rFonts w:eastAsia="微软雅黑"/>
          <w:b/>
          <w:color w:val="177E7E"/>
          <w:sz w:val="22"/>
        </w:rPr>
        <w:t>期待与投资人、导师与产业伙伴一道，把“搬家的蚂蚁”变成改变物流方式的力量。</w:t>
      </w:r>
    </w:p>
    <w:p w14:paraId="6E49CB53">
      <w:pPr>
        <w:pStyle w:val="3"/>
      </w:pPr>
      <w:r>
        <w:t>附录 A：研发资产概览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4"/>
        <w:gridCol w:w="3515"/>
        <w:gridCol w:w="2608"/>
      </w:tblGrid>
      <w:tr w14:paraId="29AF97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494" w:type="dxa"/>
            <w:shd w:val="clear" w:color="auto" w:fill="0A1E3C"/>
            <w:vAlign w:val="center"/>
          </w:tcPr>
          <w:p w14:paraId="4397EB9F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20"/>
              </w:rPr>
              <w:t>资产</w:t>
            </w:r>
          </w:p>
        </w:tc>
        <w:tc>
          <w:tcPr>
            <w:tcW w:w="3515" w:type="dxa"/>
            <w:shd w:val="clear" w:color="auto" w:fill="0A1E3C"/>
            <w:vAlign w:val="center"/>
          </w:tcPr>
          <w:p w14:paraId="3BFC49E2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w="2608" w:type="dxa"/>
            <w:shd w:val="clear" w:color="auto" w:fill="0A1E3C"/>
            <w:vAlign w:val="center"/>
          </w:tcPr>
          <w:p w14:paraId="699B7E15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20"/>
              </w:rPr>
              <w:t>可商业化转化点</w:t>
            </w:r>
          </w:p>
        </w:tc>
      </w:tr>
      <w:tr w14:paraId="183BC0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4" w:type="dxa"/>
            <w:vAlign w:val="center"/>
          </w:tcPr>
          <w:p w14:paraId="51AABE50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视觉识别模块固件</w:t>
            </w:r>
          </w:p>
        </w:tc>
        <w:tc>
          <w:tcPr>
            <w:tcW w:w="3515" w:type="dxa"/>
            <w:vAlign w:val="center"/>
          </w:tcPr>
          <w:p w14:paraId="79DD74A6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端侧识别、跟踪、定位与通信</w:t>
            </w:r>
          </w:p>
        </w:tc>
        <w:tc>
          <w:tcPr>
            <w:tcW w:w="2608" w:type="dxa"/>
            <w:vAlign w:val="center"/>
          </w:tcPr>
          <w:p w14:paraId="4EA70EE4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端侧视觉识别能力包</w:t>
            </w:r>
          </w:p>
        </w:tc>
      </w:tr>
      <w:tr w14:paraId="1DCDD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4" w:type="dxa"/>
            <w:vAlign w:val="center"/>
          </w:tcPr>
          <w:p w14:paraId="09C6455A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主车控制固件</w:t>
            </w:r>
          </w:p>
        </w:tc>
        <w:tc>
          <w:tcPr>
            <w:tcW w:w="3515" w:type="dxa"/>
            <w:vAlign w:val="center"/>
          </w:tcPr>
          <w:p w14:paraId="1BE89727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底盘控制、定位、任务编排</w:t>
            </w:r>
          </w:p>
        </w:tc>
        <w:tc>
          <w:tcPr>
            <w:tcW w:w="2608" w:type="dxa"/>
            <w:vAlign w:val="center"/>
          </w:tcPr>
          <w:p w14:paraId="7663B7EF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移动平台基础固件</w:t>
            </w:r>
          </w:p>
        </w:tc>
      </w:tr>
      <w:tr w14:paraId="0BBF4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4" w:type="dxa"/>
            <w:vAlign w:val="center"/>
          </w:tcPr>
          <w:p w14:paraId="65FC776C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协同车控制固件</w:t>
            </w:r>
          </w:p>
        </w:tc>
        <w:tc>
          <w:tcPr>
            <w:tcW w:w="3515" w:type="dxa"/>
            <w:vAlign w:val="center"/>
          </w:tcPr>
          <w:p w14:paraId="5BEE1EA7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协同车控制与通信</w:t>
            </w:r>
          </w:p>
        </w:tc>
        <w:tc>
          <w:tcPr>
            <w:tcW w:w="2608" w:type="dxa"/>
            <w:vAlign w:val="center"/>
          </w:tcPr>
          <w:p w14:paraId="75CA65AD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多机协同模块</w:t>
            </w:r>
          </w:p>
        </w:tc>
      </w:tr>
      <w:tr w14:paraId="0DBB91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4" w:type="dxa"/>
            <w:vAlign w:val="center"/>
          </w:tcPr>
          <w:p w14:paraId="551CBA25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多机协同协议</w:t>
            </w:r>
          </w:p>
        </w:tc>
        <w:tc>
          <w:tcPr>
            <w:tcW w:w="3515" w:type="dxa"/>
            <w:vAlign w:val="center"/>
          </w:tcPr>
          <w:p w14:paraId="0F3FCF9E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状态同步与任务交接</w:t>
            </w:r>
          </w:p>
        </w:tc>
        <w:tc>
          <w:tcPr>
            <w:tcW w:w="2608" w:type="dxa"/>
            <w:vAlign w:val="center"/>
          </w:tcPr>
          <w:p w14:paraId="6A54891A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集群调度能力</w:t>
            </w:r>
          </w:p>
        </w:tc>
      </w:tr>
      <w:tr w14:paraId="066AD8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4" w:type="dxa"/>
            <w:vAlign w:val="center"/>
          </w:tcPr>
          <w:p w14:paraId="6BEEA8D6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标定与坐标转换工具</w:t>
            </w:r>
          </w:p>
        </w:tc>
        <w:tc>
          <w:tcPr>
            <w:tcW w:w="3515" w:type="dxa"/>
            <w:vAlign w:val="center"/>
          </w:tcPr>
          <w:p w14:paraId="43EA6633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图像坐标与场地坐标映射、校准</w:t>
            </w:r>
          </w:p>
        </w:tc>
        <w:tc>
          <w:tcPr>
            <w:tcW w:w="2608" w:type="dxa"/>
            <w:vAlign w:val="center"/>
          </w:tcPr>
          <w:p w14:paraId="5A141D28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标定工具链</w:t>
            </w:r>
          </w:p>
        </w:tc>
      </w:tr>
      <w:tr w14:paraId="54BDD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4" w:type="dxa"/>
            <w:vAlign w:val="center"/>
          </w:tcPr>
          <w:p w14:paraId="519C3B05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调试与测试工具</w:t>
            </w:r>
          </w:p>
        </w:tc>
        <w:tc>
          <w:tcPr>
            <w:tcW w:w="3515" w:type="dxa"/>
            <w:vAlign w:val="center"/>
          </w:tcPr>
          <w:p w14:paraId="47DACC18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调试、波形输出、菜单、上位机通信</w:t>
            </w:r>
          </w:p>
        </w:tc>
        <w:tc>
          <w:tcPr>
            <w:tcW w:w="2608" w:type="dxa"/>
            <w:vAlign w:val="center"/>
          </w:tcPr>
          <w:p w14:paraId="363FDCEF">
            <w:pPr>
              <w:spacing w:after="0" w:line="240" w:lineRule="auto"/>
            </w:pPr>
            <w:r>
              <w:rPr>
                <w:rFonts w:eastAsia="微软雅黑"/>
                <w:b w:val="0"/>
                <w:sz w:val="20"/>
              </w:rPr>
              <w:t>运维与测试工具</w:t>
            </w:r>
          </w:p>
        </w:tc>
      </w:tr>
    </w:tbl>
    <w:p w14:paraId="5B325FF4">
      <w:pPr>
        <w:spacing w:after="40"/>
      </w:pPr>
    </w:p>
    <w:sectPr>
      <w:pgSz w:w="12240" w:h="15840"/>
      <w:pgMar w:top="1247" w:right="1474" w:bottom="1247" w:left="147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92F0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A1E3C"/>
      <w:sz w:val="34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77E7E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C26A00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1061</Words>
  <Characters>1101</Characters>
  <Lines>0</Lines>
  <Paragraphs>0</Paragraphs>
  <TotalTime>2</TotalTime>
  <ScaleCrop>false</ScaleCrop>
  <LinksUpToDate>false</LinksUpToDate>
  <CharactersWithSpaces>1140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陈书安</cp:lastModifiedBy>
  <dcterms:modified xsi:type="dcterms:W3CDTF">2026-08-10T14:27:32Z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eyJoZGlkIjoiMmEyZDdmZjFjMWFiZGNjMjg0ODI0ZmExMWIzMzI0OTIiLCJ1c2VySWQiOiIxNzcxODUwMTk2In0=</vt:lpwstr>
  </property>
  <property fmtid="{D5CDD505-2E9C-101B-9397-08002B2CF9AE}" pid="3" name="KSOProductBuildVer">
    <vt:lpwstr>2052-12.1.0.23542</vt:lpwstr>
  </property>
  <property fmtid="{D5CDD505-2E9C-101B-9397-08002B2CF9AE}" pid="4" name="ICV">
    <vt:lpwstr>70C2281EC3E842D1AF3B2F8D9DABC11A_12</vt:lpwstr>
  </property>
</Properties>
</file>