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88" w:lineRule="auto"/>
        <w:jc w:val="center"/>
      </w:pPr>
      <w:r>
        <w:rPr>
          <w:rFonts w:ascii="Times New Roman" w:hAnsi="Times New Roman" w:eastAsia="宋体"/>
          <w:b/>
          <w:sz w:val="32"/>
        </w:rPr>
        <w:t>马克思主义学院</w:t>
      </w:r>
    </w:p>
    <w:p>
      <w:pPr>
        <w:spacing w:after="480" w:line="288" w:lineRule="auto"/>
        <w:jc w:val="center"/>
      </w:pPr>
      <w:r>
        <w:rPr>
          <w:rFonts w:ascii="Times New Roman" w:hAnsi="Times New Roman" w:eastAsia="宋体"/>
          <w:b/>
          <w:sz w:val="30"/>
        </w:rPr>
        <w:t>2026 年春季学期本科生课程考核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3"/>
        <w:gridCol w:w="4533"/>
      </w:tblGrid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国家安全教育</w:t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论文题目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AI时代下的国家安全，危机与发展并存</w:t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学生所在院（系）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基础学部</w:t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专业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计算机与电子通讯</w:t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学号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2025311227</w:t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姓名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王宣翔</w:t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上交日期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考核结果（百分制）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rPr>
          <w:trHeight w:val="595"/>
        </w:trPr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审阅人</w:t>
            </w:r>
          </w:p>
        </w:tc>
        <w:tc>
          <w:tcPr>
            <w:tcW w:type="dxa" w:w="453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after="0" w:line="288" w:lineRule="auto"/>
        <w:jc w:val="center"/>
      </w:pPr>
      <w:r>
        <w:rPr>
          <w:rFonts w:ascii="Times New Roman" w:hAnsi="Times New Roman" w:eastAsia="宋体"/>
          <w:b w:val="0"/>
          <w:sz w:val="24"/>
        </w:rPr>
        <w:t>（课程论文）</w:t>
      </w:r>
    </w:p>
    <w:p>
      <w:r>
        <w:br w:type="page"/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/>
          <w:sz w:val="28"/>
        </w:rPr>
        <w:t>摘  要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人工智能已经不只是单一技术。它正进入国家运行和社会治理的许多环节，并成为社会发展的重要技术条件。由此产生的安全问题也更具体。跨境人工智能服务如果缺少规制，可能削弱数据主权，增加关键基础设施对外部平台和模型的依赖，也可能带来意识形态渗透等风险。但本文不把人工智能只看成风险源。它同时也是国家安全治理可以借用的工具。凭借数据处理、异常识别和风险预警能力，AI有可能把国家安全治理从事后应对推向提前发现。本文沿着“风险识别—治理赋能”的思路，讨论人工智能时代国家安全中的风险和治理机会，并进一步分析如何在发展与安全之间保持平衡，建设以人工智能治理人工智能的安全防护体系。</w:t>
      </w:r>
    </w:p>
    <w:p>
      <w:pPr>
        <w:spacing w:before="160" w:after="120" w:line="312" w:lineRule="auto"/>
      </w:pPr>
      <w:r>
        <w:rPr>
          <w:rFonts w:ascii="Times New Roman" w:hAnsi="Times New Roman" w:eastAsia="宋体"/>
          <w:b/>
          <w:sz w:val="28"/>
        </w:rPr>
        <w:t>一、跨境AI服务：数据主权与基础设施的风险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各国人工智能技术发展并不同步。正因如此，AI服务越来越频繁地跨越国界，进入不同国家的市场，也逐渐嵌入产业运行、公共管理和日常社会生活。李晓楠指出，跨境AI服务具有明显的“基础性”和“工具性”，同时也可能带来国家安全、公平竞争和消费者隐私等多重风险（李晓楠）。这一判断说明，跨境AI服务的安全问题不能只被看作企业合规问题。更深一层的问题，是一国能否真正掌握关键数字基础设施的控制权。</w:t>
      </w:r>
    </w:p>
    <w:p>
      <w:pPr>
        <w:spacing w:before="100" w:after="120" w:line="312" w:lineRule="auto"/>
      </w:pPr>
      <w:r>
        <w:rPr>
          <w:rFonts w:ascii="Times New Roman" w:hAnsi="Times New Roman" w:eastAsia="宋体"/>
          <w:b/>
          <w:sz w:val="24"/>
        </w:rPr>
        <w:t>（一）关键基础设施的依赖风险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跨境AI服务最需要警惕的地方，是它可能让一国基础设施形成外部依赖，并由此产生潜在控制问题。一个国家如果过度依赖境外AI服务，一旦相关服务因非法操控、服务中断或地缘政治冲突而无法正常运行，国家安全就会受到直接影响。通信、金融、应急等关键信息基础设施尤其敏感。这类服务一旦承担后台支撑功能，受影响的就不只是普通用户的生产生活，关键基础设施本身也可能陷入运行障碍。大模型向境外用户提供生成式内容时，还必须遵守国家关于跨境数据管理的规定。若处理不当，数据主权安全也会受到威胁。</w:t>
      </w:r>
    </w:p>
    <w:p>
      <w:pPr>
        <w:spacing w:before="100" w:after="120" w:line="312" w:lineRule="auto"/>
      </w:pPr>
      <w:r>
        <w:rPr>
          <w:rFonts w:ascii="Times New Roman" w:hAnsi="Times New Roman" w:eastAsia="宋体"/>
          <w:b/>
          <w:sz w:val="24"/>
        </w:rPr>
        <w:t>（二）监管体系的制度性困境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跨境AI服务提出的安全问题，已经超出现有规则能够从容处理的范围。李晓楠认为，中国对跨境AI服务的法律规制仍存在准入监管不足、规制工具缺失、体系化不够等局限（李晓楠）。目前，相关法律实践和理论研究更多围绕国内应用场景展开，对涉外因素关注不够。也正因为如此，现有制度在回应跨境AI服务安全监管需求时，常常显得不够充分。</w:t>
      </w:r>
    </w:p>
    <w:p>
      <w:pPr>
        <w:spacing w:before="160" w:after="120" w:line="312" w:lineRule="auto"/>
      </w:pPr>
      <w:r>
        <w:rPr>
          <w:rFonts w:ascii="Times New Roman" w:hAnsi="Times New Roman" w:eastAsia="宋体"/>
          <w:b/>
          <w:sz w:val="28"/>
        </w:rPr>
        <w:t>二、AI赋能治理：从被动响应到主动预测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人工智能带来的风险不能低估。但如果只把它看作风险源，也会遮蔽它在国家安全治理中的工具价值。AI的治理意义，先体现在安全感知能力的提升上。过去的安全治理主要依靠人工采集、人工筛选和部门逐级上报，信息处理速度有限，早期信号也容易被遗漏。面对网络攻击、公共安全事件等复杂威胁，传统方式往往反应不够及时。人工智能可以同时处理文本、图像、视频、传感器数据和网络日志等多源信息，并从中发现异常线索。这使风险预警有了更充分的数据基础。治理者不必等风险完全暴露后才被动处置，而可以借助模型分析提前捕捉苗头。由此，国家安全治理的重心开始前移：从事后补救走向事前预警，从局部应对走向全域感知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I对治理的另一层作用，是帮助决策者提高判断质量。传统安全决策并不缺少信息，真正困难的是如何处理信息。海量材料会超过人的注意力边界；科层组织中的传递过程又可能带来过滤、延迟和失真；决策者自身还会受到经验依赖、路径惯性和群体思维的影响。AI的用处，正在于把分散、滞后、片段化的信息较快整理为可以追踪、比较和推演的判断依据。只是，这并不意味着AI可以替人作出最终判断。更稳妥的做法，是建立“人机协同”的治理机制：AI负责数据处理和风险识别，人类决策者负责价值判断、责任承担和最终决定。王兴春、伍浩松介绍的美国核武器实验室运用OpenAI推理模型的案例，也印证了这一变化。根据其介绍，美国洛斯阿拉莫斯国家实验室的Venado人工智能超算平台，已经在涉密网络上运行OpenAI的o系列推理模型，并用于钚老化、生物威胁防控等国家安全研究（王兴春、伍浩松）。这个案例说明，AI已不再只是一般行政管理工具。它正在进入高度敏感、专业性极强的国家安全研究领域，并成为提升战略科研效率的重要支撑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AI安全治理中，“以模治模”已经成为一个无法回避的思路。它的基本含义，是用AI识别AI生成内容，用模型检测模型攻击。面对AI生成的虚假信息、恶意代码和自动化攻击，单靠人工审核显然已经不够。治理体系必须借助AI自身的识别能力，建立更快的检测和防护机制。国际上的做法也提供了参照。欧盟更重视把价值观和安全要求写入算法规制，以推动可信AI服务的发展；美国则在加强国内AI和算法监管的同时，通过AI技术出口管制维护自身安全利益。中国不能简单照搬这些路径，但也不能忽视其中的经验。更现实的选择，是结合本国制度条件和发展需要，建立适合自身的跨境AI服务安全监管体系。</w:t>
      </w:r>
    </w:p>
    <w:p>
      <w:pPr>
        <w:spacing w:before="160" w:after="120" w:line="312" w:lineRule="auto"/>
      </w:pPr>
      <w:r>
        <w:rPr>
          <w:rFonts w:ascii="Times New Roman" w:hAnsi="Times New Roman" w:eastAsia="宋体"/>
          <w:b/>
          <w:sz w:val="28"/>
        </w:rPr>
        <w:t>参考文献（MLA）</w:t>
      </w:r>
    </w:p>
    <w:p>
      <w:pPr>
        <w:spacing w:line="288" w:lineRule="auto" w:after="80"/>
        <w:ind w:hanging="420" w:left="420"/>
      </w:pPr>
      <w:r>
        <w:rPr>
          <w:rFonts w:ascii="Times New Roman" w:hAnsi="Times New Roman" w:eastAsia="宋体"/>
          <w:b w:val="0"/>
          <w:sz w:val="21"/>
        </w:rPr>
        <w:t>李晓楠. “跨境人工智能服务安全监管的逻辑基础与规则展开.” 《河北学刊》, vol. 45, no. 5, 2025, pp. 170-180.</w:t>
      </w:r>
    </w:p>
    <w:p>
      <w:pPr>
        <w:spacing w:line="288" w:lineRule="auto" w:after="80"/>
        <w:ind w:hanging="420" w:left="420"/>
      </w:pPr>
      <w:r>
        <w:rPr>
          <w:rFonts w:ascii="Times New Roman" w:hAnsi="Times New Roman" w:eastAsia="宋体"/>
          <w:b w:val="0"/>
          <w:sz w:val="21"/>
        </w:rPr>
        <w:t>孙江, and 袁莎莎. “AI时代的虚假信息：生成逻辑、风险演化与治理路径.” 《传媒》, no. 19, 2025, pp. 75-78.</w:t>
      </w:r>
    </w:p>
    <w:p>
      <w:pPr>
        <w:spacing w:line="288" w:lineRule="auto" w:after="80"/>
        <w:ind w:hanging="420" w:left="420"/>
      </w:pPr>
      <w:r>
        <w:rPr>
          <w:rFonts w:ascii="Times New Roman" w:hAnsi="Times New Roman" w:eastAsia="宋体"/>
          <w:b w:val="0"/>
          <w:sz w:val="21"/>
        </w:rPr>
        <w:t>朱启超. “人工智能赋能国家安全：现状、趋势与对策.” 《马克思主义研究网》, 27 Oct. 2025.</w:t>
      </w:r>
    </w:p>
    <w:p>
      <w:pPr>
        <w:spacing w:line="288" w:lineRule="auto" w:after="80"/>
        <w:ind w:hanging="420" w:left="420"/>
      </w:pPr>
      <w:r>
        <w:rPr>
          <w:rFonts w:ascii="Times New Roman" w:hAnsi="Times New Roman" w:eastAsia="宋体"/>
          <w:b w:val="0"/>
          <w:sz w:val="21"/>
        </w:rPr>
        <w:t>韩娜, 窦楠楠, and 徐源. “国家安全视域下的AI幻觉：武器化机制与认知风险.” 《新媒体与社会》, no. 4, 2025, pp. 227-238, 499.</w:t>
      </w:r>
    </w:p>
    <w:p>
      <w:pPr>
        <w:spacing w:line="288" w:lineRule="auto" w:after="80"/>
        <w:ind w:hanging="420" w:left="420"/>
      </w:pPr>
      <w:r>
        <w:rPr>
          <w:rFonts w:ascii="Times New Roman" w:hAnsi="Times New Roman" w:eastAsia="宋体"/>
          <w:b w:val="0"/>
          <w:sz w:val="21"/>
        </w:rPr>
        <w:t>王兴春, and 伍浩松. “美核武器实验室利用OpenAI推理模型助力国家安全研究.” 《国外核新闻》, no. 9, 2025, p. 18.</w:t>
      </w:r>
    </w:p>
    <w:p>
      <w:pPr>
        <w:spacing w:line="288" w:lineRule="auto" w:after="80"/>
        <w:ind w:hanging="420" w:left="420"/>
      </w:pPr>
      <w:r>
        <w:rPr>
          <w:rFonts w:ascii="Times New Roman" w:hAnsi="Times New Roman" w:eastAsia="宋体"/>
          <w:b w:val="0"/>
          <w:sz w:val="21"/>
        </w:rPr>
        <w:t>黄炎龙, and 王一航. “国家网络安全视域下生成式人工智能的矛盾特性及其未来展望.” 《商丘师范学院学报》, vol. 42, no. 5, 2026, pp. 93-97.</w:t>
      </w:r>
    </w:p>
    <w:p>
      <w:r>
        <w:br w:type="page"/>
      </w:r>
    </w:p>
    <w:p>
      <w:pPr>
        <w:spacing w:after="480" w:line="288" w:lineRule="auto"/>
      </w:pPr>
      <w:r>
        <w:rPr>
          <w:rFonts w:ascii="Times New Roman" w:hAnsi="Times New Roman" w:eastAsia="宋体"/>
          <w:b/>
          <w:sz w:val="24"/>
        </w:rPr>
        <w:t>教师评语：</w:t>
      </w:r>
    </w:p>
    <w:p>
      <w:pPr>
        <w:spacing w:after="200" w:line="240" w:lineRule="auto"/>
      </w:pPr>
      <w:r>
        <w:rPr>
          <w:rFonts w:ascii="Times New Roman" w:hAnsi="Times New Roman" w:eastAsia="宋体"/>
          <w:b w:val="0"/>
          <w:sz w:val="22"/>
        </w:rPr>
        <w:t>________________________________________________________________________________</w:t>
      </w:r>
    </w:p>
    <w:p>
      <w:pPr>
        <w:spacing w:after="200" w:line="240" w:lineRule="auto"/>
      </w:pPr>
      <w:r>
        <w:rPr>
          <w:rFonts w:ascii="Times New Roman" w:hAnsi="Times New Roman" w:eastAsia="宋体"/>
          <w:b w:val="0"/>
          <w:sz w:val="22"/>
        </w:rPr>
        <w:t>________________________________________________________________________________</w:t>
      </w:r>
    </w:p>
    <w:p>
      <w:pPr>
        <w:spacing w:after="200" w:line="240" w:lineRule="auto"/>
      </w:pPr>
      <w:r>
        <w:rPr>
          <w:rFonts w:ascii="Times New Roman" w:hAnsi="Times New Roman" w:eastAsia="宋体"/>
          <w:b w:val="0"/>
          <w:sz w:val="22"/>
        </w:rPr>
        <w:t>________________________________________________________________________________</w:t>
      </w:r>
    </w:p>
    <w:p>
      <w:pPr>
        <w:spacing w:after="200" w:line="240" w:lineRule="auto"/>
      </w:pPr>
      <w:r>
        <w:rPr>
          <w:rFonts w:ascii="Times New Roman" w:hAnsi="Times New Roman" w:eastAsia="宋体"/>
          <w:b w:val="0"/>
          <w:sz w:val="22"/>
        </w:rPr>
        <w:t>________________________________________________________________________________</w:t>
      </w:r>
    </w:p>
    <w:p>
      <w:pPr>
        <w:spacing w:after="200" w:line="240" w:lineRule="auto"/>
      </w:pPr>
      <w:r>
        <w:rPr>
          <w:rFonts w:ascii="Times New Roman" w:hAnsi="Times New Roman" w:eastAsia="宋体"/>
          <w:b w:val="0"/>
          <w:sz w:val="22"/>
        </w:rPr>
        <w:t>________________________________________________________________________________</w:t>
      </w:r>
    </w:p>
    <w:p>
      <w:pPr>
        <w:spacing w:after="240" w:line="288" w:lineRule="auto"/>
      </w:pPr>
      <w:r>
        <w:rPr>
          <w:rFonts w:ascii="Times New Roman" w:hAnsi="Times New Roman" w:eastAsia="宋体"/>
          <w:b w:val="0"/>
          <w:sz w:val="24"/>
        </w:rPr>
        <w:t>评阅教师签名（电子签）：____________________</w:t>
      </w:r>
    </w:p>
    <w:p>
      <w:pPr>
        <w:spacing w:after="360" w:line="288" w:lineRule="auto"/>
        <w:jc w:val="right"/>
      </w:pPr>
      <w:r>
        <w:rPr>
          <w:rFonts w:ascii="Times New Roman" w:hAnsi="Times New Roman" w:eastAsia="宋体"/>
          <w:b w:val="0"/>
          <w:sz w:val="24"/>
        </w:rPr>
        <w:t>年    月    日</w:t>
      </w:r>
    </w:p>
    <w:p>
      <w:pPr>
        <w:spacing w:after="0" w:line="288" w:lineRule="auto"/>
      </w:pPr>
      <w:r>
        <w:rPr>
          <w:rFonts w:ascii="Times New Roman" w:hAnsi="Times New Roman" w:eastAsia="宋体"/>
          <w:b w:val="0"/>
          <w:sz w:val="24"/>
        </w:rPr>
        <w:t>课程论文分数（此栏由指导教师填写）：____________________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>哈尔滨工业大学（深圳）马克思主义学院课程论文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