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 Insight Copilot特性规划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本文为课程任务的调整版，参考 LangSmith Polly（当前产品名称为 LangSmith Chat）的能力与工作流，规划 Agent Insight 智能助手的分阶段建设要求。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课程任务：构建 Agent Insight 智能助手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一、任务背景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网站、产品和团队通常积累了大量产品手册、常见问题、规范和操作文档。用户需要在这些资料中查找答案，直接翻阅效率低；直接依赖大模型作答，又可能在资料缺失时编造内容。与此同时，Agent Insight 已积累 Agent 执行 Trace、评测数据、诊断结果和 Skill 优化过程等工程上下文。若助手只能回答静态文档问题，就没有充分利用 Agent Insight 的核心数据和工作流。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LangSmith 的 Polly（当前官方文档名称为 LangSmith Chat，formerly Polly）展示了更完整的 Agent 工程助手形态：它可以解释长 Trace 和多轮 Thread，理解 Prompt、Dataset、Experiment、Evaluator 等对象，跨页面延续调查上下文，并在部分场景筛选运行、创建数据集、比较实验或协助编写 Evaluator。对 Agent Insight 来说，可借鉴的重点是“理解当前工程对象，并把分析连接到后续工作流”，而不只是增加一个聊天窗口。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本任务只要求实现下文三个阶段和明确列出的能力。Polly 的 Thread 分析、跨页面会话、Prompt 编辑和 Experiment 比较等其他能力放在洞察章节作为参考，不自动扩展为本任务的验收要求。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本任务目标是构建 </w:t>
      </w:r>
      <w:r>
        <w:rPr>
          <w:rFonts w:eastAsia="等线" w:ascii="Arial" w:cs="Arial" w:hAnsi="Arial"/>
          <w:b w:val="true"/>
          <w:sz w:val="22"/>
        </w:rPr>
        <w:t>Agent Insight 智能助手</w:t>
      </w:r>
      <w:r>
        <w:rPr>
          <w:rFonts w:eastAsia="等线" w:ascii="Arial" w:cs="Arial" w:hAnsi="Arial"/>
          <w:sz w:val="22"/>
        </w:rPr>
        <w:t>，按三个阶段逐步实现：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通用知识库助手</w:t>
      </w:r>
      <w:r>
        <w:rPr>
          <w:rFonts w:eastAsia="等线" w:ascii="Arial" w:cs="Arial" w:hAnsi="Arial"/>
          <w:sz w:val="22"/>
        </w:rPr>
        <w:t>：建设可独立复用、能够嵌入不同网站的有据可依问答能力。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页面上下文助手</w:t>
      </w:r>
      <w:r>
        <w:rPr>
          <w:rFonts w:eastAsia="等线" w:ascii="Arial" w:cs="Arial" w:hAnsi="Arial"/>
          <w:sz w:val="22"/>
        </w:rPr>
        <w:t>：集成到 Agent Insight 后，读取当前页面和用户选中的业务对象，回答 Trace、诊断结果、评测数据集和 Skill 代码相关问题。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工作流协作助手</w:t>
      </w:r>
      <w:r>
        <w:rPr>
          <w:rFonts w:eastAsia="等线" w:ascii="Arial" w:cs="Arial" w:hAnsi="Arial"/>
          <w:sz w:val="22"/>
        </w:rPr>
        <w:t>：在用户确认后，协助创建评测样例、起草 Evaluator，以及筛选运行和定位 Trace。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三个阶段逐步建立能力：第一阶段解决可复用的知识问答，第二阶段让回答与 Agent Insight 当前工作相关，第三阶段让分析结果能推动具体工程工作。每一阶段都应基于可核实的来源回答；信息不足时明确说明，不得编造事实。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二、任务目标与范围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需要实现一个能够嵌入网页的 Agent Insight 智能助手，并将其集成到 Agent Insight 开源项目中。助手既提供面向通用知识库的问答，也能在 Agent Insight 中结合页面上下文分析运行与评测对象，并协助执行有限、可预览、需用户确认的工作流操作。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实现应优先复用 Agent Insight 已有的 Trace、评测数据集、评估器、诊断和 Skill 优化能力。助手负责理解请求、组织上下文、调用既有能力并解释结果；不应另造一套与平台现有功能割裂的数据和评测体系。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通用要求：自然语言意图理解与能力路由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助手应先理解用户当前要完成的目标，再选择合适的能力和数据来源。至少能够区分：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知识问答</w:t>
      </w:r>
      <w:r>
        <w:rPr>
          <w:rFonts w:eastAsia="等线" w:ascii="Arial" w:cs="Arial" w:hAnsi="Arial"/>
          <w:sz w:val="22"/>
        </w:rPr>
        <w:t>：检索通用知识库并基于文档证据回答。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页面上下文分析</w:t>
      </w:r>
      <w:r>
        <w:rPr>
          <w:rFonts w:eastAsia="等线" w:ascii="Arial" w:cs="Arial" w:hAnsi="Arial"/>
          <w:sz w:val="22"/>
        </w:rPr>
        <w:t>：读取当前页面对应的 Trace、诊断结果、Dataset、评测结果或 Skill 代码后回答。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工作流操作</w:t>
      </w:r>
      <w:r>
        <w:rPr>
          <w:rFonts w:eastAsia="等线" w:ascii="Arial" w:cs="Arial" w:hAnsi="Arial"/>
          <w:sz w:val="22"/>
        </w:rPr>
        <w:t>：调用运行筛选、基于Trace创建评测样例或 Evaluator 辅助等功能。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路由时应结合用户明确表达的动作和当前页面上下文，不能仅凭关键词触发操作。例如，“如何基于 Trace 创建评测样例”是询问操作方法，应回答步骤；“基于当前 Trace 创建评测样例”才是创建请求，并进入草稿预览与确认流程。若意图、目标对象或操作范围不明确，应先澄清；在用户确认前不得执行会写入或修改数据的操作。助手应说明所选能力基于哪些上下文和来源，能力不可用或证据不足时应如实告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三、分阶段能力要求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第一步：构建通用、有据可依的知识库助手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此阶段按通用能力构筑，不绑定 Agent Insight 的页面结构或业务数据模型。知识库问答服务和网页插件应能被不同网站复用；Agent Insight 是首个集成验证场景。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知识库创建</w:t>
      </w:r>
      <w:r>
        <w:rPr>
          <w:rFonts w:eastAsia="等线" w:ascii="Arial" w:cs="Arial" w:hAnsi="Arial"/>
          <w:sz w:val="22"/>
        </w:rPr>
        <w:t>：提供 CLI 和网页两种创建方式。支持导入本地目录文档，以及网页上传目录中的全部或部分文档；至少支持 md、txt、Word、Excel、PDF 等常见格式。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知识库管理</w:t>
      </w:r>
      <w:r>
        <w:rPr>
          <w:rFonts w:eastAsia="等线" w:ascii="Arial" w:cs="Arial" w:hAnsi="Arial"/>
          <w:sz w:val="22"/>
        </w:rPr>
        <w:t>：支持知识内容新增、删除、修改和查询，并能查看内容及其来源。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增量同步</w:t>
      </w:r>
      <w:r>
        <w:rPr>
          <w:rFonts w:eastAsia="等线" w:ascii="Arial" w:cs="Arial" w:hAnsi="Arial"/>
          <w:sz w:val="22"/>
        </w:rPr>
        <w:t>：源文档变更后可以增量更新知识库，不必每次全量重建；也支持直接录入问答对。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通用网页插件</w:t>
      </w:r>
      <w:r>
        <w:rPr>
          <w:rFonts w:eastAsia="等线" w:ascii="Arial" w:cs="Arial" w:hAnsi="Arial"/>
          <w:sz w:val="22"/>
        </w:rPr>
        <w:t>：以可嵌入网页的悬浮图标和对话框提供服务，集成说明清晰，支持多轮问答及流式输出。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检索与引用</w:t>
      </w:r>
      <w:r>
        <w:rPr>
          <w:rFonts w:eastAsia="等线" w:ascii="Arial" w:cs="Arial" w:hAnsi="Arial"/>
          <w:sz w:val="22"/>
        </w:rPr>
        <w:t>：支持适当的关键词和语义检索组合；回答给出可点击的来源引用，查看引用时能定位到文档及相关内容。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拒答与不确定性</w:t>
      </w:r>
      <w:r>
        <w:rPr>
          <w:rFonts w:eastAsia="等线" w:ascii="Arial" w:cs="Arial" w:hAnsi="Arial"/>
          <w:sz w:val="22"/>
        </w:rPr>
        <w:t>：知识库未覆盖或检索证据不足时，明确说明无法可靠回答，并可提示用户补充信息；不得用模型常识补齐成看似有根据的答案。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反馈与知识改进</w:t>
      </w:r>
      <w:r>
        <w:rPr>
          <w:rFonts w:eastAsia="等线" w:ascii="Arial" w:cs="Arial" w:hAnsi="Arial"/>
          <w:sz w:val="22"/>
        </w:rPr>
        <w:t>：支持对回答进行认可/不认可反馈；记录未解决问题和低质量回答，供知识库维护者复查和补充。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通用性边界</w:t>
      </w:r>
      <w:r>
        <w:rPr>
          <w:rFonts w:eastAsia="等线" w:ascii="Arial" w:cs="Arial" w:hAnsi="Arial"/>
          <w:sz w:val="22"/>
        </w:rPr>
        <w:t>：知识库、检索、对话和插件配置应与 Agent Insight 专有的 Trace / Run 数据结构解耦。通用插件不得假定宿主网站具有 Agent Insight API。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第二步：读取 Agent Insight 当前页面上下文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此阶段让助手知道用户在 Agent Insight 中查看哪个对象，从而回答针对当前页面数据的问题。上下文应由宿主页面按明确约定传入，并通过 Agent Insight 现有服务/API 获取必要数据；助手不应通过猜 URL、扫描页面文本或直接查询数据库来推断上下文。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上下文接入</w:t>
      </w:r>
      <w:r>
        <w:rPr>
          <w:rFonts w:eastAsia="等线" w:ascii="Arial" w:cs="Arial" w:hAnsi="Arial"/>
          <w:sz w:val="22"/>
        </w:rPr>
        <w:t>：至少识别当前页面类型、选中的对象类型及稳定标识，例如 Trace ID；仅传入回答当前问题所需的字段和相关片段。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Trace 分析</w:t>
      </w:r>
      <w:r>
        <w:rPr>
          <w:rFonts w:eastAsia="等线" w:ascii="Arial" w:cs="Arial" w:hAnsi="Arial"/>
          <w:sz w:val="22"/>
        </w:rPr>
        <w:t>：基于 Trace 回答用户问题，例如概括执行轨迹，分析模型、工具和 Skill 调用，并将结论关联到具体步骤、字段或错误信息。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诊断结果解读</w:t>
      </w:r>
      <w:r>
        <w:rPr>
          <w:rFonts w:eastAsia="等线" w:ascii="Arial" w:cs="Arial" w:hAnsi="Arial"/>
          <w:sz w:val="22"/>
        </w:rPr>
        <w:t>：在产品已有数据允许的范围内解释诊断结果，协助用户理解问题与改进方向。不得把系统尚未采集的信息当作已知事实。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评测与数据集理解</w:t>
      </w:r>
      <w:r>
        <w:rPr>
          <w:rFonts w:eastAsia="等线" w:ascii="Arial" w:cs="Arial" w:hAnsi="Arial"/>
          <w:sz w:val="22"/>
        </w:rPr>
        <w:t>：在相应页面解释 Dataset 结构、样例内容、评测结果和失败模式。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 解读</w:t>
      </w:r>
      <w:r>
        <w:rPr>
          <w:rFonts w:eastAsia="等线" w:ascii="Arial" w:cs="Arial" w:hAnsi="Arial"/>
          <w:sz w:val="22"/>
        </w:rPr>
        <w:t>：结合当前页面对应的 Skill 代码，回答用户关于代码内容、结构和行为的问题；结论应能回到相应代码或版本核实。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典型问题包括：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“这条 Trace 里模型、工具和 Skill 分别做了什么？”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“诊断结果指出的问题是什么意思？证据在哪里？”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“这个 Dataset 包含什么样例？这次评测失败在哪里？”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“当前 Skill 这段代码负责什么行为？”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第三步：协助执行工作流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此阶段将对话分析连接到 Agent Insight 已有的功能。助手可以准备操作草稿和执行只读筛选；凡会创建或修改平台数据的操作，均需向用户展示目标和内容，并在用户确认后执行。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基于Trace创建评测样例</w:t>
      </w:r>
      <w:r>
        <w:rPr>
          <w:rFonts w:eastAsia="等线" w:ascii="Arial" w:cs="Arial" w:hAnsi="Arial"/>
          <w:sz w:val="22"/>
        </w:rPr>
        <w:t>：用户可要求“基于Trace创建评测样例”。助手根据当前 Trace 生成可预览的样例草稿，尽可能映射到 Agent Insight 已有评测数据集结构，并标明每个字段的来源。Trace 未包含的参考答案、期望结果、评分标准或其他必填内容不得捏造，应标为待补充/待确认。用户选择目标数据集并确认后，才能写入。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Evaluator 辅助</w:t>
      </w:r>
      <w:r>
        <w:rPr>
          <w:rFonts w:eastAsia="等线" w:ascii="Arial" w:cs="Arial" w:hAnsi="Arial"/>
          <w:sz w:val="22"/>
        </w:rPr>
        <w:t>：根据用户描述起草或调整 Evaluator 逻辑，解释其检查目标和输入字段；可在已有样例上预览或试跑。生成代码应作为草稿，不能因代码可运行就宣称评估标准有效。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运行筛选与问题归纳</w:t>
      </w:r>
      <w:r>
        <w:rPr>
          <w:rFonts w:eastAsia="等线" w:ascii="Arial" w:cs="Arial" w:hAnsi="Arial"/>
          <w:sz w:val="22"/>
        </w:rPr>
        <w:t>：按自然语言条件筛选运行、定位相关 Trace。筛选条件和结果范围应可见，并可回到对应对象核实。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操作预览与确认</w:t>
      </w:r>
      <w:r>
        <w:rPr>
          <w:rFonts w:eastAsia="等线" w:ascii="Arial" w:cs="Arial" w:hAnsi="Arial"/>
          <w:sz w:val="22"/>
        </w:rPr>
        <w:t>：创建 Dataset 样例、修改 Prompt/Evaluator 或其他写操作前，先展示目标对象、字段变更和来源依据。用户可确认、修改或取消；取消或未确认时不得产生写入。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推荐端到端示例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用户在 Agent Insight 打开一条失败 Trace</w:t>
              <w:br/>
              <w:t xml:space="preserve">  ↓</w:t>
              <w:br/>
              <w:t>助手读取当前 Trace 上下文并概括执行过程</w:t>
              <w:br/>
              <w:t xml:space="preserve">  ↓</w:t>
              <w:br/>
              <w:t>指出失败线索，引用具体步骤和错误信息</w:t>
              <w:br/>
              <w:t xml:space="preserve">  ↓</w:t>
              <w:br/>
              <w:t>用户要求“基于Trace创建评测样例”</w:t>
              <w:br/>
              <w:t xml:space="preserve">  ↓</w:t>
              <w:br/>
              <w:t>助手生成样例草稿，标出 Trace 来源和待补充字段</w:t>
              <w:br/>
              <w:t xml:space="preserve">  ↓</w:t>
              <w:br/>
              <w:t>用户检查并确认写入目标 Dataset</w:t>
              <w:br/>
              <w:t xml:space="preserve">  ↓</w:t>
              <w:br/>
              <w:t>助手创建样例，并说明写入结果和目标 Dataset</w:t>
              <w:br/>
              <w:t xml:space="preserve">  ↓</w:t>
              <w:br/>
            </w:r>
            <w:r>
              <w:rPr>
                <w:rFonts w:eastAsia="Consolas" w:ascii="Consolas" w:cs="Consolas" w:hAnsi="Consolas"/>
                <w:sz w:val="22"/>
              </w:rPr>
              <w:t>用户要求起草 Evaluator，助手展示逻辑草稿并在已有样例上预览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该流程体现了 Polly 最值得借鉴的产品价值：在当前工程对象上理解问题，连续跟进调查过程，并把分析引向可核实的后续工作。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四、验收方法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验收场景与用例由学生自行设计。应明确测试材料、知识库内容、Agent Insight 版本和环境，并按以下阶段逐项说明结果与依据。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通用验收：自然语言意图理解与能力路由</w:t>
      </w:r>
      <w:bookmarkEnd w:id="10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知识问答路由</w:t>
      </w:r>
      <w:r>
        <w:rPr>
          <w:rFonts w:eastAsia="等线" w:ascii="Arial" w:cs="Arial" w:hAnsi="Arial"/>
          <w:sz w:val="22"/>
        </w:rPr>
        <w:t>：询问产品功能、术语或操作方法时，验证助手调用知识库并返回有引用的回答，不误触发页面分析或写操作。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页面分析路由</w:t>
      </w:r>
      <w:r>
        <w:rPr>
          <w:rFonts w:eastAsia="等线" w:ascii="Arial" w:cs="Arial" w:hAnsi="Arial"/>
          <w:sz w:val="22"/>
        </w:rPr>
        <w:t>：在 Trace、诊断、Dataset、评测或 Skill 页面提出与当前对象相关的问题时，验证助手使用对应页面上下文，不以通用知识库内容代替实际数据分析。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工作流路由</w:t>
      </w:r>
      <w:r>
        <w:rPr>
          <w:rFonts w:eastAsia="等线" w:ascii="Arial" w:cs="Arial" w:hAnsi="Arial"/>
          <w:sz w:val="22"/>
        </w:rPr>
        <w:t>：明确要求基于当前 Trace 创建评测样例、筛选运行或辅助生成 Evaluator 时，验证助手选择对应工作流，并展示必要的对象、范围或草稿。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问法区分</w:t>
      </w:r>
      <w:r>
        <w:rPr>
          <w:rFonts w:eastAsia="等线" w:ascii="Arial" w:cs="Arial" w:hAnsi="Arial"/>
          <w:sz w:val="22"/>
        </w:rPr>
        <w:t>：验证“如何创建评测样例”等方法咨询不会被误判为执行请求；明确的创建请求进入预览和确认流程。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歧义与确认</w:t>
      </w:r>
      <w:r>
        <w:rPr>
          <w:rFonts w:eastAsia="等线" w:ascii="Arial" w:cs="Arial" w:hAnsi="Arial"/>
          <w:sz w:val="22"/>
        </w:rPr>
        <w:t>：当对象、目标数据集、筛选条件或写操作意图不明确时，验证助手会先追问；用户未确认时不产生写入或修改。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第一步验收：通用知识库助手</w:t>
      </w:r>
      <w:bookmarkEnd w:id="11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创建和格式支持</w:t>
      </w:r>
      <w:r>
        <w:rPr>
          <w:rFonts w:eastAsia="等线" w:ascii="Arial" w:cs="Arial" w:hAnsi="Arial"/>
          <w:sz w:val="22"/>
        </w:rPr>
        <w:t>：分别通过 CLI、网页导入本地目录和上传目录中的全部或部分文件；验证 md、txt、Word、Excel、PDF 等格式能被正确解析。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管理与增量更新</w:t>
      </w:r>
      <w:r>
        <w:rPr>
          <w:rFonts w:eastAsia="等线" w:ascii="Arial" w:cs="Arial" w:hAnsi="Arial"/>
          <w:sz w:val="22"/>
        </w:rPr>
        <w:t>：验证知识内容增删改查、源文件变化后的增量同步，以及问答对录入。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通用插件集成</w:t>
      </w:r>
      <w:r>
        <w:rPr>
          <w:rFonts w:eastAsia="等线" w:ascii="Arial" w:cs="Arial" w:hAnsi="Arial"/>
          <w:sz w:val="22"/>
        </w:rPr>
        <w:t>：在 Agent Insight 之外的测试网页和 Agent Insight 页面分别集成插件，确认插件不依赖 Agent Insight 专有接口才能完成普通文档问答。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多轮与交互体验</w:t>
      </w:r>
      <w:r>
        <w:rPr>
          <w:rFonts w:eastAsia="等线" w:ascii="Arial" w:cs="Arial" w:hAnsi="Arial"/>
          <w:sz w:val="22"/>
        </w:rPr>
        <w:t>：验证多轮上下文、流式输出、插件悬浮入口和对话框交互。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回答依据与拒答</w:t>
      </w:r>
      <w:r>
        <w:rPr>
          <w:rFonts w:eastAsia="等线" w:ascii="Arial" w:cs="Arial" w:hAnsi="Arial"/>
          <w:sz w:val="22"/>
        </w:rPr>
        <w:t>：针对有答案、答案跨多个文档、知识库未覆盖和证据冲突的问题，检查回答准确性、引用可定位性和拒答表现。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反馈闭环</w:t>
      </w:r>
      <w:r>
        <w:rPr>
          <w:rFonts w:eastAsia="等线" w:ascii="Arial" w:cs="Arial" w:hAnsi="Arial"/>
          <w:sz w:val="22"/>
        </w:rPr>
        <w:t>：验证不认可反馈和无法回答问题是否被记录，并可供知识维护者后续处理。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第二步验收：Agent Insight 页面上下文</w:t>
      </w:r>
      <w:bookmarkEnd w:id="1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上下文接入</w:t>
      </w:r>
      <w:r>
        <w:rPr>
          <w:rFonts w:eastAsia="等线" w:ascii="Arial" w:cs="Arial" w:hAnsi="Arial"/>
          <w:sz w:val="22"/>
        </w:rPr>
        <w:t>：从不同页面提问，验证助手识别正确的页面类型、对象类型和稳定标识；确认传入数据限于当前问题所需范围。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Trace 分析</w:t>
      </w:r>
      <w:r>
        <w:rPr>
          <w:rFonts w:eastAsia="等线" w:ascii="Arial" w:cs="Arial" w:hAnsi="Arial"/>
          <w:sz w:val="22"/>
        </w:rPr>
        <w:t>：针对包含模型、工具和 Skill 调用的 Trace 提问，核实概括和调用分析与原始步骤一致，并能定位到具体证据。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诊断结果解读</w:t>
      </w:r>
      <w:r>
        <w:rPr>
          <w:rFonts w:eastAsia="等线" w:ascii="Arial" w:cs="Arial" w:hAnsi="Arial"/>
          <w:sz w:val="22"/>
        </w:rPr>
        <w:t>：针对已有诊断结果提问，检查解释是否符合平台记录；对系统未采集的信息应明确说明未知。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评测与数据集理解</w:t>
      </w:r>
      <w:r>
        <w:rPr>
          <w:rFonts w:eastAsia="等线" w:ascii="Arial" w:cs="Arial" w:hAnsi="Arial"/>
          <w:sz w:val="22"/>
        </w:rPr>
        <w:t>：针对 Dataset、样例和评测结果提问，核实结构说明和失败模式与页面数据一致。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 解读</w:t>
      </w:r>
      <w:r>
        <w:rPr>
          <w:rFonts w:eastAsia="等线" w:ascii="Arial" w:cs="Arial" w:hAnsi="Arial"/>
          <w:sz w:val="22"/>
        </w:rPr>
        <w:t>：针对当前 Skill 的代码提问，核实回答对应实际代码和版本，不将推测描述为代码事实。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第三步验收：工作流协作</w:t>
      </w:r>
      <w:bookmarkEnd w:id="13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基于Trace创建评测样例</w:t>
      </w:r>
      <w:r>
        <w:rPr>
          <w:rFonts w:eastAsia="等线" w:ascii="Arial" w:cs="Arial" w:hAnsi="Arial"/>
          <w:sz w:val="22"/>
        </w:rPr>
        <w:t>：验证样例草稿字段与平台结构兼容、来源可追溯；缺少参考答案等字段时能标记待补充，而不是编造。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Evaluator 辅助</w:t>
      </w:r>
      <w:r>
        <w:rPr>
          <w:rFonts w:eastAsia="等线" w:ascii="Arial" w:cs="Arial" w:hAnsi="Arial"/>
          <w:sz w:val="22"/>
        </w:rPr>
        <w:t>：验证助手能根据用户描述起草或调整 Evaluator，解释检查目标和输入字段，并可在已有样例上预览或试跑。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运行筛选与问题归纳</w:t>
      </w:r>
      <w:r>
        <w:rPr>
          <w:rFonts w:eastAsia="等线" w:ascii="Arial" w:cs="Arial" w:hAnsi="Arial"/>
          <w:sz w:val="22"/>
        </w:rPr>
        <w:t>：用自然语言提出筛选条件，核实运行结果、筛选范围和 Trace 定位正确且可回查。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操作预览与确认</w:t>
      </w:r>
      <w:r>
        <w:rPr>
          <w:rFonts w:eastAsia="等线" w:ascii="Arial" w:cs="Arial" w:hAnsi="Arial"/>
          <w:sz w:val="22"/>
        </w:rPr>
        <w:t>：验证创建 Dataset 样例、修改 Prompt/Evaluator 等写操作前会展示目标对象、字段变化和来源；用户确认后才执行，取消或未确认不写入。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五、完成度评分标准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对学生完成度按高、中、低三档评估，分阶段检查能力，并重点考察知识库回答可信度、Agent Insight 上下文正确性和写操作安全性。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意图理解与能力路由</w:t>
      </w:r>
      <w:bookmarkEnd w:id="15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</w:t>
      </w:r>
      <w:r>
        <w:rPr>
          <w:rFonts w:eastAsia="等线" w:ascii="Arial" w:cs="Arial" w:hAnsi="Arial"/>
          <w:sz w:val="22"/>
        </w:rPr>
        <w:t>：能稳定区分知识问答、当前页面分析和工作流操作；结合明确意图与页面上下文选择正确能力及数据来源；能区分操作方法咨询与执行请求；遇到歧义会澄清，写操作始终经过预览和确认。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</w:t>
      </w:r>
      <w:r>
        <w:rPr>
          <w:rFonts w:eastAsia="等线" w:ascii="Arial" w:cs="Arial" w:hAnsi="Arial"/>
          <w:sz w:val="22"/>
        </w:rPr>
        <w:t>：常见意图能够正确路由，但对相近问法、页面上下文或歧义请求偶有误判；写操作仍能阻止未确认的变更。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</w:t>
      </w:r>
      <w:r>
        <w:rPr>
          <w:rFonts w:eastAsia="等线" w:ascii="Arial" w:cs="Arial" w:hAnsi="Arial"/>
          <w:sz w:val="22"/>
        </w:rPr>
        <w:t>：频繁调用错误能力或错误数据源，把方法咨询当作执行请求，或在意图、对象不明确/未确认时执行写操作。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通用知识库助手</w:t>
      </w:r>
      <w:bookmarkEnd w:id="16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</w:t>
      </w:r>
      <w:r>
        <w:rPr>
          <w:rFonts w:eastAsia="等线" w:ascii="Arial" w:cs="Arial" w:hAnsi="Arial"/>
          <w:sz w:val="22"/>
        </w:rPr>
        <w:t>：CLI 与网页导入、常见格式、内容管理和增量更新均可用；可嵌入不同网站；多轮回答有准确、可查看的引用，证据不足时可靠拒答；反馈可用于知识维护。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</w:t>
      </w:r>
      <w:r>
        <w:rPr>
          <w:rFonts w:eastAsia="等线" w:ascii="Arial" w:cs="Arial" w:hAnsi="Arial"/>
          <w:sz w:val="22"/>
        </w:rPr>
        <w:t>：核心问答和插件可用，但部分格式、同步、引用定位、拒答或反馈能力需要人工弥补。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</w:t>
      </w:r>
      <w:r>
        <w:rPr>
          <w:rFonts w:eastAsia="等线" w:ascii="Arial" w:cs="Arial" w:hAnsi="Arial"/>
          <w:sz w:val="22"/>
        </w:rPr>
        <w:t>：通用插件无法正常嵌入，知识管理不完整，或回答缺少有效证据且容易编造。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Agent Insight 上下文感知</w:t>
      </w:r>
      <w:bookmarkEnd w:id="17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</w:t>
      </w:r>
      <w:r>
        <w:rPr>
          <w:rFonts w:eastAsia="等线" w:ascii="Arial" w:cs="Arial" w:hAnsi="Arial"/>
          <w:sz w:val="22"/>
        </w:rPr>
        <w:t>：准确识别页面类型、对象类型和稳定标识；能基于 Trace 分析模型/工具/Skill 调用，解读诊断结果、评测与数据集，并回答当前 Skill 代码问题；结论均可回溯至对应数据或代码。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</w:t>
      </w:r>
      <w:r>
        <w:rPr>
          <w:rFonts w:eastAsia="等线" w:ascii="Arial" w:cs="Arial" w:hAnsi="Arial"/>
          <w:sz w:val="22"/>
        </w:rPr>
        <w:t>：上下文和主要对象识别基本正确，但 Trace 分析、诊断解释、Dataset 理解或 Skill 代码解读存在局限，需人工修正。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</w:t>
      </w:r>
      <w:r>
        <w:rPr>
          <w:rFonts w:eastAsia="等线" w:ascii="Arial" w:cs="Arial" w:hAnsi="Arial"/>
          <w:sz w:val="22"/>
        </w:rPr>
        <w:t>：经常读错对象、混用上下文，或把未采集的信息和代码推断说成事实。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工作流协助</w:t>
      </w:r>
      <w:bookmarkEnd w:id="18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</w:t>
      </w:r>
      <w:r>
        <w:rPr>
          <w:rFonts w:eastAsia="等线" w:ascii="Arial" w:cs="Arial" w:hAnsi="Arial"/>
          <w:sz w:val="22"/>
        </w:rPr>
        <w:t>：能基于Trace创建结构兼容、来源清楚的评测样例；能辅助起草/调整 Evaluator，并按自然语言筛选运行、定位 Trace；写操作有预览和确认，取消不产生变更。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</w:t>
      </w:r>
      <w:r>
        <w:rPr>
          <w:rFonts w:eastAsia="等线" w:ascii="Arial" w:cs="Arial" w:hAnsi="Arial"/>
          <w:sz w:val="22"/>
        </w:rPr>
        <w:t>：主要工作流可用，但字段映射、Evaluator 草稿、筛选范围或操作预览仍需人工补充。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</w:t>
      </w:r>
      <w:r>
        <w:rPr>
          <w:rFonts w:eastAsia="等线" w:ascii="Arial" w:cs="Arial" w:hAnsi="Arial"/>
          <w:sz w:val="22"/>
        </w:rPr>
        <w:t>：不能形成可用工作流，生成内容不可追溯，筛选结果不可信，或未确认便写入/修改平台数据。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集成与通用性</w:t>
      </w:r>
      <w:bookmarkEnd w:id="19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</w:t>
      </w:r>
      <w:r>
        <w:rPr>
          <w:rFonts w:eastAsia="等线" w:ascii="Arial" w:cs="Arial" w:hAnsi="Arial"/>
          <w:sz w:val="22"/>
        </w:rPr>
        <w:t>：通用知识库能力不依赖 Agent Insight 专有上下文；插件可在外部网站复用，并与 Agent Insight 页面和既有评测流程稳定集成。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</w:t>
      </w:r>
      <w:r>
        <w:rPr>
          <w:rFonts w:eastAsia="等线" w:ascii="Arial" w:cs="Arial" w:hAnsi="Arial"/>
          <w:sz w:val="22"/>
        </w:rPr>
        <w:t>：可以集成到 Agent Insight，但外部复用、页面适配或现有功能衔接存在明显限制。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</w:t>
      </w:r>
      <w:r>
        <w:rPr>
          <w:rFonts w:eastAsia="等线" w:ascii="Arial" w:cs="Arial" w:hAnsi="Arial"/>
          <w:sz w:val="22"/>
        </w:rPr>
        <w:t>：插件无法在目标环境使用，或集成后与平台功能冲突。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综合定档</w:t>
      </w:r>
      <w:bookmarkEnd w:id="20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</w:t>
      </w:r>
      <w:r>
        <w:rPr>
          <w:rFonts w:eastAsia="等线" w:ascii="Arial" w:cs="Arial" w:hAnsi="Arial"/>
          <w:sz w:val="22"/>
        </w:rPr>
        <w:t>：通用知识库助手、页面上下文感知、工作流协助和意图理解与能力路由均达到高档，集成与通用性不低于中档。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</w:t>
      </w:r>
      <w:r>
        <w:rPr>
          <w:rFonts w:eastAsia="等线" w:ascii="Arial" w:cs="Arial" w:hAnsi="Arial"/>
          <w:sz w:val="22"/>
        </w:rPr>
        <w:t>：三个阶段及意图理解与能力路由均不低于中档，集成与通用性允许存在低档，但核心流程仍可完成。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</w:t>
      </w:r>
      <w:r>
        <w:rPr>
          <w:rFonts w:eastAsia="等线" w:ascii="Arial" w:cs="Arial" w:hAnsi="Arial"/>
          <w:sz w:val="22"/>
        </w:rPr>
        <w:t>：任一核心阶段或意图理解与能力路由处于低档，或多数能力整体处于低档。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六、设计原则与边界</w:t>
      </w:r>
      <w:bookmarkEnd w:id="21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先做通用底座，再接平台上下文</w:t>
      </w:r>
      <w:r>
        <w:rPr>
          <w:rFonts w:eastAsia="等线" w:ascii="Arial" w:cs="Arial" w:hAnsi="Arial"/>
          <w:sz w:val="22"/>
        </w:rPr>
        <w:t>：知识库、检索、对话和网页插件应能独立复用；Agent Insight 上下文作为宿主扩展接入。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答案必须能回到来源</w:t>
      </w:r>
      <w:r>
        <w:rPr>
          <w:rFonts w:eastAsia="等线" w:ascii="Arial" w:cs="Arial" w:hAnsi="Arial"/>
          <w:sz w:val="22"/>
        </w:rPr>
        <w:t>：知识库回答引用文档片段；页面分析引用 Trace、评测或 Skill 对象；操作说明引用实际执行结果。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区分事实、推断与建议</w:t>
      </w:r>
      <w:r>
        <w:rPr>
          <w:rFonts w:eastAsia="等线" w:ascii="Arial" w:cs="Arial" w:hAnsi="Arial"/>
          <w:sz w:val="22"/>
        </w:rPr>
        <w:t>：尤其是根因判断、用户情绪和实验优劣，不把模型推断包装成确定事实。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缺失字段不猜测</w:t>
      </w:r>
      <w:r>
        <w:rPr>
          <w:rFonts w:eastAsia="等线" w:ascii="Arial" w:cs="Arial" w:hAnsi="Arial"/>
          <w:sz w:val="22"/>
        </w:rPr>
        <w:t>：Trace 可以证明发生了什么，但未必含有正确参考答案或期望行为。生成评测样例时必须保留这种区别。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只读优先，写入需确认</w:t>
      </w:r>
      <w:r>
        <w:rPr>
          <w:rFonts w:eastAsia="等线" w:ascii="Arial" w:cs="Arial" w:hAnsi="Arial"/>
          <w:sz w:val="22"/>
        </w:rPr>
        <w:t>：查询和分析可以直接进行；创建样例或修改对象前展示草稿并获取明确确认。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复用平台能力</w:t>
      </w:r>
      <w:r>
        <w:rPr>
          <w:rFonts w:eastAsia="等线" w:ascii="Arial" w:cs="Arial" w:hAnsi="Arial"/>
          <w:sz w:val="22"/>
        </w:rPr>
        <w:t>：工作流操作应调用 Agent Insight 已有的数据集、评测、诊断和优化功能，避免形成平行实现。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说明适用范围</w:t>
      </w:r>
      <w:r>
        <w:rPr>
          <w:rFonts w:eastAsia="等线" w:ascii="Arial" w:cs="Arial" w:hAnsi="Arial"/>
          <w:sz w:val="22"/>
        </w:rPr>
        <w:t>：对无知识库证据、当前页面无数据或权限不足的问题，说明原因并给出可行的下一步。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七、LangSmith Polly 洞察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LangSmith 当前官方文档将 Polly 称为 </w:t>
      </w:r>
      <w:r>
        <w:rPr>
          <w:rFonts w:eastAsia="等线" w:ascii="Arial" w:cs="Arial" w:hAnsi="Arial"/>
          <w:b w:val="true"/>
          <w:sz w:val="22"/>
        </w:rPr>
        <w:t>LangSmith Chat（formerly Polly）</w:t>
      </w:r>
      <w:r>
        <w:rPr>
          <w:rFonts w:eastAsia="等线" w:ascii="Arial" w:cs="Arial" w:hAnsi="Arial"/>
          <w:sz w:val="22"/>
        </w:rPr>
        <w:t>。它的产品形态已从 Trace 页面里的问答助手扩展为贯穿多类工程页面的上下文助手。对 Agent Insight 的启发是：助手围绕用户当前处理的工程对象工作，并把理解和分析连接到平台已有的操作流程。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7.1 能力版图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Polly / LangSmith Chat 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产品价值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 Agent Insight 的参考方向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Trace / Run 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总结长执行轨迹，定位失败步骤、异常调用和耗时环节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在当前 Trace 页面解释执行过程，引用具体步骤或字段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Thread 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汇总多轮交互，分析用户痛点、对话结果和行为变化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有相应对话数据时提供跨轮次复盘；情绪结论需标明是模型判断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 运行查询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按自然语言筛选运行、查找错误或慢运行、创建样本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在项目运行列表中自然语言筛选，再进入具体 Trace 调查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Engine 问题调查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查看检测到的问题及关联 Trace，并总结问题范围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 Agent Insight 诊断项与关联运行证据串联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Dataset 与 Examples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概括数据集结构、样本模式和错误样本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帮助理解评测集，并支持基于Trace创建评测样例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Experiments 比较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总结实验差异、失败模式和相对表现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比较 Skill、Prompt 或 Agent 版本的评测结果，指出指标和样本变化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Annotation Queue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为人工评分提供运行摘要和关注点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辅助理解评测样本；评分标准和最终标注仍由人工负责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Playground / Hub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解释和编辑 Prompt，生成工具定义或结构化输出 schema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作为后续扩展，与 Agent Insight 现有 Prompt/Skill 优化能力结合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Evaluators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起草、解释和迭代 Evaluator 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基于现有评估器体系提供草稿、规则解释和样例验证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跨页面会话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切换页面后延续当前调查上下文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Trace、Dataset、Experiment、Skill 页面间延续会话，并明确当前对象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页面内操作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筛选视图、创建 Dataset、修改 Prompt、比较实验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 Agent Insight 既有功能；写入或修改前展示预览并等待确认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7.2 Polly 展示的端到端工作流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从项目运行或检测问题发现异常</w:t>
              <w:br/>
              <w:t xml:space="preserve">  → 分析 Trace / Thread 并定位线索</w:t>
              <w:br/>
              <w:t xml:space="preserve">  → 将可复现问题沉淀为 Dataset 样例</w:t>
              <w:br/>
              <w:t xml:space="preserve">  → 修改 Prompt 或准备 Evaluator</w:t>
              <w:br/>
              <w:t xml:space="preserve">  → 执行 Experiment 并比较结果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人工核实证据并决定是否采纳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Insight 可以采用相同的流程思路，但把入口和操作落在自身已有的 Trace、诊断、评测集、Evaluator 和 Skill 优化功能中。第三阶段的“基于Trace创建评测样例”是从诊断证据走向可复现评测的连接点。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7.3 值得借鉴的设计</w:t>
      </w:r>
      <w:bookmarkEnd w:id="25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围绕当前对象提供帮助</w:t>
      </w:r>
      <w:r>
        <w:rPr>
          <w:rFonts w:eastAsia="等线" w:ascii="Arial" w:cs="Arial" w:hAnsi="Arial"/>
          <w:sz w:val="22"/>
        </w:rPr>
        <w:t>：用户从正在查看的 Trace、评测结果或 Skill 页面发问，减少复制 ID 和手工拼装上下文的成本。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让会话跟随调查过程</w:t>
      </w:r>
      <w:r>
        <w:rPr>
          <w:rFonts w:eastAsia="等线" w:ascii="Arial" w:cs="Arial" w:hAnsi="Arial"/>
          <w:sz w:val="22"/>
        </w:rPr>
        <w:t>：页面切换时保留必要上下文，同时显式更新当前对象，避免旧对象结论误用到新对象。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将回答连接到动作</w:t>
      </w:r>
      <w:r>
        <w:rPr>
          <w:rFonts w:eastAsia="等线" w:ascii="Arial" w:cs="Arial" w:hAnsi="Arial"/>
          <w:sz w:val="22"/>
        </w:rPr>
        <w:t>：分析之后继续筛选运行、准备样例、比较实验或生成 Evaluator 草稿。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压缩长数据并保留核实路径</w:t>
      </w:r>
      <w:r>
        <w:rPr>
          <w:rFonts w:eastAsia="等线" w:ascii="Arial" w:cs="Arial" w:hAnsi="Arial"/>
          <w:sz w:val="22"/>
        </w:rPr>
        <w:t>：先总结，再指向具体 Trace 步骤、样本、指标或文档引用。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让模型承担脚手架工作</w:t>
      </w:r>
      <w:r>
        <w:rPr>
          <w:rFonts w:eastAsia="等线" w:ascii="Arial" w:cs="Arial" w:hAnsi="Arial"/>
          <w:sz w:val="22"/>
        </w:rPr>
        <w:t>：Prompt、Evaluator 和评测样例都是可编辑草稿；验证和最终决策仍由工程师负责。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7.4 不应照搬或扩大的部分</w:t>
      </w:r>
      <w:bookmarkEnd w:id="26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分析效果依赖已采集到的 Trace、Thread、Dataset 和 Experiment 数据。Agent Insight 应明确数据覆盖范围，不能把未采集的信息当成事实。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根因解释、用户情绪和实验优劣受样本、指标和模型判断影响，应作为可回溯验证的建议，不宜直接当作权威结论。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Trace 证明的是执行过程，不一定包含正确参考答案或期望行为；缺失信息应标记待补充，不能为填满字段而猜测。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工作区操作不代表可以任意修改代码或生产系统。写操作应限制在明确的现有功能内，展示目标和变更内容，并要求用户确认。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通用知识库问答应保持独立可复用；Agent Insight 页面上下文通过宿主集成提供，不能让通用插件依赖 Agent Insight 专有 API。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7.5 对本任务三阶段规划的映射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Polly 洞察如何转化为 Agent Insight 能力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第一步：通用知识库助手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保留独立知识库、引用、拒答、多轮对话和通用网页嵌入能力，解决产品文档问答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第二步：读取当前页面上下文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借鉴按当前对象分析 Trace、诊断结果、Dataset 和代码的方式；本任务不要求跨页面会话能力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第三步：协助执行工作流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借鉴创建 Dataset 样例和辅助 Evaluator 的工作流连接方式，并支持自然语言筛选运行；写操作通过预览和确认保护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八、参考资料</w:t>
      </w:r>
      <w:bookmarkEnd w:id="28"/>
    </w:p>
    <w:p>
      <w:pPr>
        <w:numPr>
          <w:numId w:val="83"/>
        </w:num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LangSmith Chat 文档（formerly Polly）</w:t>
        </w:r>
      </w:hyperlink>
      <w:r>
        <w:rPr>
          <w:rFonts w:eastAsia="等线" w:ascii="Arial" w:cs="Arial" w:hAnsi="Arial"/>
          <w:sz w:val="22"/>
        </w:rPr>
        <w:t>：当前助手名称、支持页面、Trace/Thread 分析、Prompt、Dataset、Experiment、Evaluator、Annotation Queue、Engine 和项目运行查询等能力。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Polly is generally available everywhere you work in LangSmith（2026-03-18）</w:t>
        </w:r>
      </w:hyperlink>
      <w:r>
        <w:rPr>
          <w:rFonts w:eastAsia="等线" w:ascii="Arial" w:cs="Arial" w:hAnsi="Arial"/>
          <w:sz w:val="22"/>
        </w:rPr>
        <w:t>：正式版公告，说明跨页面上下文、更新 Prompt、创建 Dataset、筛选项目、编写 Evaluator 和比较实验。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Introducing Polly: Your AI Agent Engineer（2025-12-10）</w:t>
        </w:r>
      </w:hyperlink>
      <w:r>
        <w:rPr>
          <w:rFonts w:eastAsia="等线" w:ascii="Arial" w:cs="Arial" w:hAnsi="Arial"/>
          <w:sz w:val="22"/>
        </w:rPr>
        <w:t>：Trace、Thread 分析及 Prompt 工程等初始能力。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Debugging Deep Agents with LangSmith（2025-12-10）</w:t>
        </w:r>
      </w:hyperlink>
      <w:r>
        <w:rPr>
          <w:rFonts w:eastAsia="等线" w:ascii="Arial" w:cs="Arial" w:hAnsi="Arial"/>
          <w:sz w:val="22"/>
        </w:rPr>
        <w:t>：Runs、Traces、Threads 的关系和深度 Agent 调试流程。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6495">
    <w:lvl>
      <w:start w:val="1"/>
      <w:numFmt w:val="decimal"/>
      <w:suff w:val="tab"/>
      <w:lvlText w:val="%1."/>
      <w:rPr>
        <w:color w:val="3370ff"/>
      </w:rPr>
    </w:lvl>
  </w:abstractNum>
  <w:abstractNum w:abstractNumId="186496">
    <w:lvl>
      <w:start w:val="2"/>
      <w:numFmt w:val="decimal"/>
      <w:suff w:val="tab"/>
      <w:lvlText w:val="%1."/>
      <w:rPr>
        <w:color w:val="3370ff"/>
      </w:rPr>
    </w:lvl>
  </w:abstractNum>
  <w:abstractNum w:abstractNumId="186497">
    <w:lvl>
      <w:start w:val="3"/>
      <w:numFmt w:val="decimal"/>
      <w:suff w:val="tab"/>
      <w:lvlText w:val="%1."/>
      <w:rPr>
        <w:color w:val="3370ff"/>
      </w:rPr>
    </w:lvl>
  </w:abstractNum>
  <w:abstractNum w:abstractNumId="186498">
    <w:lvl>
      <w:numFmt w:val="bullet"/>
      <w:suff w:val="tab"/>
      <w:lvlText w:val="•"/>
      <w:rPr>
        <w:color w:val="3370ff"/>
      </w:rPr>
    </w:lvl>
  </w:abstractNum>
  <w:abstractNum w:abstractNumId="186499">
    <w:lvl>
      <w:numFmt w:val="bullet"/>
      <w:suff w:val="tab"/>
      <w:lvlText w:val="•"/>
      <w:rPr>
        <w:color w:val="3370ff"/>
      </w:rPr>
    </w:lvl>
  </w:abstractNum>
  <w:abstractNum w:abstractNumId="186500">
    <w:lvl>
      <w:numFmt w:val="bullet"/>
      <w:suff w:val="tab"/>
      <w:lvlText w:val="•"/>
      <w:rPr>
        <w:color w:val="3370ff"/>
      </w:rPr>
    </w:lvl>
  </w:abstractNum>
  <w:abstractNum w:abstractNumId="186501">
    <w:lvl>
      <w:start w:val="1"/>
      <w:numFmt w:val="decimal"/>
      <w:suff w:val="tab"/>
      <w:lvlText w:val="%1."/>
      <w:rPr>
        <w:color w:val="3370ff"/>
      </w:rPr>
    </w:lvl>
  </w:abstractNum>
  <w:abstractNum w:abstractNumId="186502">
    <w:lvl>
      <w:start w:val="2"/>
      <w:numFmt w:val="decimal"/>
      <w:suff w:val="tab"/>
      <w:lvlText w:val="%1."/>
      <w:rPr>
        <w:color w:val="3370ff"/>
      </w:rPr>
    </w:lvl>
  </w:abstractNum>
  <w:abstractNum w:abstractNumId="186503">
    <w:lvl>
      <w:start w:val="3"/>
      <w:numFmt w:val="decimal"/>
      <w:suff w:val="tab"/>
      <w:lvlText w:val="%1."/>
      <w:rPr>
        <w:color w:val="3370ff"/>
      </w:rPr>
    </w:lvl>
  </w:abstractNum>
  <w:abstractNum w:abstractNumId="186504">
    <w:lvl>
      <w:start w:val="4"/>
      <w:numFmt w:val="decimal"/>
      <w:suff w:val="tab"/>
      <w:lvlText w:val="%1."/>
      <w:rPr>
        <w:color w:val="3370ff"/>
      </w:rPr>
    </w:lvl>
  </w:abstractNum>
  <w:abstractNum w:abstractNumId="186505">
    <w:lvl>
      <w:start w:val="5"/>
      <w:numFmt w:val="decimal"/>
      <w:suff w:val="tab"/>
      <w:lvlText w:val="%1."/>
      <w:rPr>
        <w:color w:val="3370ff"/>
      </w:rPr>
    </w:lvl>
  </w:abstractNum>
  <w:abstractNum w:abstractNumId="186506">
    <w:lvl>
      <w:start w:val="6"/>
      <w:numFmt w:val="decimal"/>
      <w:suff w:val="tab"/>
      <w:lvlText w:val="%1."/>
      <w:rPr>
        <w:color w:val="3370ff"/>
      </w:rPr>
    </w:lvl>
  </w:abstractNum>
  <w:abstractNum w:abstractNumId="186507">
    <w:lvl>
      <w:start w:val="7"/>
      <w:numFmt w:val="decimal"/>
      <w:suff w:val="tab"/>
      <w:lvlText w:val="%1."/>
      <w:rPr>
        <w:color w:val="3370ff"/>
      </w:rPr>
    </w:lvl>
  </w:abstractNum>
  <w:abstractNum w:abstractNumId="186508">
    <w:lvl>
      <w:start w:val="8"/>
      <w:numFmt w:val="decimal"/>
      <w:suff w:val="tab"/>
      <w:lvlText w:val="%1."/>
      <w:rPr>
        <w:color w:val="3370ff"/>
      </w:rPr>
    </w:lvl>
  </w:abstractNum>
  <w:abstractNum w:abstractNumId="186509">
    <w:lvl>
      <w:start w:val="1"/>
      <w:numFmt w:val="decimal"/>
      <w:suff w:val="tab"/>
      <w:lvlText w:val="%1."/>
      <w:rPr>
        <w:color w:val="3370ff"/>
      </w:rPr>
    </w:lvl>
  </w:abstractNum>
  <w:abstractNum w:abstractNumId="186510">
    <w:lvl>
      <w:start w:val="2"/>
      <w:numFmt w:val="decimal"/>
      <w:suff w:val="tab"/>
      <w:lvlText w:val="%1."/>
      <w:rPr>
        <w:color w:val="3370ff"/>
      </w:rPr>
    </w:lvl>
  </w:abstractNum>
  <w:abstractNum w:abstractNumId="186511">
    <w:lvl>
      <w:start w:val="3"/>
      <w:numFmt w:val="decimal"/>
      <w:suff w:val="tab"/>
      <w:lvlText w:val="%1."/>
      <w:rPr>
        <w:color w:val="3370ff"/>
      </w:rPr>
    </w:lvl>
  </w:abstractNum>
  <w:abstractNum w:abstractNumId="186512">
    <w:lvl>
      <w:start w:val="4"/>
      <w:numFmt w:val="decimal"/>
      <w:suff w:val="tab"/>
      <w:lvlText w:val="%1."/>
      <w:rPr>
        <w:color w:val="3370ff"/>
      </w:rPr>
    </w:lvl>
  </w:abstractNum>
  <w:abstractNum w:abstractNumId="186513">
    <w:lvl>
      <w:start w:val="5"/>
      <w:numFmt w:val="decimal"/>
      <w:suff w:val="tab"/>
      <w:lvlText w:val="%1."/>
      <w:rPr>
        <w:color w:val="3370ff"/>
      </w:rPr>
    </w:lvl>
  </w:abstractNum>
  <w:abstractNum w:abstractNumId="186514">
    <w:lvl>
      <w:numFmt w:val="bullet"/>
      <w:suff w:val="tab"/>
      <w:lvlText w:val="•"/>
      <w:rPr>
        <w:color w:val="3370ff"/>
      </w:rPr>
    </w:lvl>
  </w:abstractNum>
  <w:abstractNum w:abstractNumId="186515">
    <w:lvl>
      <w:numFmt w:val="bullet"/>
      <w:suff w:val="tab"/>
      <w:lvlText w:val="•"/>
      <w:rPr>
        <w:color w:val="3370ff"/>
      </w:rPr>
    </w:lvl>
  </w:abstractNum>
  <w:abstractNum w:abstractNumId="186516">
    <w:lvl>
      <w:numFmt w:val="bullet"/>
      <w:suff w:val="tab"/>
      <w:lvlText w:val="•"/>
      <w:rPr>
        <w:color w:val="3370ff"/>
      </w:rPr>
    </w:lvl>
  </w:abstractNum>
  <w:abstractNum w:abstractNumId="186517">
    <w:lvl>
      <w:numFmt w:val="bullet"/>
      <w:suff w:val="tab"/>
      <w:lvlText w:val="•"/>
      <w:rPr>
        <w:color w:val="3370ff"/>
      </w:rPr>
    </w:lvl>
  </w:abstractNum>
  <w:abstractNum w:abstractNumId="186518">
    <w:lvl>
      <w:start w:val="1"/>
      <w:numFmt w:val="decimal"/>
      <w:suff w:val="tab"/>
      <w:lvlText w:val="%1."/>
      <w:rPr>
        <w:color w:val="3370ff"/>
      </w:rPr>
    </w:lvl>
  </w:abstractNum>
  <w:abstractNum w:abstractNumId="186519">
    <w:lvl>
      <w:start w:val="2"/>
      <w:numFmt w:val="decimal"/>
      <w:suff w:val="tab"/>
      <w:lvlText w:val="%1."/>
      <w:rPr>
        <w:color w:val="3370ff"/>
      </w:rPr>
    </w:lvl>
  </w:abstractNum>
  <w:abstractNum w:abstractNumId="186520">
    <w:lvl>
      <w:start w:val="3"/>
      <w:numFmt w:val="decimal"/>
      <w:suff w:val="tab"/>
      <w:lvlText w:val="%1."/>
      <w:rPr>
        <w:color w:val="3370ff"/>
      </w:rPr>
    </w:lvl>
  </w:abstractNum>
  <w:abstractNum w:abstractNumId="186521">
    <w:lvl>
      <w:start w:val="4"/>
      <w:numFmt w:val="decimal"/>
      <w:suff w:val="tab"/>
      <w:lvlText w:val="%1."/>
      <w:rPr>
        <w:color w:val="3370ff"/>
      </w:rPr>
    </w:lvl>
  </w:abstractNum>
  <w:abstractNum w:abstractNumId="186522">
    <w:lvl>
      <w:start w:val="1"/>
      <w:numFmt w:val="decimal"/>
      <w:suff w:val="tab"/>
      <w:lvlText w:val="%1."/>
      <w:rPr>
        <w:color w:val="3370ff"/>
      </w:rPr>
    </w:lvl>
  </w:abstractNum>
  <w:abstractNum w:abstractNumId="186523">
    <w:lvl>
      <w:start w:val="2"/>
      <w:numFmt w:val="decimal"/>
      <w:suff w:val="tab"/>
      <w:lvlText w:val="%1."/>
      <w:rPr>
        <w:color w:val="3370ff"/>
      </w:rPr>
    </w:lvl>
  </w:abstractNum>
  <w:abstractNum w:abstractNumId="186524">
    <w:lvl>
      <w:start w:val="3"/>
      <w:numFmt w:val="decimal"/>
      <w:suff w:val="tab"/>
      <w:lvlText w:val="%1."/>
      <w:rPr>
        <w:color w:val="3370ff"/>
      </w:rPr>
    </w:lvl>
  </w:abstractNum>
  <w:abstractNum w:abstractNumId="186525">
    <w:lvl>
      <w:start w:val="4"/>
      <w:numFmt w:val="decimal"/>
      <w:suff w:val="tab"/>
      <w:lvlText w:val="%1."/>
      <w:rPr>
        <w:color w:val="3370ff"/>
      </w:rPr>
    </w:lvl>
  </w:abstractNum>
  <w:abstractNum w:abstractNumId="186526">
    <w:lvl>
      <w:start w:val="5"/>
      <w:numFmt w:val="decimal"/>
      <w:suff w:val="tab"/>
      <w:lvlText w:val="%1."/>
      <w:rPr>
        <w:color w:val="3370ff"/>
      </w:rPr>
    </w:lvl>
  </w:abstractNum>
  <w:abstractNum w:abstractNumId="186527">
    <w:lvl>
      <w:start w:val="1"/>
      <w:numFmt w:val="decimal"/>
      <w:suff w:val="tab"/>
      <w:lvlText w:val="%1."/>
      <w:rPr>
        <w:color w:val="3370ff"/>
      </w:rPr>
    </w:lvl>
  </w:abstractNum>
  <w:abstractNum w:abstractNumId="186528">
    <w:lvl>
      <w:start w:val="2"/>
      <w:numFmt w:val="decimal"/>
      <w:suff w:val="tab"/>
      <w:lvlText w:val="%1."/>
      <w:rPr>
        <w:color w:val="3370ff"/>
      </w:rPr>
    </w:lvl>
  </w:abstractNum>
  <w:abstractNum w:abstractNumId="186529">
    <w:lvl>
      <w:start w:val="3"/>
      <w:numFmt w:val="decimal"/>
      <w:suff w:val="tab"/>
      <w:lvlText w:val="%1."/>
      <w:rPr>
        <w:color w:val="3370ff"/>
      </w:rPr>
    </w:lvl>
  </w:abstractNum>
  <w:abstractNum w:abstractNumId="186530">
    <w:lvl>
      <w:start w:val="4"/>
      <w:numFmt w:val="decimal"/>
      <w:suff w:val="tab"/>
      <w:lvlText w:val="%1."/>
      <w:rPr>
        <w:color w:val="3370ff"/>
      </w:rPr>
    </w:lvl>
  </w:abstractNum>
  <w:abstractNum w:abstractNumId="186531">
    <w:lvl>
      <w:start w:val="5"/>
      <w:numFmt w:val="decimal"/>
      <w:suff w:val="tab"/>
      <w:lvlText w:val="%1."/>
      <w:rPr>
        <w:color w:val="3370ff"/>
      </w:rPr>
    </w:lvl>
  </w:abstractNum>
  <w:abstractNum w:abstractNumId="186532">
    <w:lvl>
      <w:start w:val="6"/>
      <w:numFmt w:val="decimal"/>
      <w:suff w:val="tab"/>
      <w:lvlText w:val="%1."/>
      <w:rPr>
        <w:color w:val="3370ff"/>
      </w:rPr>
    </w:lvl>
  </w:abstractNum>
  <w:abstractNum w:abstractNumId="186533">
    <w:lvl>
      <w:start w:val="1"/>
      <w:numFmt w:val="decimal"/>
      <w:suff w:val="tab"/>
      <w:lvlText w:val="%1."/>
      <w:rPr>
        <w:color w:val="3370ff"/>
      </w:rPr>
    </w:lvl>
  </w:abstractNum>
  <w:abstractNum w:abstractNumId="186534">
    <w:lvl>
      <w:start w:val="2"/>
      <w:numFmt w:val="decimal"/>
      <w:suff w:val="tab"/>
      <w:lvlText w:val="%1."/>
      <w:rPr>
        <w:color w:val="3370ff"/>
      </w:rPr>
    </w:lvl>
  </w:abstractNum>
  <w:abstractNum w:abstractNumId="186535">
    <w:lvl>
      <w:start w:val="3"/>
      <w:numFmt w:val="decimal"/>
      <w:suff w:val="tab"/>
      <w:lvlText w:val="%1."/>
      <w:rPr>
        <w:color w:val="3370ff"/>
      </w:rPr>
    </w:lvl>
  </w:abstractNum>
  <w:abstractNum w:abstractNumId="186536">
    <w:lvl>
      <w:start w:val="4"/>
      <w:numFmt w:val="decimal"/>
      <w:suff w:val="tab"/>
      <w:lvlText w:val="%1."/>
      <w:rPr>
        <w:color w:val="3370ff"/>
      </w:rPr>
    </w:lvl>
  </w:abstractNum>
  <w:abstractNum w:abstractNumId="186537">
    <w:lvl>
      <w:start w:val="5"/>
      <w:numFmt w:val="decimal"/>
      <w:suff w:val="tab"/>
      <w:lvlText w:val="%1."/>
      <w:rPr>
        <w:color w:val="3370ff"/>
      </w:rPr>
    </w:lvl>
  </w:abstractNum>
  <w:abstractNum w:abstractNumId="186538">
    <w:lvl>
      <w:start w:val="1"/>
      <w:numFmt w:val="decimal"/>
      <w:suff w:val="tab"/>
      <w:lvlText w:val="%1."/>
      <w:rPr>
        <w:color w:val="3370ff"/>
      </w:rPr>
    </w:lvl>
  </w:abstractNum>
  <w:abstractNum w:abstractNumId="186539">
    <w:lvl>
      <w:start w:val="2"/>
      <w:numFmt w:val="decimal"/>
      <w:suff w:val="tab"/>
      <w:lvlText w:val="%1."/>
      <w:rPr>
        <w:color w:val="3370ff"/>
      </w:rPr>
    </w:lvl>
  </w:abstractNum>
  <w:abstractNum w:abstractNumId="186540">
    <w:lvl>
      <w:start w:val="3"/>
      <w:numFmt w:val="decimal"/>
      <w:suff w:val="tab"/>
      <w:lvlText w:val="%1."/>
      <w:rPr>
        <w:color w:val="3370ff"/>
      </w:rPr>
    </w:lvl>
  </w:abstractNum>
  <w:abstractNum w:abstractNumId="186541">
    <w:lvl>
      <w:start w:val="4"/>
      <w:numFmt w:val="decimal"/>
      <w:suff w:val="tab"/>
      <w:lvlText w:val="%1."/>
      <w:rPr>
        <w:color w:val="3370ff"/>
      </w:rPr>
    </w:lvl>
  </w:abstractNum>
  <w:abstractNum w:abstractNumId="186542">
    <w:lvl>
      <w:numFmt w:val="bullet"/>
      <w:suff w:val="tab"/>
      <w:lvlText w:val="•"/>
      <w:rPr>
        <w:color w:val="3370ff"/>
      </w:rPr>
    </w:lvl>
  </w:abstractNum>
  <w:abstractNum w:abstractNumId="186543">
    <w:lvl>
      <w:numFmt w:val="bullet"/>
      <w:suff w:val="tab"/>
      <w:lvlText w:val="•"/>
      <w:rPr>
        <w:color w:val="3370ff"/>
      </w:rPr>
    </w:lvl>
  </w:abstractNum>
  <w:abstractNum w:abstractNumId="186544">
    <w:lvl>
      <w:numFmt w:val="bullet"/>
      <w:suff w:val="tab"/>
      <w:lvlText w:val="•"/>
      <w:rPr>
        <w:color w:val="3370ff"/>
      </w:rPr>
    </w:lvl>
  </w:abstractNum>
  <w:abstractNum w:abstractNumId="186545">
    <w:lvl>
      <w:numFmt w:val="bullet"/>
      <w:suff w:val="tab"/>
      <w:lvlText w:val="•"/>
      <w:rPr>
        <w:color w:val="3370ff"/>
      </w:rPr>
    </w:lvl>
  </w:abstractNum>
  <w:abstractNum w:abstractNumId="186546">
    <w:lvl>
      <w:numFmt w:val="bullet"/>
      <w:suff w:val="tab"/>
      <w:lvlText w:val="•"/>
      <w:rPr>
        <w:color w:val="3370ff"/>
      </w:rPr>
    </w:lvl>
  </w:abstractNum>
  <w:abstractNum w:abstractNumId="186547">
    <w:lvl>
      <w:numFmt w:val="bullet"/>
      <w:suff w:val="tab"/>
      <w:lvlText w:val="•"/>
      <w:rPr>
        <w:color w:val="3370ff"/>
      </w:rPr>
    </w:lvl>
  </w:abstractNum>
  <w:abstractNum w:abstractNumId="186548">
    <w:lvl>
      <w:numFmt w:val="bullet"/>
      <w:suff w:val="tab"/>
      <w:lvlText w:val="•"/>
      <w:rPr>
        <w:color w:val="3370ff"/>
      </w:rPr>
    </w:lvl>
  </w:abstractNum>
  <w:abstractNum w:abstractNumId="186549">
    <w:lvl>
      <w:numFmt w:val="bullet"/>
      <w:suff w:val="tab"/>
      <w:lvlText w:val="•"/>
      <w:rPr>
        <w:color w:val="3370ff"/>
      </w:rPr>
    </w:lvl>
  </w:abstractNum>
  <w:abstractNum w:abstractNumId="186550">
    <w:lvl>
      <w:numFmt w:val="bullet"/>
      <w:suff w:val="tab"/>
      <w:lvlText w:val="•"/>
      <w:rPr>
        <w:color w:val="3370ff"/>
      </w:rPr>
    </w:lvl>
  </w:abstractNum>
  <w:abstractNum w:abstractNumId="186551">
    <w:lvl>
      <w:numFmt w:val="bullet"/>
      <w:suff w:val="tab"/>
      <w:lvlText w:val="•"/>
      <w:rPr>
        <w:color w:val="3370ff"/>
      </w:rPr>
    </w:lvl>
  </w:abstractNum>
  <w:abstractNum w:abstractNumId="186552">
    <w:lvl>
      <w:numFmt w:val="bullet"/>
      <w:suff w:val="tab"/>
      <w:lvlText w:val="•"/>
      <w:rPr>
        <w:color w:val="3370ff"/>
      </w:rPr>
    </w:lvl>
  </w:abstractNum>
  <w:abstractNum w:abstractNumId="186553">
    <w:lvl>
      <w:numFmt w:val="bullet"/>
      <w:suff w:val="tab"/>
      <w:lvlText w:val="•"/>
      <w:rPr>
        <w:color w:val="3370ff"/>
      </w:rPr>
    </w:lvl>
  </w:abstractNum>
  <w:abstractNum w:abstractNumId="186554">
    <w:lvl>
      <w:numFmt w:val="bullet"/>
      <w:suff w:val="tab"/>
      <w:lvlText w:val="•"/>
      <w:rPr>
        <w:color w:val="3370ff"/>
      </w:rPr>
    </w:lvl>
  </w:abstractNum>
  <w:abstractNum w:abstractNumId="186555">
    <w:lvl>
      <w:numFmt w:val="bullet"/>
      <w:suff w:val="tab"/>
      <w:lvlText w:val="•"/>
      <w:rPr>
        <w:color w:val="3370ff"/>
      </w:rPr>
    </w:lvl>
  </w:abstractNum>
  <w:abstractNum w:abstractNumId="186556">
    <w:lvl>
      <w:numFmt w:val="bullet"/>
      <w:suff w:val="tab"/>
      <w:lvlText w:val="•"/>
      <w:rPr>
        <w:color w:val="3370ff"/>
      </w:rPr>
    </w:lvl>
  </w:abstractNum>
  <w:abstractNum w:abstractNumId="186557">
    <w:lvl>
      <w:numFmt w:val="bullet"/>
      <w:suff w:val="tab"/>
      <w:lvlText w:val="•"/>
      <w:rPr>
        <w:color w:val="3370ff"/>
      </w:rPr>
    </w:lvl>
  </w:abstractNum>
  <w:abstractNum w:abstractNumId="186558">
    <w:lvl>
      <w:numFmt w:val="bullet"/>
      <w:suff w:val="tab"/>
      <w:lvlText w:val="•"/>
      <w:rPr>
        <w:color w:val="3370ff"/>
      </w:rPr>
    </w:lvl>
  </w:abstractNum>
  <w:abstractNum w:abstractNumId="186559">
    <w:lvl>
      <w:numFmt w:val="bullet"/>
      <w:suff w:val="tab"/>
      <w:lvlText w:val="•"/>
      <w:rPr>
        <w:color w:val="3370ff"/>
      </w:rPr>
    </w:lvl>
  </w:abstractNum>
  <w:abstractNum w:abstractNumId="186560">
    <w:lvl>
      <w:start w:val="1"/>
      <w:numFmt w:val="decimal"/>
      <w:suff w:val="tab"/>
      <w:lvlText w:val="%1."/>
      <w:rPr>
        <w:color w:val="3370ff"/>
      </w:rPr>
    </w:lvl>
  </w:abstractNum>
  <w:abstractNum w:abstractNumId="186561">
    <w:lvl>
      <w:start w:val="2"/>
      <w:numFmt w:val="decimal"/>
      <w:suff w:val="tab"/>
      <w:lvlText w:val="%1."/>
      <w:rPr>
        <w:color w:val="3370ff"/>
      </w:rPr>
    </w:lvl>
  </w:abstractNum>
  <w:abstractNum w:abstractNumId="186562">
    <w:lvl>
      <w:start w:val="3"/>
      <w:numFmt w:val="decimal"/>
      <w:suff w:val="tab"/>
      <w:lvlText w:val="%1."/>
      <w:rPr>
        <w:color w:val="3370ff"/>
      </w:rPr>
    </w:lvl>
  </w:abstractNum>
  <w:abstractNum w:abstractNumId="186563">
    <w:lvl>
      <w:start w:val="4"/>
      <w:numFmt w:val="decimal"/>
      <w:suff w:val="tab"/>
      <w:lvlText w:val="%1."/>
      <w:rPr>
        <w:color w:val="3370ff"/>
      </w:rPr>
    </w:lvl>
  </w:abstractNum>
  <w:abstractNum w:abstractNumId="186564">
    <w:lvl>
      <w:start w:val="5"/>
      <w:numFmt w:val="decimal"/>
      <w:suff w:val="tab"/>
      <w:lvlText w:val="%1."/>
      <w:rPr>
        <w:color w:val="3370ff"/>
      </w:rPr>
    </w:lvl>
  </w:abstractNum>
  <w:abstractNum w:abstractNumId="186565">
    <w:lvl>
      <w:start w:val="6"/>
      <w:numFmt w:val="decimal"/>
      <w:suff w:val="tab"/>
      <w:lvlText w:val="%1."/>
      <w:rPr>
        <w:color w:val="3370ff"/>
      </w:rPr>
    </w:lvl>
  </w:abstractNum>
  <w:abstractNum w:abstractNumId="186566">
    <w:lvl>
      <w:start w:val="7"/>
      <w:numFmt w:val="decimal"/>
      <w:suff w:val="tab"/>
      <w:lvlText w:val="%1."/>
      <w:rPr>
        <w:color w:val="3370ff"/>
      </w:rPr>
    </w:lvl>
  </w:abstractNum>
  <w:abstractNum w:abstractNumId="186567">
    <w:lvl>
      <w:start w:val="1"/>
      <w:numFmt w:val="decimal"/>
      <w:suff w:val="tab"/>
      <w:lvlText w:val="%1."/>
      <w:rPr>
        <w:color w:val="3370ff"/>
      </w:rPr>
    </w:lvl>
  </w:abstractNum>
  <w:abstractNum w:abstractNumId="186568">
    <w:lvl>
      <w:start w:val="2"/>
      <w:numFmt w:val="decimal"/>
      <w:suff w:val="tab"/>
      <w:lvlText w:val="%1."/>
      <w:rPr>
        <w:color w:val="3370ff"/>
      </w:rPr>
    </w:lvl>
  </w:abstractNum>
  <w:abstractNum w:abstractNumId="186569">
    <w:lvl>
      <w:start w:val="3"/>
      <w:numFmt w:val="decimal"/>
      <w:suff w:val="tab"/>
      <w:lvlText w:val="%1."/>
      <w:rPr>
        <w:color w:val="3370ff"/>
      </w:rPr>
    </w:lvl>
  </w:abstractNum>
  <w:abstractNum w:abstractNumId="186570">
    <w:lvl>
      <w:start w:val="4"/>
      <w:numFmt w:val="decimal"/>
      <w:suff w:val="tab"/>
      <w:lvlText w:val="%1."/>
      <w:rPr>
        <w:color w:val="3370ff"/>
      </w:rPr>
    </w:lvl>
  </w:abstractNum>
  <w:abstractNum w:abstractNumId="186571">
    <w:lvl>
      <w:start w:val="5"/>
      <w:numFmt w:val="decimal"/>
      <w:suff w:val="tab"/>
      <w:lvlText w:val="%1."/>
      <w:rPr>
        <w:color w:val="3370ff"/>
      </w:rPr>
    </w:lvl>
  </w:abstractNum>
  <w:abstractNum w:abstractNumId="186572">
    <w:lvl>
      <w:numFmt w:val="bullet"/>
      <w:suff w:val="tab"/>
      <w:lvlText w:val="•"/>
      <w:rPr>
        <w:color w:val="3370ff"/>
      </w:rPr>
    </w:lvl>
  </w:abstractNum>
  <w:abstractNum w:abstractNumId="186573">
    <w:lvl>
      <w:numFmt w:val="bullet"/>
      <w:suff w:val="tab"/>
      <w:lvlText w:val="•"/>
      <w:rPr>
        <w:color w:val="3370ff"/>
      </w:rPr>
    </w:lvl>
  </w:abstractNum>
  <w:abstractNum w:abstractNumId="186574">
    <w:lvl>
      <w:numFmt w:val="bullet"/>
      <w:suff w:val="tab"/>
      <w:lvlText w:val="•"/>
      <w:rPr>
        <w:color w:val="3370ff"/>
      </w:rPr>
    </w:lvl>
  </w:abstractNum>
  <w:abstractNum w:abstractNumId="186575">
    <w:lvl>
      <w:numFmt w:val="bullet"/>
      <w:suff w:val="tab"/>
      <w:lvlText w:val="•"/>
      <w:rPr>
        <w:color w:val="3370ff"/>
      </w:rPr>
    </w:lvl>
  </w:abstractNum>
  <w:abstractNum w:abstractNumId="186576">
    <w:lvl>
      <w:numFmt w:val="bullet"/>
      <w:suff w:val="tab"/>
      <w:lvlText w:val="•"/>
      <w:rPr>
        <w:color w:val="3370ff"/>
      </w:rPr>
    </w:lvl>
  </w:abstractNum>
  <w:abstractNum w:abstractNumId="186577">
    <w:lvl>
      <w:numFmt w:val="bullet"/>
      <w:suff w:val="tab"/>
      <w:lvlText w:val="•"/>
      <w:rPr>
        <w:color w:val="3370ff"/>
      </w:rPr>
    </w:lvl>
  </w:abstractNum>
  <w:abstractNum w:abstractNumId="186578">
    <w:lvl>
      <w:numFmt w:val="bullet"/>
      <w:suff w:val="tab"/>
      <w:lvlText w:val="•"/>
      <w:rPr>
        <w:color w:val="3370ff"/>
      </w:rPr>
    </w:lvl>
  </w:abstractNum>
  <w:abstractNum w:abstractNumId="186579">
    <w:lvl>
      <w:numFmt w:val="bullet"/>
      <w:suff w:val="tab"/>
      <w:lvlText w:val="•"/>
      <w:rPr>
        <w:color w:val="3370ff"/>
      </w:rPr>
    </w:lvl>
  </w:abstractNum>
  <w:abstractNum w:abstractNumId="186580">
    <w:lvl>
      <w:numFmt w:val="bullet"/>
      <w:suff w:val="tab"/>
      <w:lvlText w:val="•"/>
      <w:rPr>
        <w:color w:val="3370ff"/>
      </w:rPr>
    </w:lvl>
  </w:abstractNum>
  <w:num w:numId="1">
    <w:abstractNumId w:val="186495"/>
  </w:num>
  <w:num w:numId="2">
    <w:abstractNumId w:val="186496"/>
  </w:num>
  <w:num w:numId="3">
    <w:abstractNumId w:val="186497"/>
  </w:num>
  <w:num w:numId="4">
    <w:abstractNumId w:val="186498"/>
  </w:num>
  <w:num w:numId="5">
    <w:abstractNumId w:val="186499"/>
  </w:num>
  <w:num w:numId="6">
    <w:abstractNumId w:val="186500"/>
  </w:num>
  <w:num w:numId="7">
    <w:abstractNumId w:val="186501"/>
  </w:num>
  <w:num w:numId="8">
    <w:abstractNumId w:val="186502"/>
  </w:num>
  <w:num w:numId="9">
    <w:abstractNumId w:val="186503"/>
  </w:num>
  <w:num w:numId="10">
    <w:abstractNumId w:val="186504"/>
  </w:num>
  <w:num w:numId="11">
    <w:abstractNumId w:val="186505"/>
  </w:num>
  <w:num w:numId="12">
    <w:abstractNumId w:val="186506"/>
  </w:num>
  <w:num w:numId="13">
    <w:abstractNumId w:val="186507"/>
  </w:num>
  <w:num w:numId="14">
    <w:abstractNumId w:val="186508"/>
  </w:num>
  <w:num w:numId="15">
    <w:abstractNumId w:val="186509"/>
  </w:num>
  <w:num w:numId="16">
    <w:abstractNumId w:val="186510"/>
  </w:num>
  <w:num w:numId="17">
    <w:abstractNumId w:val="186511"/>
  </w:num>
  <w:num w:numId="18">
    <w:abstractNumId w:val="186512"/>
  </w:num>
  <w:num w:numId="19">
    <w:abstractNumId w:val="186513"/>
  </w:num>
  <w:num w:numId="20">
    <w:abstractNumId w:val="186514"/>
  </w:num>
  <w:num w:numId="21">
    <w:abstractNumId w:val="186515"/>
  </w:num>
  <w:num w:numId="22">
    <w:abstractNumId w:val="186516"/>
  </w:num>
  <w:num w:numId="23">
    <w:abstractNumId w:val="186517"/>
  </w:num>
  <w:num w:numId="24">
    <w:abstractNumId w:val="186518"/>
  </w:num>
  <w:num w:numId="25">
    <w:abstractNumId w:val="186519"/>
  </w:num>
  <w:num w:numId="26">
    <w:abstractNumId w:val="186520"/>
  </w:num>
  <w:num w:numId="27">
    <w:abstractNumId w:val="186521"/>
  </w:num>
  <w:num w:numId="28">
    <w:abstractNumId w:val="186522"/>
  </w:num>
  <w:num w:numId="29">
    <w:abstractNumId w:val="186523"/>
  </w:num>
  <w:num w:numId="30">
    <w:abstractNumId w:val="186524"/>
  </w:num>
  <w:num w:numId="31">
    <w:abstractNumId w:val="186525"/>
  </w:num>
  <w:num w:numId="32">
    <w:abstractNumId w:val="186526"/>
  </w:num>
  <w:num w:numId="33">
    <w:abstractNumId w:val="186527"/>
  </w:num>
  <w:num w:numId="34">
    <w:abstractNumId w:val="186528"/>
  </w:num>
  <w:num w:numId="35">
    <w:abstractNumId w:val="186529"/>
  </w:num>
  <w:num w:numId="36">
    <w:abstractNumId w:val="186530"/>
  </w:num>
  <w:num w:numId="37">
    <w:abstractNumId w:val="186531"/>
  </w:num>
  <w:num w:numId="38">
    <w:abstractNumId w:val="186532"/>
  </w:num>
  <w:num w:numId="39">
    <w:abstractNumId w:val="186533"/>
  </w:num>
  <w:num w:numId="40">
    <w:abstractNumId w:val="186534"/>
  </w:num>
  <w:num w:numId="41">
    <w:abstractNumId w:val="186535"/>
  </w:num>
  <w:num w:numId="42">
    <w:abstractNumId w:val="186536"/>
  </w:num>
  <w:num w:numId="43">
    <w:abstractNumId w:val="186537"/>
  </w:num>
  <w:num w:numId="44">
    <w:abstractNumId w:val="186538"/>
  </w:num>
  <w:num w:numId="45">
    <w:abstractNumId w:val="186539"/>
  </w:num>
  <w:num w:numId="46">
    <w:abstractNumId w:val="186540"/>
  </w:num>
  <w:num w:numId="47">
    <w:abstractNumId w:val="186541"/>
  </w:num>
  <w:num w:numId="48">
    <w:abstractNumId w:val="186542"/>
  </w:num>
  <w:num w:numId="49">
    <w:abstractNumId w:val="186543"/>
  </w:num>
  <w:num w:numId="50">
    <w:abstractNumId w:val="186544"/>
  </w:num>
  <w:num w:numId="51">
    <w:abstractNumId w:val="186545"/>
  </w:num>
  <w:num w:numId="52">
    <w:abstractNumId w:val="186546"/>
  </w:num>
  <w:num w:numId="53">
    <w:abstractNumId w:val="186547"/>
  </w:num>
  <w:num w:numId="54">
    <w:abstractNumId w:val="186548"/>
  </w:num>
  <w:num w:numId="55">
    <w:abstractNumId w:val="186549"/>
  </w:num>
  <w:num w:numId="56">
    <w:abstractNumId w:val="186550"/>
  </w:num>
  <w:num w:numId="57">
    <w:abstractNumId w:val="186551"/>
  </w:num>
  <w:num w:numId="58">
    <w:abstractNumId w:val="186552"/>
  </w:num>
  <w:num w:numId="59">
    <w:abstractNumId w:val="186553"/>
  </w:num>
  <w:num w:numId="60">
    <w:abstractNumId w:val="186554"/>
  </w:num>
  <w:num w:numId="61">
    <w:abstractNumId w:val="186555"/>
  </w:num>
  <w:num w:numId="62">
    <w:abstractNumId w:val="186556"/>
  </w:num>
  <w:num w:numId="63">
    <w:abstractNumId w:val="186557"/>
  </w:num>
  <w:num w:numId="64">
    <w:abstractNumId w:val="186558"/>
  </w:num>
  <w:num w:numId="65">
    <w:abstractNumId w:val="186559"/>
  </w:num>
  <w:num w:numId="66">
    <w:abstractNumId w:val="186560"/>
  </w:num>
  <w:num w:numId="67">
    <w:abstractNumId w:val="186561"/>
  </w:num>
  <w:num w:numId="68">
    <w:abstractNumId w:val="186562"/>
  </w:num>
  <w:num w:numId="69">
    <w:abstractNumId w:val="186563"/>
  </w:num>
  <w:num w:numId="70">
    <w:abstractNumId w:val="186564"/>
  </w:num>
  <w:num w:numId="71">
    <w:abstractNumId w:val="186565"/>
  </w:num>
  <w:num w:numId="72">
    <w:abstractNumId w:val="186566"/>
  </w:num>
  <w:num w:numId="73">
    <w:abstractNumId w:val="186567"/>
  </w:num>
  <w:num w:numId="74">
    <w:abstractNumId w:val="186568"/>
  </w:num>
  <w:num w:numId="75">
    <w:abstractNumId w:val="186569"/>
  </w:num>
  <w:num w:numId="76">
    <w:abstractNumId w:val="186570"/>
  </w:num>
  <w:num w:numId="77">
    <w:abstractNumId w:val="186571"/>
  </w:num>
  <w:num w:numId="78">
    <w:abstractNumId w:val="186572"/>
  </w:num>
  <w:num w:numId="79">
    <w:abstractNumId w:val="186573"/>
  </w:num>
  <w:num w:numId="80">
    <w:abstractNumId w:val="186574"/>
  </w:num>
  <w:num w:numId="81">
    <w:abstractNumId w:val="186575"/>
  </w:num>
  <w:num w:numId="82">
    <w:abstractNumId w:val="186576"/>
  </w:num>
  <w:num w:numId="83">
    <w:abstractNumId w:val="186577"/>
  </w:num>
  <w:num w:numId="84">
    <w:abstractNumId w:val="186578"/>
  </w:num>
  <w:num w:numId="85">
    <w:abstractNumId w:val="186579"/>
  </w:num>
  <w:num w:numId="86">
    <w:abstractNumId w:val="1865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docs.langchain.com/langsmith/chat" TargetMode="External" Type="http://schemas.openxmlformats.org/officeDocument/2006/relationships/hyperlink"/><Relationship Id="rId6" Target="https://www.langchain.com/blog/polly-langsmith-ga" TargetMode="External" Type="http://schemas.openxmlformats.org/officeDocument/2006/relationships/hyperlink"/><Relationship Id="rId7" Target="https://www.langchain.com/blog/introducing-polly-your-ai-agent-engineer" TargetMode="External" Type="http://schemas.openxmlformats.org/officeDocument/2006/relationships/hyperlink"/><Relationship Id="rId8" Target="https://www.langchain.com/blog/debugging-deep-agents-with-langsmith" TargetMode="External" Type="http://schemas.openxmlformats.org/officeDocument/2006/relationships/hyperlink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2026-10-13T04:43:18Z</dcterms:created>
  <dc:creator>Apache POI</dc:creator>
</cp:coreProperties>
</file>