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numPr>
          <w:ilvl w:val="0"/>
          <w:numId w:val="0"/>
        </w:numPr>
        <w:ind w:leftChars="0"/>
        <w:jc w:val="center"/>
        <w:rPr>
          <w:rFonts w:ascii="楷体" w:hAnsi="楷体" w:eastAsia="楷体"/>
          <w:b/>
          <w:sz w:val="72"/>
          <w:szCs w:val="28"/>
        </w:rPr>
      </w:pPr>
      <w:bookmarkStart w:id="0" w:name="_GoBack"/>
      <w:bookmarkEnd w:id="0"/>
      <w:r>
        <w:rPr>
          <w:rFonts w:hint="eastAsia" w:ascii="楷体" w:hAnsi="楷体" w:eastAsia="楷体"/>
          <w:b/>
          <w:sz w:val="72"/>
          <w:szCs w:val="28"/>
        </w:rPr>
        <w:t>EA加载示范</w:t>
      </w:r>
    </w:p>
    <w:p>
      <w:pPr>
        <w:jc w:val="center"/>
        <w:rPr>
          <w:rFonts w:ascii="楷体" w:hAnsi="楷体" w:eastAsia="楷体"/>
          <w:b/>
          <w:sz w:val="72"/>
          <w:szCs w:val="28"/>
        </w:rPr>
      </w:pP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EA的执行程序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程序名.ex4文件对放置的路径有要求，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通常在MQL文件夹的Experts下，部分操作系统路径不同。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color w:val="FF0000"/>
          <w:sz w:val="36"/>
          <w:szCs w:val="28"/>
        </w:rPr>
        <w:t>一定正确的路径的是</w:t>
      </w:r>
      <w:r>
        <w:rPr>
          <w:rFonts w:hint="eastAsia" w:ascii="楷体" w:hAnsi="楷体" w:eastAsia="楷体"/>
          <w:sz w:val="36"/>
          <w:szCs w:val="28"/>
        </w:rPr>
        <w:t>：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pict>
          <v:rect id="_x0000_s2066" o:spid="_x0000_s2066" o:spt="1" style="position:absolute;left:0pt;margin-left:43.15pt;margin-top:146.65pt;height:19.35pt;width:165.6pt;z-index:251661312;mso-width-relative:page;mso-height-relative:page;" filled="f" stroked="t" coordsize="21600,21600">
            <v:path/>
            <v:fill on="f" focussize="0,0"/>
            <v:stroke weight="4.5pt" color="#FF0000"/>
            <v:imagedata o:title=""/>
            <o:lock v:ext="edit"/>
          </v:rect>
        </w:pict>
      </w:r>
      <w:r>
        <w:rPr>
          <w:rFonts w:hint="eastAsia" w:ascii="楷体" w:hAnsi="楷体" w:eastAsia="楷体"/>
          <w:sz w:val="36"/>
          <w:szCs w:val="28"/>
        </w:rPr>
        <w:tab/>
      </w:r>
      <w:r>
        <w:rPr>
          <w:rFonts w:hint="eastAsia"/>
        </w:rPr>
        <w:drawing>
          <wp:inline distT="0" distB="0" distL="0" distR="0">
            <wp:extent cx="2390775" cy="3610610"/>
            <wp:effectExtent l="0" t="0" r="9525" b="8890"/>
            <wp:docPr id="2" name="图片 2" descr="微信截图_2017020611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02061107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211" cy="361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MT4平台左上角菜单"文件" 中打开数据文件夹（见上图）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drawing>
          <wp:inline distT="0" distB="0" distL="114300" distR="114300">
            <wp:extent cx="4958080" cy="2030730"/>
            <wp:effectExtent l="0" t="0" r="1397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815" cy="202589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pict>
          <v:rect id="_x0000_s2067" o:spid="_x0000_s2067" o:spt="1" style="position:absolute;left:0pt;margin-left:1pt;margin-top:2.75pt;height:20.35pt;width:141.3pt;z-index:251662336;mso-width-relative:page;mso-height-relative:page;" filled="f" stroked="t" coordsize="21600,21600">
            <v:path/>
            <v:fill on="f" focussize="0,0"/>
            <v:stroke weight="4.5pt" color="#FF0000"/>
            <v:imagedata o:title=""/>
            <o:lock v:ext="edit"/>
          </v:rect>
        </w:pict>
      </w:r>
      <w:r>
        <w:drawing>
          <wp:inline distT="0" distB="0" distL="114300" distR="114300">
            <wp:extent cx="5656580" cy="2708275"/>
            <wp:effectExtent l="0" t="0" r="1270" b="158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937" cy="272344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40"/>
          <w:szCs w:val="30"/>
        </w:rPr>
      </w:pPr>
      <w:r>
        <w:rPr>
          <w:rFonts w:hint="eastAsia" w:ascii="楷体" w:hAnsi="楷体" w:eastAsia="楷体"/>
          <w:sz w:val="36"/>
          <w:szCs w:val="28"/>
        </w:rPr>
        <w:t>打开MQL4文件夹-&gt;Experts文件夹-&gt;把EA放进去（见上图）</w:t>
      </w:r>
      <w:r>
        <w:rPr>
          <w:rFonts w:ascii="楷体" w:hAnsi="楷体" w:eastAsia="楷体"/>
          <w:sz w:val="40"/>
          <w:szCs w:val="30"/>
        </w:rPr>
        <w:br w:type="page"/>
      </w:r>
      <w:r>
        <w:rPr>
          <w:sz w:val="40"/>
          <w:szCs w:val="30"/>
        </w:rPr>
        <w:drawing>
          <wp:inline distT="0" distB="0" distL="114300" distR="114300">
            <wp:extent cx="2961640" cy="2885440"/>
            <wp:effectExtent l="0" t="0" r="10160" b="1016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30"/>
        </w:rPr>
        <w:drawing>
          <wp:inline distT="0" distB="0" distL="0" distR="0">
            <wp:extent cx="3180080" cy="1842135"/>
            <wp:effectExtent l="0" t="0" r="1270" b="571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pict>
          <v:rect id="_x0000_s2068" o:spid="_x0000_s2068" o:spt="1" style="position:absolute;left:0pt;margin-left:69.6pt;margin-top:-240.65pt;height:19.35pt;width:155.45pt;z-index:251660288;mso-width-relative:page;mso-height-relative:page;" filled="f" stroked="t" coordsize="21600,21600">
            <v:path/>
            <v:fill on="f" focussize="0,0"/>
            <v:stroke weight="4.5pt" color="#FF0000"/>
            <v:imagedata o:title=""/>
            <o:lock v:ext="edit"/>
          </v:rect>
        </w:pict>
      </w:r>
      <w:r>
        <w:rPr>
          <w:rFonts w:hint="eastAsia" w:ascii="楷体" w:hAnsi="楷体" w:eastAsia="楷体"/>
          <w:sz w:val="36"/>
          <w:szCs w:val="28"/>
        </w:rPr>
        <w:t>无需重启客户端，导航中选择EA右键刷一下，就会显示, 找到需要加载的那个EA程序（以MT4自带Moving Average作示例）（见上图）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drawing>
          <wp:inline distT="0" distB="0" distL="114300" distR="114300">
            <wp:extent cx="647700" cy="715645"/>
            <wp:effectExtent l="0" t="0" r="0" b="825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912" cy="72053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b/>
          <w:bCs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灰色显示的说明只有ex.4文件，没有源码不能修改程序，不影响使用。</w:t>
      </w:r>
    </w:p>
    <w:p>
      <w:pPr>
        <w:pStyle w:val="24"/>
        <w:widowControl/>
        <w:numPr>
          <w:ilvl w:val="0"/>
          <w:numId w:val="0"/>
        </w:numPr>
        <w:ind w:leftChars="0"/>
        <w:jc w:val="left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b/>
          <w:bCs/>
          <w:sz w:val="36"/>
          <w:szCs w:val="28"/>
        </w:rPr>
        <w:br w:type="page"/>
      </w:r>
      <w:r>
        <w:pict>
          <v:rect id="_x0000_s2069" o:spid="_x0000_s2069" o:spt="1" style="position:absolute;left:0pt;margin-left:278.6pt;margin-top:8.6pt;height:27.95pt;width:92.75pt;z-index:251664384;mso-width-relative:page;mso-height-relative:page;" filled="f" stroked="t" coordsize="21600,21600">
            <v:path/>
            <v:fill on="f" focussize="0,0"/>
            <v:stroke weight="4.5pt" color="#FF0000"/>
            <v:imagedata o:title=""/>
            <o:lock v:ext="edit"/>
          </v:rect>
        </w:pict>
      </w:r>
      <w:r>
        <w:pict>
          <v:rect id="_x0000_s2070" o:spid="_x0000_s2070" o:spt="1" style="position:absolute;left:0pt;margin-left:109.85pt;margin-top:6.85pt;height:27.95pt;width:96.75pt;z-index:251663360;mso-width-relative:page;mso-height-relative:page;" filled="f" stroked="t" coordsize="21600,21600">
            <v:path/>
            <v:fill on="f" focussize="0,0"/>
            <v:stroke weight="4.5pt" color="#FF0000"/>
            <v:imagedata o:title=""/>
            <o:lock v:ext="edit"/>
          </v:rect>
        </w:pict>
      </w:r>
      <w:r>
        <w:rPr>
          <w:rFonts w:hint="eastAsia" w:ascii="楷体" w:hAnsi="楷体" w:eastAsia="楷体"/>
          <w:sz w:val="36"/>
          <w:szCs w:val="36"/>
        </w:rPr>
        <w:t>点击工具栏里</w:t>
      </w:r>
      <w:r>
        <w:rPr>
          <w:rFonts w:ascii="楷体" w:hAnsi="楷体" w:eastAsia="楷体" w:cs="宋体"/>
          <w:sz w:val="36"/>
          <w:szCs w:val="36"/>
        </w:rPr>
        <w:fldChar w:fldCharType="begin"/>
      </w:r>
      <w:r>
        <w:rPr>
          <w:rFonts w:ascii="楷体" w:hAnsi="楷体" w:eastAsia="楷体" w:cs="宋体"/>
          <w:sz w:val="36"/>
          <w:szCs w:val="36"/>
        </w:rPr>
        <w:instrText xml:space="preserve">INCLUDEPICTURE \d "http://www.gfxa.com/upload/image/20160118/6358873654170506849443357.png" \* MERGEFORMATINET </w:instrText>
      </w:r>
      <w:r>
        <w:rPr>
          <w:rFonts w:ascii="楷体" w:hAnsi="楷体" w:eastAsia="楷体" w:cs="宋体"/>
          <w:sz w:val="36"/>
          <w:szCs w:val="36"/>
        </w:rPr>
        <w:fldChar w:fldCharType="separate"/>
      </w:r>
      <w:r>
        <w:drawing>
          <wp:inline distT="0" distB="0" distL="114300" distR="114300">
            <wp:extent cx="1224280" cy="376555"/>
            <wp:effectExtent l="0" t="0" r="13970" b="4445"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809" cy="3799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hAnsi="楷体" w:eastAsia="楷体" w:cs="宋体"/>
          <w:sz w:val="36"/>
          <w:szCs w:val="36"/>
        </w:rPr>
        <w:fldChar w:fldCharType="end"/>
      </w:r>
      <w:r>
        <w:rPr>
          <w:rFonts w:hint="eastAsia" w:ascii="楷体" w:hAnsi="楷体" w:eastAsia="楷体" w:cs="宋体"/>
          <w:sz w:val="36"/>
          <w:szCs w:val="36"/>
        </w:rPr>
        <w:t>，</w:t>
      </w:r>
      <w:r>
        <w:rPr>
          <w:rFonts w:hint="eastAsia" w:ascii="楷体" w:hAnsi="楷体" w:eastAsia="楷体"/>
          <w:sz w:val="36"/>
          <w:szCs w:val="36"/>
        </w:rPr>
        <w:t>后变为</w:t>
      </w:r>
      <w:r>
        <w:drawing>
          <wp:inline distT="0" distB="0" distL="114300" distR="114300">
            <wp:extent cx="1190625" cy="325755"/>
            <wp:effectExtent l="0" t="0" r="9525" b="17145"/>
            <wp:docPr id="9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7145" cy="3385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hAnsi="楷体" w:eastAsia="楷体" w:cs="宋体"/>
          <w:sz w:val="36"/>
          <w:szCs w:val="36"/>
        </w:rPr>
        <w:fldChar w:fldCharType="begin"/>
      </w:r>
      <w:r>
        <w:rPr>
          <w:rFonts w:ascii="楷体" w:hAnsi="楷体" w:eastAsia="楷体" w:cs="宋体"/>
          <w:sz w:val="36"/>
          <w:szCs w:val="36"/>
        </w:rPr>
        <w:instrText xml:space="preserve">INCLUDEPICTURE \d "http://www.gfxa.com/upload/image/20160118/6358873655339769185705180.png" \* MERGEFORMATINET </w:instrText>
      </w:r>
      <w:r>
        <w:rPr>
          <w:rFonts w:ascii="楷体" w:hAnsi="楷体" w:eastAsia="楷体" w:cs="宋体"/>
          <w:sz w:val="36"/>
          <w:szCs w:val="36"/>
        </w:rPr>
        <w:fldChar w:fldCharType="end"/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该步骤是允许--程序中与交易有关的操作的执行，不激活就是不允许</w:t>
      </w:r>
      <w:r>
        <w:rPr>
          <w:rFonts w:hint="eastAsia" w:ascii="楷体" w:hAnsi="楷体" w:eastAsia="楷体"/>
          <w:sz w:val="36"/>
          <w:szCs w:val="36"/>
        </w:rPr>
        <w:tab/>
      </w:r>
    </w:p>
    <w:p>
      <w:pPr>
        <w:rPr>
          <w:rFonts w:ascii="楷体" w:hAnsi="楷体" w:eastAsia="楷体"/>
          <w:sz w:val="36"/>
          <w:szCs w:val="36"/>
        </w:rPr>
      </w:pP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b/>
          <w:color w:val="FF0000"/>
          <w:sz w:val="36"/>
          <w:szCs w:val="36"/>
        </w:rPr>
      </w:pPr>
      <w:r>
        <w:rPr>
          <w:rFonts w:hint="eastAsia" w:ascii="楷体" w:hAnsi="楷体" w:eastAsia="楷体"/>
          <w:b/>
          <w:color w:val="FF0000"/>
          <w:sz w:val="36"/>
          <w:szCs w:val="36"/>
        </w:rPr>
        <w:t>此步骤一定要在加载EA前使用，可一步装载成功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ascii="楷体" w:hAnsi="楷体" w:eastAsia="楷体"/>
          <w:sz w:val="36"/>
          <w:szCs w:val="28"/>
        </w:rPr>
        <w:br w:type="page"/>
      </w:r>
      <w:r>
        <w:drawing>
          <wp:inline distT="0" distB="0" distL="114300" distR="114300">
            <wp:extent cx="5268595" cy="2101850"/>
            <wp:effectExtent l="0" t="0" r="8255" b="1270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pict>
          <v:rect id="_x0000_s2071" o:spid="_x0000_s2071" o:spt="1" style="position:absolute;left:0pt;margin-left:6.75pt;margin-top:47.3pt;height:30.1pt;width:142.3pt;z-index:251665408;mso-width-relative:page;mso-height-relative:page;" filled="f" stroked="t" coordsize="21600,21600">
            <v:path/>
            <v:fill on="f" focussize="0,0"/>
            <v:stroke weight="4.5pt" color="#FF0000"/>
            <v:imagedata o:title=""/>
            <o:lock v:ext="edit"/>
          </v:rect>
        </w:pict>
      </w:r>
      <w:r>
        <w:drawing>
          <wp:inline distT="0" distB="0" distL="114300" distR="114300">
            <wp:extent cx="2019300" cy="1188085"/>
            <wp:effectExtent l="0" t="0" r="0" b="1206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203" cy="11912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  <w:b/>
          <w:bCs/>
          <w:sz w:val="36"/>
          <w:szCs w:val="28"/>
        </w:rPr>
      </w:pP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打开选中需要加载该EA的指定的图表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b/>
          <w:sz w:val="36"/>
          <w:szCs w:val="28"/>
        </w:rPr>
      </w:pPr>
      <w:r>
        <w:rPr>
          <w:rFonts w:hint="eastAsia" w:ascii="楷体" w:hAnsi="楷体" w:eastAsia="楷体"/>
          <w:b/>
          <w:sz w:val="36"/>
          <w:szCs w:val="28"/>
        </w:rPr>
        <w:t>时间框架（30分、4小时等）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b/>
          <w:sz w:val="36"/>
          <w:szCs w:val="28"/>
        </w:rPr>
      </w:pPr>
      <w:r>
        <w:rPr>
          <w:rFonts w:hint="eastAsia" w:ascii="楷体" w:hAnsi="楷体" w:eastAsia="楷体"/>
          <w:b/>
          <w:sz w:val="36"/>
          <w:szCs w:val="28"/>
        </w:rPr>
        <w:t>品种(欧元兑美元，黄金兑美元等）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美元兑加元货币对 4小时图（见上图）</w:t>
      </w:r>
      <w:r>
        <w:rPr>
          <w:rFonts w:ascii="楷体" w:hAnsi="楷体" w:eastAsia="楷体"/>
          <w:sz w:val="36"/>
          <w:szCs w:val="28"/>
        </w:rPr>
        <w:br w:type="page"/>
      </w:r>
      <w:r>
        <w:rPr>
          <w:rFonts w:hint="eastAsia" w:ascii="楷体" w:hAnsi="楷体" w:eastAsia="楷体"/>
          <w:sz w:val="36"/>
          <w:szCs w:val="28"/>
        </w:rPr>
        <w:t>6.双击或者拖动需要使用的EA至该图表，填写参数：以MT4自带的Moving Average移动平均线EA为例给做示范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pict>
          <v:rect id="_x0000_s2072" o:spid="_x0000_s2072" o:spt="1" style="position:absolute;left:0pt;margin-left:328.05pt;margin-top:144.95pt;height:19.35pt;width:69.95pt;z-index:251659264;mso-width-relative:page;mso-height-relative:page;" filled="f" stroked="t" coordsize="21600,21600">
            <v:path/>
            <v:fill on="f" focussize="0,0"/>
            <v:stroke weight="4.5pt" color="#FF0000"/>
            <v:imagedata o:title=""/>
            <o:lock v:ext="edit"/>
          </v:rect>
        </w:pict>
      </w:r>
      <w:r>
        <w:pict>
          <v:rect id="_x0000_s2073" o:spid="_x0000_s2073" o:spt="1" style="position:absolute;left:0pt;margin-left:328.05pt;margin-top:125.6pt;height:19.35pt;width:69.95pt;z-index:251658240;mso-width-relative:page;mso-height-relative:page;" filled="f" stroked="t" coordsize="21600,21600">
            <v:path/>
            <v:fill on="f" focussize="0,0"/>
            <v:stroke weight="4.5pt" color="#FF0000"/>
            <v:imagedata o:title=""/>
            <o:lock v:ext="edit"/>
          </v:rect>
        </w:pict>
      </w:r>
      <w:r>
        <w:drawing>
          <wp:inline distT="0" distB="0" distL="114300" distR="114300">
            <wp:extent cx="5270500" cy="2494280"/>
            <wp:effectExtent l="0" t="0" r="6350" b="127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弹出对话框，里面可以调整EA的参数，</w:t>
      </w:r>
      <w:r>
        <w:rPr>
          <w:rFonts w:hint="eastAsia"/>
        </w:rPr>
        <w:drawing>
          <wp:inline distT="0" distB="0" distL="0" distR="0">
            <wp:extent cx="5892165" cy="1423035"/>
            <wp:effectExtent l="0" t="0" r="13335" b="571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714" cy="143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color w:val="FF0000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设置好参数后点击</w:t>
      </w:r>
      <w:r>
        <w:rPr>
          <w:rFonts w:hint="eastAsia" w:ascii="楷体" w:hAnsi="楷体" w:eastAsia="楷体"/>
          <w:color w:val="FF0000"/>
          <w:sz w:val="36"/>
          <w:szCs w:val="28"/>
        </w:rPr>
        <w:t>保存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/>
        </w:rPr>
        <w:drawing>
          <wp:inline distT="0" distB="0" distL="0" distR="0">
            <wp:extent cx="6033770" cy="1064260"/>
            <wp:effectExtent l="0" t="0" r="5080" b="254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1394" cy="107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再加载该EA时可以加载之前保存过的参数的.set文件减少操作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完成后点确定</w:t>
      </w:r>
      <w:r>
        <w:rPr>
          <w:rFonts w:ascii="楷体" w:hAnsi="楷体" w:eastAsia="楷体"/>
          <w:sz w:val="36"/>
          <w:szCs w:val="28"/>
        </w:rPr>
        <w:br w:type="page"/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8.检测是否加载完成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pict>
          <v:rect id="_x0000_s2074" o:spid="_x0000_s2074" o:spt="1" style="position:absolute;left:0pt;margin-left:-0.4pt;margin-top:2.1pt;height:41.9pt;width:191.95pt;z-index:251666432;mso-width-relative:page;mso-height-relative:page;" filled="f" stroked="t" coordsize="21600,21600">
            <v:path/>
            <v:fill on="f" focussize="0,0"/>
            <v:stroke weight="4.5pt" color="#FF0000"/>
            <v:imagedata o:title=""/>
            <o:lock v:ext="edit"/>
          </v:rect>
        </w:pict>
      </w:r>
      <w:r>
        <w:drawing>
          <wp:inline distT="0" distB="0" distL="114300" distR="114300">
            <wp:extent cx="2436495" cy="736600"/>
            <wp:effectExtent l="0" t="0" r="1905" b="635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9221" cy="7437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/>
          <w:sz w:val="36"/>
          <w:szCs w:val="28"/>
        </w:rPr>
        <w:tab/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交易图表右上角</w:t>
      </w:r>
      <w:r>
        <w:rPr>
          <w:rFonts w:hint="eastAsia" w:ascii="楷体" w:hAnsi="楷体" w:eastAsia="楷体"/>
          <w:sz w:val="36"/>
          <w:szCs w:val="28"/>
        </w:rPr>
        <w:tab/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如果是</w:t>
      </w:r>
      <w:r>
        <w:rPr>
          <w:rFonts w:hint="eastAsia" w:ascii="楷体" w:hAnsi="楷体" w:eastAsia="楷体"/>
          <w:color w:val="FF0000"/>
          <w:sz w:val="36"/>
          <w:szCs w:val="28"/>
        </w:rPr>
        <w:t>笑脸</w:t>
      </w:r>
      <w:r>
        <w:rPr>
          <w:rFonts w:hint="eastAsia" w:ascii="楷体" w:hAnsi="楷体" w:eastAsia="楷体"/>
          <w:sz w:val="36"/>
          <w:szCs w:val="28"/>
        </w:rPr>
        <w:t>代表程序开始执行，并且允许交易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如果是哭脸代表程序开始执行，但不允许交易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什么都没有，程序装载失败</w:t>
      </w:r>
      <w:r>
        <w:rPr>
          <w:rFonts w:hint="eastAsia" w:ascii="楷体" w:hAnsi="楷体" w:eastAsia="楷体"/>
          <w:sz w:val="36"/>
          <w:szCs w:val="28"/>
        </w:rPr>
        <w:tab/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pict>
          <v:rect id="_x0000_s2075" o:spid="_x0000_s2075" o:spt="1" style="position:absolute;left:0pt;margin-left:347.35pt;margin-top:98.6pt;height:21.5pt;width:25.8pt;z-index:251667456;mso-width-relative:page;mso-height-relative:page;" filled="f" stroked="t" coordsize="21600,21600">
            <v:path/>
            <v:fill on="f" focussize="0,0"/>
            <v:stroke weight="4.5pt" color="#FF0000"/>
            <v:imagedata o:title=""/>
            <o:lock v:ext="edit"/>
          </v:rect>
        </w:pict>
      </w:r>
      <w:r>
        <w:drawing>
          <wp:inline distT="0" distB="0" distL="114300" distR="114300">
            <wp:extent cx="5269230" cy="1558290"/>
            <wp:effectExtent l="0" t="0" r="7620" b="381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终端EA栏里，EA成功装载和初始化的显示，检查一下是否有什么提示</w:t>
      </w:r>
    </w:p>
    <w:p>
      <w:pPr>
        <w:rPr>
          <w:rFonts w:ascii="楷体" w:hAnsi="楷体" w:eastAsia="楷体"/>
          <w:sz w:val="36"/>
          <w:szCs w:val="28"/>
        </w:rPr>
      </w:pP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b/>
          <w:bCs/>
          <w:color w:val="FF0000"/>
          <w:sz w:val="36"/>
          <w:szCs w:val="28"/>
        </w:rPr>
      </w:pPr>
      <w:r>
        <w:rPr>
          <w:rFonts w:hint="eastAsia" w:ascii="楷体" w:hAnsi="楷体" w:eastAsia="楷体"/>
          <w:b/>
          <w:bCs/>
          <w:color w:val="FF0000"/>
          <w:sz w:val="36"/>
          <w:szCs w:val="28"/>
        </w:rPr>
        <w:t>加载成功之后请不要随意切换图表时间周期，与EA里的代码设置相关，可能会直接更改该EA的指定的周期！（已在代码中做了处理，可以加载任意时间周期，但仍然不推荐切换周期。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b/>
          <w:bCs/>
          <w:color w:val="FF0000"/>
          <w:sz w:val="36"/>
          <w:szCs w:val="28"/>
        </w:rPr>
      </w:pPr>
      <w:r>
        <w:rPr>
          <w:rFonts w:hint="eastAsia" w:ascii="楷体" w:hAnsi="楷体" w:eastAsia="楷体"/>
          <w:b/>
          <w:bCs/>
          <w:color w:val="FF0000"/>
          <w:sz w:val="36"/>
          <w:szCs w:val="28"/>
        </w:rPr>
        <w:t>因为当出信号的时候，切换时间周期、重启MT4或重新装载EA都会触发一次下单指令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40"/>
          <w:szCs w:val="30"/>
        </w:rPr>
      </w:pPr>
      <w:r>
        <w:pict>
          <v:rect id="_x0000_s2076" o:spid="_x0000_s2076" o:spt="1" style="position:absolute;left:0pt;margin-left:146.4pt;margin-top:115.05pt;height:12.8pt;width:49.45pt;z-index:251668480;mso-width-relative:page;mso-height-relative:page;" filled="f" stroked="t" coordsize="21600,21600">
            <v:path/>
            <v:fill on="f" focussize="0,0"/>
            <v:stroke weight="3pt" color="#FF0000"/>
            <v:imagedata o:title=""/>
            <o:lock v:ext="edit"/>
          </v:rect>
        </w:pict>
      </w:r>
      <w:r>
        <w:drawing>
          <wp:inline distT="0" distB="0" distL="114300" distR="114300">
            <wp:extent cx="5840730" cy="4680585"/>
            <wp:effectExtent l="0" t="0" r="7620" b="5715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1791" cy="46896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9.卸载方法：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图表右键EA交易系统-删除</w:t>
      </w: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/>
          <w:sz w:val="36"/>
          <w:szCs w:val="28"/>
        </w:rPr>
      </w:pPr>
      <w:r>
        <w:rPr>
          <w:rFonts w:hint="eastAsia" w:ascii="楷体" w:hAnsi="楷体" w:eastAsia="楷体"/>
          <w:sz w:val="36"/>
          <w:szCs w:val="28"/>
        </w:rPr>
        <w:t>笑脸消失，程序卸载成功</w:t>
      </w:r>
      <w:r>
        <w:rPr>
          <w:rFonts w:hint="eastAsia" w:ascii="楷体" w:hAnsi="楷体" w:eastAsia="楷体"/>
          <w:sz w:val="36"/>
          <w:szCs w:val="28"/>
        </w:rPr>
        <w:tab/>
      </w:r>
    </w:p>
    <w:p>
      <w:pPr>
        <w:rPr>
          <w:rFonts w:ascii="楷体" w:hAnsi="楷体" w:eastAsia="楷体"/>
          <w:sz w:val="40"/>
          <w:szCs w:val="30"/>
        </w:rPr>
      </w:pPr>
    </w:p>
    <w:p>
      <w:pPr>
        <w:pStyle w:val="23"/>
        <w:ind w:firstLine="0" w:firstLineChars="0"/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pStyle w:val="24"/>
        <w:numPr>
          <w:ilvl w:val="0"/>
          <w:numId w:val="0"/>
        </w:numPr>
        <w:ind w:leftChars="0"/>
        <w:rPr>
          <w:rFonts w:ascii="楷体" w:hAnsi="楷体" w:eastAsia="楷体" w:cs="楷体"/>
          <w:sz w:val="36"/>
          <w:szCs w:val="36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7077" o:spid="_x0000_s1036" o:spt="136" type="#_x0000_t136" style="position:absolute;left:0pt;height:50.95pt;width:536.3pt;mso-position-horizontal:center;mso-position-horizontal-relative:margin;mso-position-vertical:center;mso-position-vertical-relative:margin;rotation:-2949120f;z-index:-251653120;mso-width-relative:page;mso-height-relative:page;" fillcolor="#C55A11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搜索公众号&quot;光莺资本&quot;专用" style="font-family:楷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8411051" o:spid="_x0000_s1026" o:spt="136" type="#_x0000_t136" style="position:absolute;left:0pt;height:73.15pt;width:512.25pt;mso-position-horizontal:center;mso-position-horizontal-relative:margin;mso-position-vertical:center;mso-position-vertical-relative:margin;rotation:20643840f;z-index:-251654144;mso-width-relative:page;mso-height-relative:page;" fillcolor="#C45911 [2405]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Sunyourway专用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8411050" o:spid="_x0000_s1025" o:spt="136" type="#_x0000_t136" style="position:absolute;left:0pt;height:73.15pt;width:512.25pt;mso-position-horizontal:center;mso-position-horizontal-relative:margin;mso-position-vertical:center;mso-position-vertical-relative:margin;rotation:20643840f;z-index:-251656192;mso-width-relative:page;mso-height-relative:page;" fillcolor="#C45911 [2405]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Sunyourway专用" style="font-family:楷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dit="forms" w:enforcement="1" w:cryptProviderType="rsaFull" w:cryptAlgorithmClass="hash" w:cryptAlgorithmType="typeAny" w:cryptAlgorithmSid="4" w:cryptSpinCount="0" w:hash="4PHyYCkRkn7piNjn4VKMT7S3/0k=" w:salt="DWSIBTQcjVZf5DNYm6M4dQ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F0691"/>
    <w:rsid w:val="000178AF"/>
    <w:rsid w:val="00031E1B"/>
    <w:rsid w:val="0012378A"/>
    <w:rsid w:val="00123B2E"/>
    <w:rsid w:val="00134719"/>
    <w:rsid w:val="0014303C"/>
    <w:rsid w:val="001A58AA"/>
    <w:rsid w:val="001B2448"/>
    <w:rsid w:val="00254756"/>
    <w:rsid w:val="00257704"/>
    <w:rsid w:val="0027750D"/>
    <w:rsid w:val="00360FAC"/>
    <w:rsid w:val="00382185"/>
    <w:rsid w:val="003E142E"/>
    <w:rsid w:val="00400288"/>
    <w:rsid w:val="0040360A"/>
    <w:rsid w:val="004110E8"/>
    <w:rsid w:val="0044071F"/>
    <w:rsid w:val="004C1A87"/>
    <w:rsid w:val="004E13CF"/>
    <w:rsid w:val="0051419B"/>
    <w:rsid w:val="00520038"/>
    <w:rsid w:val="00522A51"/>
    <w:rsid w:val="0056054E"/>
    <w:rsid w:val="00597663"/>
    <w:rsid w:val="005A6B7D"/>
    <w:rsid w:val="005D3F43"/>
    <w:rsid w:val="0065647A"/>
    <w:rsid w:val="006845D6"/>
    <w:rsid w:val="00684601"/>
    <w:rsid w:val="006C3967"/>
    <w:rsid w:val="006F3600"/>
    <w:rsid w:val="00731D99"/>
    <w:rsid w:val="00774B1C"/>
    <w:rsid w:val="00776DC3"/>
    <w:rsid w:val="00781D5A"/>
    <w:rsid w:val="007A6948"/>
    <w:rsid w:val="007B38BD"/>
    <w:rsid w:val="007C6C6C"/>
    <w:rsid w:val="007D3880"/>
    <w:rsid w:val="007F40C1"/>
    <w:rsid w:val="00820D15"/>
    <w:rsid w:val="00893757"/>
    <w:rsid w:val="00A403C8"/>
    <w:rsid w:val="00AF0691"/>
    <w:rsid w:val="00B15F00"/>
    <w:rsid w:val="00B55D2D"/>
    <w:rsid w:val="00B7759B"/>
    <w:rsid w:val="00BE7C1E"/>
    <w:rsid w:val="00C15866"/>
    <w:rsid w:val="00C17389"/>
    <w:rsid w:val="00C24EF3"/>
    <w:rsid w:val="00C52EBA"/>
    <w:rsid w:val="00C864E2"/>
    <w:rsid w:val="00C92A49"/>
    <w:rsid w:val="00CF48BB"/>
    <w:rsid w:val="00D24CCF"/>
    <w:rsid w:val="00D431A9"/>
    <w:rsid w:val="00D67300"/>
    <w:rsid w:val="00DA341F"/>
    <w:rsid w:val="00DA4E88"/>
    <w:rsid w:val="00DA7401"/>
    <w:rsid w:val="00DC2302"/>
    <w:rsid w:val="00DD4AEA"/>
    <w:rsid w:val="00DF6D7E"/>
    <w:rsid w:val="00E44BEC"/>
    <w:rsid w:val="00E7336B"/>
    <w:rsid w:val="00E81589"/>
    <w:rsid w:val="00E87F6B"/>
    <w:rsid w:val="00E95C0D"/>
    <w:rsid w:val="00F60CA5"/>
    <w:rsid w:val="00F76A4A"/>
    <w:rsid w:val="03D144CA"/>
    <w:rsid w:val="09D269F0"/>
    <w:rsid w:val="0A0B771F"/>
    <w:rsid w:val="0C105F86"/>
    <w:rsid w:val="0E4C76C3"/>
    <w:rsid w:val="13153F87"/>
    <w:rsid w:val="13C149D0"/>
    <w:rsid w:val="1EE003AB"/>
    <w:rsid w:val="23A61B5E"/>
    <w:rsid w:val="266219F4"/>
    <w:rsid w:val="269B6AA6"/>
    <w:rsid w:val="26AB504D"/>
    <w:rsid w:val="26CD7A6E"/>
    <w:rsid w:val="26CE42F7"/>
    <w:rsid w:val="28E1284F"/>
    <w:rsid w:val="29C20CBA"/>
    <w:rsid w:val="33476007"/>
    <w:rsid w:val="363C58FE"/>
    <w:rsid w:val="381C48E5"/>
    <w:rsid w:val="3D0A417E"/>
    <w:rsid w:val="3E654BA9"/>
    <w:rsid w:val="41865EA5"/>
    <w:rsid w:val="44F40709"/>
    <w:rsid w:val="453D1B33"/>
    <w:rsid w:val="469A2C40"/>
    <w:rsid w:val="48E52164"/>
    <w:rsid w:val="49BD345D"/>
    <w:rsid w:val="4B1246B6"/>
    <w:rsid w:val="4D2B7E04"/>
    <w:rsid w:val="4D80291B"/>
    <w:rsid w:val="54F240DD"/>
    <w:rsid w:val="55533B23"/>
    <w:rsid w:val="572A397E"/>
    <w:rsid w:val="58A32EAF"/>
    <w:rsid w:val="61AE7F0E"/>
    <w:rsid w:val="63640039"/>
    <w:rsid w:val="63FD10DF"/>
    <w:rsid w:val="654A2825"/>
    <w:rsid w:val="65DC60F1"/>
    <w:rsid w:val="6AC828C4"/>
    <w:rsid w:val="6C121B32"/>
    <w:rsid w:val="739F7A1C"/>
    <w:rsid w:val="7A013269"/>
    <w:rsid w:val="7C4A2693"/>
    <w:rsid w:val="7EBC12E2"/>
    <w:rsid w:val="7FA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0"/>
    <w:qFormat/>
    <w:uiPriority w:val="0"/>
    <w:rPr>
      <w:b/>
      <w:bCs/>
    </w:rPr>
  </w:style>
  <w:style w:type="paragraph" w:styleId="3">
    <w:name w:val="annotation text"/>
    <w:basedOn w:val="1"/>
    <w:link w:val="19"/>
    <w:qFormat/>
    <w:uiPriority w:val="0"/>
    <w:pPr>
      <w:jc w:val="left"/>
    </w:pPr>
  </w:style>
  <w:style w:type="paragraph" w:styleId="4">
    <w:name w:val="Balloon Text"/>
    <w:basedOn w:val="1"/>
    <w:link w:val="21"/>
    <w:qFormat/>
    <w:uiPriority w:val="0"/>
    <w:rPr>
      <w:sz w:val="18"/>
      <w:szCs w:val="18"/>
    </w:rPr>
  </w:style>
  <w:style w:type="paragraph" w:styleId="5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8"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annotation reference"/>
    <w:basedOn w:val="8"/>
    <w:qFormat/>
    <w:uiPriority w:val="0"/>
    <w:rPr>
      <w:sz w:val="21"/>
      <w:szCs w:val="21"/>
    </w:rPr>
  </w:style>
  <w:style w:type="character" w:styleId="10">
    <w:name w:val="footnote reference"/>
    <w:basedOn w:val="8"/>
    <w:qFormat/>
    <w:uiPriority w:val="0"/>
    <w:rPr>
      <w:vertAlign w:val="superscript"/>
    </w:rPr>
  </w:style>
  <w:style w:type="table" w:styleId="12">
    <w:name w:val="Table Grid"/>
    <w:basedOn w:val="11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font41"/>
    <w:basedOn w:val="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4">
    <w:name w:val="font11"/>
    <w:basedOn w:val="8"/>
    <w:qFormat/>
    <w:uiPriority w:val="0"/>
    <w:rPr>
      <w:rFonts w:hint="eastAsia" w:ascii="宋体" w:hAnsi="宋体" w:eastAsia="宋体" w:cs="宋体"/>
      <w:b/>
      <w:color w:val="FF0000"/>
      <w:sz w:val="22"/>
      <w:szCs w:val="22"/>
      <w:u w:val="none"/>
    </w:rPr>
  </w:style>
  <w:style w:type="character" w:customStyle="1" w:styleId="15">
    <w:name w:val="font21"/>
    <w:basedOn w:val="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6">
    <w:name w:val="页眉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脚注文本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批注文字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0">
    <w:name w:val="批注主题 Char"/>
    <w:basedOn w:val="19"/>
    <w:link w:val="2"/>
    <w:qFormat/>
    <w:uiPriority w:val="0"/>
    <w:rPr>
      <w:b/>
      <w:bCs/>
    </w:rPr>
  </w:style>
  <w:style w:type="character" w:customStyle="1" w:styleId="21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2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23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26"/>
    <customShpInfo spid="_x0000_s102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BFAE90-39E3-4A22-8FB6-227F0D6EA6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523</Words>
  <Characters>2987</Characters>
  <Lines>24</Lines>
  <Paragraphs>7</Paragraphs>
  <ScaleCrop>false</ScaleCrop>
  <LinksUpToDate>false</LinksUpToDate>
  <CharactersWithSpaces>3503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Sunyourway</cp:lastModifiedBy>
  <dcterms:modified xsi:type="dcterms:W3CDTF">2017-07-15T04:13:10Z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