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089"/>
          <w:sz w:val="24"/>
        </w:rPr>
        <w:t>AYUNTAMIENTO DE ELCHE</w:t>
      </w:r>
    </w:p>
    <w:p/>
    <w:p>
      <w:pPr>
        <w:jc w:val="center"/>
      </w:pPr>
      <w:r>
        <w:rPr>
          <w:b/>
          <w:color w:val="0B101D"/>
          <w:sz w:val="48"/>
        </w:rPr>
        <w:t>Guía rápida de operación HET-CD</w:t>
      </w:r>
    </w:p>
    <w:p>
      <w:pPr>
        <w:jc w:val="center"/>
      </w:pPr>
      <w:r>
        <w:rPr>
          <w:color w:val="006089"/>
          <w:sz w:val="26"/>
        </w:rPr>
        <w:t>Instrucciones básicas para utilizar la aplicación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1F3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jc w:val="center"/>
            </w:pPr>
            <w:r>
              <w:rPr>
                <w:sz w:val="18"/>
              </w:rPr>
              <w:t>Documento operativo para el uso de la Herramienta de Evaluación Técnica del Complemento de Destino (HET-CD).</w:t>
              <w:br/>
              <w:t>Versión de referencia: app HET-CD 1.0.0 / modelo de datos HET-CD v1.8.</w:t>
              <w:br/>
              <w:t>Fecha de elaboración: 06/05/2026</w:t>
            </w:r>
          </w:p>
        </w:tc>
      </w:tr>
    </w:tbl>
    <w:p>
      <w:r>
        <w:br w:type="page"/>
      </w:r>
    </w:p>
    <w:p>
      <w:pPr>
        <w:pStyle w:val="Heading1"/>
      </w:pPr>
      <w:r>
        <w:t>1. Antes de empezar</w:t>
      </w:r>
    </w:p>
    <w:p>
      <w:pPr>
        <w:pStyle w:val="ListBullet"/>
      </w:pPr>
      <w:r>
        <w:t>Tener disponible el archivo Excel actualizado de datos HET-CD.</w:t>
      </w:r>
    </w:p>
    <w:p>
      <w:pPr>
        <w:pStyle w:val="ListBullet"/>
      </w:pPr>
      <w:r>
        <w:t>Comprobar que se trabaja sobre puestos tipo, no sobre personas.</w:t>
      </w:r>
    </w:p>
    <w:p>
      <w:pPr>
        <w:pStyle w:val="ListBullet"/>
      </w:pPr>
      <w:r>
        <w:t>Usar siempre los criterios desplegables antes de valorar factores CD.</w:t>
      </w:r>
    </w:p>
    <w:p>
      <w:pPr>
        <w:pStyle w:val="ListBullet"/>
      </w:pPr>
      <w:r>
        <w:t>Recordar que la herramienta recomienda; no decide por sí sola.</w:t>
      </w:r>
    </w:p>
    <w:p>
      <w:pPr>
        <w:pStyle w:val="Heading1"/>
      </w:pPr>
      <w:r>
        <w:t>2. Cargar datos</w:t>
      </w:r>
    </w:p>
    <w:p>
      <w:pPr>
        <w:pStyle w:val="ListNumber"/>
      </w:pPr>
      <w:r>
        <w:t>Abrir la app.</w:t>
      </w:r>
    </w:p>
    <w:p>
      <w:pPr>
        <w:pStyle w:val="ListNumber"/>
      </w:pPr>
      <w:r>
        <w:t>Cargar el archivo Excel HET-CD o usar el archivo base incluido.</w:t>
      </w:r>
    </w:p>
    <w:p>
      <w:pPr>
        <w:pStyle w:val="ListNumber"/>
      </w:pPr>
      <w:r>
        <w:t>Comprobar que la app reconoce patrones, puestos, criterios, rangos e importes.</w:t>
      </w:r>
    </w:p>
    <w:p>
      <w:pPr>
        <w:pStyle w:val="Heading1"/>
      </w:pPr>
      <w:r>
        <w:t>3. Evaluar un puesto individual</w:t>
      </w:r>
    </w:p>
    <w:p>
      <w:pPr>
        <w:pStyle w:val="ListNumber"/>
      </w:pPr>
      <w:r>
        <w:t>Ir al Evaluador HET-CD.</w:t>
      </w:r>
    </w:p>
    <w:p>
      <w:pPr>
        <w:pStyle w:val="ListNumber"/>
      </w:pPr>
      <w:r>
        <w:t>Seleccionar el puesto tipo o introducir datos del puesto.</w:t>
      </w:r>
    </w:p>
    <w:p>
      <w:pPr>
        <w:pStyle w:val="ListNumber"/>
      </w:pPr>
      <w:r>
        <w:t>Revisar CD vigente y grupo/subgrupo.</w:t>
      </w:r>
    </w:p>
    <w:p>
      <w:pPr>
        <w:pStyle w:val="ListNumber"/>
      </w:pPr>
      <w:r>
        <w:t>Consultar criterios de cada CDi_j antes de valorar.</w:t>
      </w:r>
    </w:p>
    <w:p>
      <w:pPr>
        <w:pStyle w:val="ListNumber"/>
      </w:pPr>
      <w:r>
        <w:t>Calcular y leer CD K1 técnico, CD final ajustado y recomendación.</w:t>
      </w:r>
    </w:p>
    <w:p>
      <w:pPr>
        <w:pStyle w:val="ListNumber"/>
      </w:pPr>
      <w:r>
        <w:t>Descargar el informe individual.</w:t>
      </w:r>
    </w:p>
    <w:p>
      <w:pPr>
        <w:pStyle w:val="Heading1"/>
      </w:pPr>
      <w:r>
        <w:t>4. Ejecutar análisis RPT completo</w:t>
      </w:r>
    </w:p>
    <w:p>
      <w:pPr>
        <w:pStyle w:val="ListNumber"/>
      </w:pPr>
      <w:r>
        <w:t>Ir al módulo Análisis RPT completo.</w:t>
      </w:r>
    </w:p>
    <w:p>
      <w:pPr>
        <w:pStyle w:val="ListNumber"/>
      </w:pPr>
      <w:r>
        <w:t>Ejecutar análisis sistemático.</w:t>
      </w:r>
    </w:p>
    <w:p>
      <w:pPr>
        <w:pStyle w:val="ListNumber"/>
      </w:pPr>
      <w:r>
        <w:t>Revisar la tabla de resultados.</w:t>
      </w:r>
    </w:p>
    <w:p>
      <w:pPr>
        <w:pStyle w:val="ListNumber"/>
      </w:pPr>
      <w:r>
        <w:t>Introducir dotaciones afectadas solo en puestos con incremento recomendado.</w:t>
      </w:r>
    </w:p>
    <w:p>
      <w:pPr>
        <w:pStyle w:val="ListNumber"/>
      </w:pPr>
      <w:r>
        <w:t>Descargar informe global, Excel de resultados e informes individuales.</w:t>
      </w:r>
    </w:p>
    <w:p>
      <w:pPr>
        <w:pStyle w:val="Heading1"/>
      </w:pPr>
      <w:r>
        <w:t>5. Leer resultados sin perderse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EEF1F3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r>
              <w:rPr>
                <w:b/>
                <w:color w:val="0B101D"/>
                <w:sz w:val="17"/>
              </w:rPr>
              <w:t>Dato</w:t>
            </w:r>
          </w:p>
        </w:tc>
        <w:tc>
          <w:tcPr>
            <w:tcW w:type="dxa" w:w="7488"/>
            <w:shd w:fill="EEF1F3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r>
              <w:rPr>
                <w:b/>
                <w:color w:val="0B101D"/>
                <w:sz w:val="17"/>
              </w:rPr>
              <w:t>Cómo interpretarlo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CD K1 técnico</w:t>
            </w:r>
          </w:p>
        </w:tc>
        <w:tc>
          <w:tcPr>
            <w:tcW w:type="dxa" w:w="7488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Nivel del patrón activo más parecido.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CD final ajustado</w:t>
            </w:r>
          </w:p>
        </w:tc>
        <w:tc>
          <w:tcPr>
            <w:tcW w:type="dxa" w:w="7488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Resultado tras aplicar el rango legal del grupo/subgrupo.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Mantener</w:t>
            </w:r>
          </w:p>
        </w:tc>
        <w:tc>
          <w:tcPr>
            <w:tcW w:type="dxa" w:w="7488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No se aprecia necesidad técnica de modificar el CD.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Analizar al alza</w:t>
            </w:r>
          </w:p>
        </w:tc>
        <w:tc>
          <w:tcPr>
            <w:tcW w:type="dxa" w:w="7488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Hay indicios técnicos de revisión superior.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Revisión agrupada</w:t>
            </w:r>
          </w:p>
        </w:tc>
        <w:tc>
          <w:tcPr>
            <w:tcW w:type="dxa" w:w="7488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Conviene estudiar una familia de puestos, no solo uno.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Impacto unitario</w:t>
            </w:r>
          </w:p>
        </w:tc>
        <w:tc>
          <w:tcPr>
            <w:tcW w:type="dxa" w:w="7488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Coste anual por una dotación.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Impacto total</w:t>
            </w:r>
          </w:p>
        </w:tc>
        <w:tc>
          <w:tcPr>
            <w:tcW w:type="dxa" w:w="7488"/>
            <w:vAlign w:val="top"/>
            <w:tcBorders>
              <w:top w:val="single" w:sz="4" w:space="0" w:color="CFD6DC"/>
              <w:left w:val="single" w:sz="4" w:space="0" w:color="CFD6DC"/>
              <w:bottom w:val="single" w:sz="4" w:space="0" w:color="CFD6DC"/>
              <w:right w:val="single" w:sz="4" w:space="0" w:color="CFD6DC"/>
              <w:insideH w:val="single" w:sz="4" w:space="0" w:color="CFD6DC"/>
              <w:insideV w:val="single" w:sz="4" w:space="0" w:color="CFD6DC"/>
            </w:tcBorders>
          </w:tcPr>
          <w:p>
            <w:pPr>
              <w:spacing w:after="0"/>
            </w:pPr>
            <w:r>
              <w:rPr>
                <w:sz w:val="17"/>
              </w:rPr>
              <w:t>Impacto unitario multiplicado por dotaciones afectadas.</w:t>
            </w:r>
          </w:p>
        </w:tc>
      </w:tr>
    </w:tbl>
    <w:p>
      <w:pPr>
        <w:pStyle w:val="Heading1"/>
      </w:pPr>
      <w:r>
        <w:t>6. Reglas de prudencia</w:t>
      </w:r>
    </w:p>
    <w:p>
      <w:pPr>
        <w:pStyle w:val="ListBullet"/>
      </w:pPr>
      <w:r>
        <w:t>No valorar a la persona.</w:t>
      </w:r>
    </w:p>
    <w:p>
      <w:pPr>
        <w:pStyle w:val="ListBullet"/>
      </w:pPr>
      <w:r>
        <w:t>No usar N.A. como si fuera 0.</w:t>
      </w:r>
    </w:p>
    <w:p>
      <w:pPr>
        <w:pStyle w:val="ListBullet"/>
      </w:pPr>
      <w:r>
        <w:t>No interpretar K1 como decisión automática.</w:t>
      </w:r>
    </w:p>
    <w:p>
      <w:pPr>
        <w:pStyle w:val="ListBullet"/>
      </w:pPr>
      <w:r>
        <w:t>No proponer cambios aislados si hay familia funcional muy similar.</w:t>
      </w:r>
    </w:p>
    <w:p>
      <w:pPr>
        <w:pStyle w:val="ListBullet"/>
      </w:pPr>
      <w:r>
        <w:t>No tocar patrones activos sin dejar trazabilidad.</w:t>
      </w:r>
    </w:p>
    <w:p>
      <w:pPr>
        <w:pStyle w:val="ListBullet"/>
      </w:pPr>
      <w:r>
        <w:t>Introducir dotaciones para calcular impacto real.</w:t>
      </w:r>
    </w:p>
    <w:p>
      <w:pPr>
        <w:pStyle w:val="Heading1"/>
      </w:pPr>
      <w:r>
        <w:t>7. Despliegue rápido en Streamlit</w:t>
      </w:r>
    </w:p>
    <w:p>
      <w:pPr>
        <w:pStyle w:val="ListNumber"/>
      </w:pPr>
      <w:r>
        <w:t>Subir el paquete a un repositorio privado de GitHub.</w:t>
      </w:r>
    </w:p>
    <w:p>
      <w:pPr>
        <w:pStyle w:val="ListNumber"/>
      </w:pPr>
      <w:r>
        <w:t>Verificar que app.py y requirements.txt están en la raíz.</w:t>
      </w:r>
    </w:p>
    <w:p>
      <w:pPr>
        <w:pStyle w:val="ListNumber"/>
      </w:pPr>
      <w:r>
        <w:t>En Streamlit Community Cloud, crear app desde el repositorio.</w:t>
      </w:r>
    </w:p>
    <w:p>
      <w:pPr>
        <w:pStyle w:val="ListNumber"/>
      </w:pPr>
      <w:r>
        <w:t>Seleccionar app.py como archivo principal.</w:t>
      </w:r>
    </w:p>
    <w:p>
      <w:pPr>
        <w:pStyle w:val="ListNumber"/>
      </w:pPr>
      <w:r>
        <w:t>Revisar logs y probar carga de Excel, análisis e informes.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Manual técnico HET-CD · Ayuntamiento de Elche · versión operativa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F39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0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B1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