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A44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br/>
      </w:r>
    </w:p>
    <w:p w14:paraId="59900EA2" w14:textId="5CFB8290" w:rsidR="00103DD6" w:rsidRPr="00DE3F60" w:rsidRDefault="00A159F1" w:rsidP="00DE3F60">
      <w:pPr>
        <w:pStyle w:val="Ttulo"/>
        <w:spacing w:before="120" w:after="240"/>
        <w:contextualSpacing w:val="0"/>
        <w:jc w:val="center"/>
        <w:rPr>
          <w:rFonts w:cstheme="majorHAnsi"/>
          <w:lang w:val="es-ES"/>
        </w:rPr>
      </w:pPr>
      <w:r w:rsidRPr="00DE3F60">
        <w:rPr>
          <w:rFonts w:cstheme="majorHAnsi"/>
          <w:lang w:val="es-ES"/>
        </w:rPr>
        <w:t>GUÍA TÉCNICA</w:t>
      </w:r>
      <w:r w:rsidRPr="00DE3F60">
        <w:rPr>
          <w:rFonts w:cstheme="majorHAnsi"/>
          <w:lang w:val="es-ES"/>
        </w:rPr>
        <w:br/>
        <w:t>SOBRE LA METODOLOGÍA DE ANÁLISIS PARA LA REVISIÓN DEL NIVEL DE COMPLEMENTO DE DESTINO</w:t>
      </w:r>
    </w:p>
    <w:p w14:paraId="068E4AC6" w14:textId="77777777" w:rsidR="00103DD6" w:rsidRPr="00DE3F60" w:rsidRDefault="0020195E" w:rsidP="00DE3F60">
      <w:pPr>
        <w:spacing w:before="120" w:after="240" w:line="240" w:lineRule="auto"/>
        <w:jc w:val="center"/>
        <w:rPr>
          <w:rFonts w:asciiTheme="majorHAnsi" w:hAnsiTheme="majorHAnsi" w:cstheme="majorHAnsi"/>
          <w:lang w:val="es-ES"/>
        </w:rPr>
      </w:pPr>
      <w:r w:rsidRPr="00DE3F60">
        <w:rPr>
          <w:rFonts w:asciiTheme="majorHAnsi" w:hAnsiTheme="majorHAnsi" w:cstheme="majorHAnsi"/>
          <w:i/>
          <w:color w:val="595959"/>
          <w:sz w:val="24"/>
          <w:lang w:val="es-ES"/>
        </w:rPr>
        <w:t>Herramienta de evaluación técnica de puestos de trabajo</w:t>
      </w:r>
    </w:p>
    <w:p w14:paraId="1BD7535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br/>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73"/>
        <w:gridCol w:w="4873"/>
      </w:tblGrid>
      <w:tr w:rsidR="00103DD6" w:rsidRPr="00DE3F60" w14:paraId="6971A317" w14:textId="77777777">
        <w:trPr>
          <w:jc w:val="center"/>
        </w:trPr>
        <w:tc>
          <w:tcPr>
            <w:tcW w:w="4873" w:type="dxa"/>
            <w:shd w:val="clear" w:color="auto" w:fill="1F4E79"/>
            <w:vAlign w:val="center"/>
          </w:tcPr>
          <w:p w14:paraId="2EA4058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Versión</w:t>
            </w:r>
          </w:p>
        </w:tc>
        <w:tc>
          <w:tcPr>
            <w:tcW w:w="4873" w:type="dxa"/>
            <w:vAlign w:val="center"/>
          </w:tcPr>
          <w:p w14:paraId="65758B66" w14:textId="09F22C7C"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v0.</w:t>
            </w:r>
            <w:r w:rsidR="00A159F1" w:rsidRPr="00DE3F60">
              <w:rPr>
                <w:rFonts w:asciiTheme="majorHAnsi" w:hAnsiTheme="majorHAnsi" w:cstheme="majorHAnsi"/>
                <w:lang w:val="es-ES"/>
              </w:rPr>
              <w:t>1</w:t>
            </w:r>
          </w:p>
        </w:tc>
      </w:tr>
      <w:tr w:rsidR="00103DD6" w:rsidRPr="00DE3F60" w14:paraId="0C645052" w14:textId="77777777">
        <w:trPr>
          <w:jc w:val="center"/>
        </w:trPr>
        <w:tc>
          <w:tcPr>
            <w:tcW w:w="4873" w:type="dxa"/>
            <w:shd w:val="clear" w:color="auto" w:fill="1F4E79"/>
            <w:vAlign w:val="center"/>
          </w:tcPr>
          <w:p w14:paraId="478A9DC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Fecha</w:t>
            </w:r>
          </w:p>
        </w:tc>
        <w:tc>
          <w:tcPr>
            <w:tcW w:w="4873" w:type="dxa"/>
            <w:vAlign w:val="center"/>
          </w:tcPr>
          <w:p w14:paraId="2BD458ED"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9"/>
                <w:lang w:val="es-ES"/>
              </w:rPr>
              <w:t>Junio 2026</w:t>
            </w:r>
          </w:p>
        </w:tc>
      </w:tr>
      <w:tr w:rsidR="00103DD6" w:rsidRPr="00DE3F60" w14:paraId="14BAEA3C" w14:textId="77777777">
        <w:trPr>
          <w:jc w:val="center"/>
        </w:trPr>
        <w:tc>
          <w:tcPr>
            <w:tcW w:w="4873" w:type="dxa"/>
            <w:shd w:val="clear" w:color="auto" w:fill="1F4E79"/>
            <w:vAlign w:val="center"/>
          </w:tcPr>
          <w:p w14:paraId="7F6A138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Unidad promotora</w:t>
            </w:r>
          </w:p>
        </w:tc>
        <w:tc>
          <w:tcPr>
            <w:tcW w:w="4873" w:type="dxa"/>
            <w:vAlign w:val="center"/>
          </w:tcPr>
          <w:p w14:paraId="237D3084" w14:textId="380B4AB9"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9"/>
                <w:lang w:val="es-ES"/>
              </w:rPr>
              <w:t>Recursos Humanos</w:t>
            </w:r>
          </w:p>
        </w:tc>
      </w:tr>
      <w:tr w:rsidR="00103DD6" w:rsidRPr="00DE3F60" w14:paraId="44A6C181" w14:textId="77777777">
        <w:trPr>
          <w:jc w:val="center"/>
        </w:trPr>
        <w:tc>
          <w:tcPr>
            <w:tcW w:w="4873" w:type="dxa"/>
            <w:shd w:val="clear" w:color="auto" w:fill="1F4E79"/>
            <w:vAlign w:val="center"/>
          </w:tcPr>
          <w:p w14:paraId="61B8AEB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Objeto</w:t>
            </w:r>
          </w:p>
        </w:tc>
        <w:tc>
          <w:tcPr>
            <w:tcW w:w="4873" w:type="dxa"/>
            <w:vAlign w:val="center"/>
          </w:tcPr>
          <w:p w14:paraId="0512FDF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9"/>
                <w:lang w:val="es-ES"/>
              </w:rPr>
              <w:t>Descripción conceptual, operativa y técnico-matemática del modelo de análisis del complemento de destino</w:t>
            </w:r>
          </w:p>
        </w:tc>
      </w:tr>
    </w:tbl>
    <w:p w14:paraId="4C5A4F9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br/>
      </w:r>
    </w:p>
    <w:p w14:paraId="3FAC8356" w14:textId="77777777" w:rsidR="00103DD6" w:rsidRPr="00DE3F60" w:rsidRDefault="0020195E" w:rsidP="00DE3F60">
      <w:pPr>
        <w:pStyle w:val="Note"/>
        <w:spacing w:before="120" w:after="240" w:line="240" w:lineRule="auto"/>
        <w:jc w:val="both"/>
        <w:rPr>
          <w:rFonts w:asciiTheme="majorHAnsi" w:hAnsiTheme="majorHAnsi" w:cstheme="majorHAnsi"/>
          <w:color w:val="1F497D" w:themeColor="text2"/>
          <w:lang w:val="es-ES"/>
        </w:rPr>
      </w:pPr>
      <w:r w:rsidRPr="00DE3F60">
        <w:rPr>
          <w:rFonts w:asciiTheme="majorHAnsi" w:hAnsiTheme="majorHAnsi" w:cstheme="majorHAnsi"/>
          <w:b/>
          <w:color w:val="1F497D" w:themeColor="text2"/>
          <w:lang w:val="es-ES"/>
        </w:rPr>
        <w:t>Documento de trabajo técnico. La herramienta no adopta decisiones administrativas ni sustituye los informes jurídicos, económicos u organizativos que resulten procedentes.</w:t>
      </w:r>
    </w:p>
    <w:p w14:paraId="5B71099C" w14:textId="1A8A9F95" w:rsidR="00DE3F60"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br w:type="page"/>
      </w:r>
    </w:p>
    <w:sdt>
      <w:sdtPr>
        <w:rPr>
          <w:rFonts w:ascii="Arial" w:eastAsia="Arial" w:hAnsi="Arial" w:cstheme="minorBidi"/>
          <w:b w:val="0"/>
          <w:bCs w:val="0"/>
          <w:color w:val="auto"/>
          <w:sz w:val="21"/>
          <w:szCs w:val="22"/>
          <w:lang w:val="es-ES"/>
        </w:rPr>
        <w:id w:val="-107050822"/>
        <w:docPartObj>
          <w:docPartGallery w:val="Table of Contents"/>
          <w:docPartUnique/>
        </w:docPartObj>
      </w:sdtPr>
      <w:sdtEndPr>
        <w:rPr>
          <w:lang w:val="en-US"/>
        </w:rPr>
      </w:sdtEndPr>
      <w:sdtContent>
        <w:p w14:paraId="40BE68F6" w14:textId="49D146F9" w:rsidR="00DE3F60" w:rsidRDefault="00DE3F60">
          <w:pPr>
            <w:pStyle w:val="TtuloTDC"/>
          </w:pPr>
          <w:r>
            <w:rPr>
              <w:lang w:val="es-ES"/>
            </w:rPr>
            <w:t>Índice</w:t>
          </w:r>
        </w:p>
        <w:p w14:paraId="536A8B9F" w14:textId="7521029F" w:rsidR="00DE3F60" w:rsidRPr="00A03C69" w:rsidRDefault="00DE3F60" w:rsidP="00A03C69">
          <w:pPr>
            <w:pStyle w:val="TDC1"/>
            <w:tabs>
              <w:tab w:val="right" w:leader="dot" w:pos="9736"/>
            </w:tabs>
            <w:spacing w:before="40" w:afterLines="40" w:after="96" w:line="240" w:lineRule="auto"/>
            <w:rPr>
              <w:noProof/>
              <w:sz w:val="20"/>
              <w:szCs w:val="20"/>
            </w:rPr>
          </w:pPr>
          <w:r w:rsidRPr="00A03C69">
            <w:rPr>
              <w:sz w:val="20"/>
              <w:szCs w:val="20"/>
            </w:rPr>
            <w:fldChar w:fldCharType="begin"/>
          </w:r>
          <w:r w:rsidRPr="00A03C69">
            <w:rPr>
              <w:sz w:val="20"/>
              <w:szCs w:val="20"/>
            </w:rPr>
            <w:instrText xml:space="preserve"> TOC \o "1-3" \h \z \u </w:instrText>
          </w:r>
          <w:r w:rsidRPr="00A03C69">
            <w:rPr>
              <w:sz w:val="20"/>
              <w:szCs w:val="20"/>
            </w:rPr>
            <w:fldChar w:fldCharType="separate"/>
          </w:r>
          <w:hyperlink w:anchor="_Toc231894263" w:history="1">
            <w:r w:rsidRPr="00A03C69">
              <w:rPr>
                <w:rStyle w:val="Hipervnculo"/>
                <w:rFonts w:cstheme="majorHAnsi"/>
                <w:noProof/>
                <w:sz w:val="20"/>
                <w:szCs w:val="20"/>
                <w:lang w:val="es-ES"/>
              </w:rPr>
              <w:t>1. Objeto y finalidad de la instrucción</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_Toc231894263 \h </w:instrText>
            </w:r>
            <w:r w:rsidRPr="00A03C69">
              <w:rPr>
                <w:noProof/>
                <w:webHidden/>
                <w:sz w:val="20"/>
                <w:szCs w:val="20"/>
              </w:rPr>
            </w:r>
            <w:r w:rsidRPr="00A03C69">
              <w:rPr>
                <w:noProof/>
                <w:webHidden/>
                <w:sz w:val="20"/>
                <w:szCs w:val="20"/>
              </w:rPr>
              <w:fldChar w:fldCharType="separate"/>
            </w:r>
            <w:r w:rsidR="006D5A25">
              <w:rPr>
                <w:noProof/>
                <w:webHidden/>
                <w:sz w:val="20"/>
                <w:szCs w:val="20"/>
              </w:rPr>
              <w:t>3</w:t>
            </w:r>
            <w:r w:rsidRPr="00A03C69">
              <w:rPr>
                <w:noProof/>
                <w:webHidden/>
                <w:sz w:val="20"/>
                <w:szCs w:val="20"/>
              </w:rPr>
              <w:fldChar w:fldCharType="end"/>
            </w:r>
          </w:hyperlink>
        </w:p>
        <w:p w14:paraId="397B3A17" w14:textId="6E7BBAC2"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64" w:history="1">
            <w:r w:rsidRPr="00A03C69">
              <w:rPr>
                <w:rStyle w:val="Hipervnculo"/>
                <w:rFonts w:cstheme="majorHAnsi"/>
                <w:noProof/>
                <w:sz w:val="20"/>
                <w:szCs w:val="20"/>
                <w:lang w:val="es-ES"/>
              </w:rPr>
              <w:t>2. Alcance y naturaleza del documento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_Toc231894264 \h </w:instrText>
            </w:r>
            <w:r w:rsidRPr="00A03C69">
              <w:rPr>
                <w:noProof/>
                <w:webHidden/>
                <w:sz w:val="20"/>
                <w:szCs w:val="20"/>
              </w:rPr>
            </w:r>
            <w:r w:rsidRPr="00A03C69">
              <w:rPr>
                <w:noProof/>
                <w:webHidden/>
                <w:sz w:val="20"/>
                <w:szCs w:val="20"/>
              </w:rPr>
              <w:fldChar w:fldCharType="separate"/>
            </w:r>
            <w:r w:rsidR="006D5A25">
              <w:rPr>
                <w:noProof/>
                <w:webHidden/>
                <w:sz w:val="20"/>
                <w:szCs w:val="20"/>
              </w:rPr>
              <w:t>3</w:t>
            </w:r>
            <w:r w:rsidRPr="00A03C69">
              <w:rPr>
                <w:noProof/>
                <w:webHidden/>
                <w:sz w:val="20"/>
                <w:szCs w:val="20"/>
              </w:rPr>
              <w:fldChar w:fldCharType="end"/>
            </w:r>
          </w:hyperlink>
        </w:p>
        <w:p w14:paraId="47704A57" w14:textId="0826B334"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65" w:history="1">
            <w:r w:rsidRPr="00A03C69">
              <w:rPr>
                <w:rStyle w:val="Hipervnculo"/>
                <w:rFonts w:cstheme="majorHAnsi"/>
                <w:noProof/>
                <w:sz w:val="20"/>
                <w:szCs w:val="20"/>
                <w:lang w:val="es-ES"/>
              </w:rPr>
              <w:t>3. Fundamentos jurídicos del complemento de destino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_Toc231894265 \h </w:instrText>
            </w:r>
            <w:r w:rsidRPr="00A03C69">
              <w:rPr>
                <w:noProof/>
                <w:webHidden/>
                <w:sz w:val="20"/>
                <w:szCs w:val="20"/>
              </w:rPr>
            </w:r>
            <w:r w:rsidRPr="00A03C69">
              <w:rPr>
                <w:noProof/>
                <w:webHidden/>
                <w:sz w:val="20"/>
                <w:szCs w:val="20"/>
              </w:rPr>
              <w:fldChar w:fldCharType="separate"/>
            </w:r>
            <w:r w:rsidR="006D5A25">
              <w:rPr>
                <w:noProof/>
                <w:webHidden/>
                <w:sz w:val="20"/>
                <w:szCs w:val="20"/>
              </w:rPr>
              <w:t>3</w:t>
            </w:r>
            <w:r w:rsidRPr="00A03C69">
              <w:rPr>
                <w:noProof/>
                <w:webHidden/>
                <w:sz w:val="20"/>
                <w:szCs w:val="20"/>
              </w:rPr>
              <w:fldChar w:fldCharType="end"/>
            </w:r>
          </w:hyperlink>
        </w:p>
        <w:p w14:paraId="39E0B81C" w14:textId="1AF70E9B"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66" w:history="1">
            <w:r w:rsidRPr="00A03C69">
              <w:rPr>
                <w:rStyle w:val="Hipervnculo"/>
                <w:rFonts w:cstheme="majorHAnsi"/>
                <w:noProof/>
                <w:sz w:val="20"/>
                <w:szCs w:val="20"/>
                <w:lang w:val="es-ES"/>
              </w:rPr>
              <w:t>3.1. Relación del complemento de destino con el puesto de trabajo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_Toc231894266 \h </w:instrText>
            </w:r>
            <w:r w:rsidRPr="00A03C69">
              <w:rPr>
                <w:noProof/>
                <w:webHidden/>
                <w:sz w:val="20"/>
                <w:szCs w:val="20"/>
              </w:rPr>
            </w:r>
            <w:r w:rsidRPr="00A03C69">
              <w:rPr>
                <w:noProof/>
                <w:webHidden/>
                <w:sz w:val="20"/>
                <w:szCs w:val="20"/>
              </w:rPr>
              <w:fldChar w:fldCharType="separate"/>
            </w:r>
            <w:r w:rsidR="006D5A25">
              <w:rPr>
                <w:noProof/>
                <w:webHidden/>
                <w:sz w:val="20"/>
                <w:szCs w:val="20"/>
              </w:rPr>
              <w:t>3</w:t>
            </w:r>
            <w:r w:rsidRPr="00A03C69">
              <w:rPr>
                <w:noProof/>
                <w:webHidden/>
                <w:sz w:val="20"/>
                <w:szCs w:val="20"/>
              </w:rPr>
              <w:fldChar w:fldCharType="end"/>
            </w:r>
          </w:hyperlink>
        </w:p>
        <w:p w14:paraId="7D03CF1A" w14:textId="5CF23BD1"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67" w:history="1">
            <w:r w:rsidRPr="00A03C69">
              <w:rPr>
                <w:rStyle w:val="Hipervnculo"/>
                <w:rFonts w:cstheme="majorHAnsi"/>
                <w:noProof/>
                <w:sz w:val="20"/>
                <w:szCs w:val="20"/>
                <w:lang w:val="es-ES"/>
              </w:rPr>
              <w:t>3.2. Artículo 3 del Real Decreto 861/1986</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_Toc231894267 \h </w:instrText>
            </w:r>
            <w:r w:rsidRPr="00A03C69">
              <w:rPr>
                <w:noProof/>
                <w:webHidden/>
                <w:sz w:val="20"/>
                <w:szCs w:val="20"/>
              </w:rPr>
            </w:r>
            <w:r w:rsidRPr="00A03C69">
              <w:rPr>
                <w:noProof/>
                <w:webHidden/>
                <w:sz w:val="20"/>
                <w:szCs w:val="20"/>
              </w:rPr>
              <w:fldChar w:fldCharType="separate"/>
            </w:r>
            <w:r w:rsidR="006D5A25">
              <w:rPr>
                <w:noProof/>
                <w:webHidden/>
                <w:sz w:val="20"/>
                <w:szCs w:val="20"/>
              </w:rPr>
              <w:t>4</w:t>
            </w:r>
            <w:r w:rsidRPr="00A03C69">
              <w:rPr>
                <w:noProof/>
                <w:webHidden/>
                <w:sz w:val="20"/>
                <w:szCs w:val="20"/>
              </w:rPr>
              <w:fldChar w:fldCharType="end"/>
            </w:r>
          </w:hyperlink>
        </w:p>
        <w:p w14:paraId="162D1CD9" w14:textId="506170D2"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68" w:history="1">
            <w:r w:rsidRPr="00A03C69">
              <w:rPr>
                <w:rStyle w:val="Hipervnculo"/>
                <w:rFonts w:cstheme="majorHAnsi"/>
                <w:noProof/>
                <w:sz w:val="20"/>
                <w:szCs w:val="20"/>
                <w:lang w:val="es-ES"/>
              </w:rPr>
              <w:t>3.3. Intervalos de niveles del Real Decreto-ley 6/2023</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_Toc231894268 \h </w:instrText>
            </w:r>
            <w:r w:rsidRPr="00A03C69">
              <w:rPr>
                <w:noProof/>
                <w:webHidden/>
                <w:sz w:val="20"/>
                <w:szCs w:val="20"/>
              </w:rPr>
            </w:r>
            <w:r w:rsidRPr="00A03C69">
              <w:rPr>
                <w:noProof/>
                <w:webHidden/>
                <w:sz w:val="20"/>
                <w:szCs w:val="20"/>
              </w:rPr>
              <w:fldChar w:fldCharType="separate"/>
            </w:r>
            <w:r w:rsidR="006D5A25">
              <w:rPr>
                <w:noProof/>
                <w:webHidden/>
                <w:sz w:val="20"/>
                <w:szCs w:val="20"/>
              </w:rPr>
              <w:t>4</w:t>
            </w:r>
            <w:r w:rsidRPr="00A03C69">
              <w:rPr>
                <w:noProof/>
                <w:webHidden/>
                <w:sz w:val="20"/>
                <w:szCs w:val="20"/>
              </w:rPr>
              <w:fldChar w:fldCharType="end"/>
            </w:r>
          </w:hyperlink>
        </w:p>
        <w:p w14:paraId="5BB862CF" w14:textId="740154B6"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69" w:history="1">
            <w:r w:rsidRPr="00A03C69">
              <w:rPr>
                <w:rStyle w:val="Hipervnculo"/>
                <w:rFonts w:cstheme="majorHAnsi"/>
                <w:noProof/>
                <w:sz w:val="20"/>
                <w:szCs w:val="20"/>
                <w:lang w:val="es-ES"/>
              </w:rPr>
              <w:t>3.4. Consecuencia metodológica</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_Toc231894269 \h </w:instrText>
            </w:r>
            <w:r w:rsidRPr="00A03C69">
              <w:rPr>
                <w:noProof/>
                <w:webHidden/>
                <w:sz w:val="20"/>
                <w:szCs w:val="20"/>
              </w:rPr>
            </w:r>
            <w:r w:rsidRPr="00A03C69">
              <w:rPr>
                <w:noProof/>
                <w:webHidden/>
                <w:sz w:val="20"/>
                <w:szCs w:val="20"/>
              </w:rPr>
              <w:fldChar w:fldCharType="separate"/>
            </w:r>
            <w:r w:rsidR="006D5A25">
              <w:rPr>
                <w:noProof/>
                <w:webHidden/>
                <w:sz w:val="20"/>
                <w:szCs w:val="20"/>
              </w:rPr>
              <w:t>5</w:t>
            </w:r>
            <w:r w:rsidRPr="00A03C69">
              <w:rPr>
                <w:noProof/>
                <w:webHidden/>
                <w:sz w:val="20"/>
                <w:szCs w:val="20"/>
              </w:rPr>
              <w:fldChar w:fldCharType="end"/>
            </w:r>
          </w:hyperlink>
        </w:p>
        <w:p w14:paraId="4BB37EF5" w14:textId="0754A99A"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70" w:history="1">
            <w:r w:rsidRPr="00A03C69">
              <w:rPr>
                <w:rStyle w:val="Hipervnculo"/>
                <w:rFonts w:cstheme="majorHAnsi"/>
                <w:noProof/>
                <w:sz w:val="20"/>
                <w:szCs w:val="20"/>
                <w:lang w:val="es-ES"/>
              </w:rPr>
              <w:t>4. Principios metodológicos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_Toc231894270 \h </w:instrText>
            </w:r>
            <w:r w:rsidRPr="00A03C69">
              <w:rPr>
                <w:noProof/>
                <w:webHidden/>
                <w:sz w:val="20"/>
                <w:szCs w:val="20"/>
              </w:rPr>
            </w:r>
            <w:r w:rsidRPr="00A03C69">
              <w:rPr>
                <w:noProof/>
                <w:webHidden/>
                <w:sz w:val="20"/>
                <w:szCs w:val="20"/>
              </w:rPr>
              <w:fldChar w:fldCharType="separate"/>
            </w:r>
            <w:r w:rsidR="006D5A25">
              <w:rPr>
                <w:noProof/>
                <w:webHidden/>
                <w:sz w:val="20"/>
                <w:szCs w:val="20"/>
              </w:rPr>
              <w:t>5</w:t>
            </w:r>
            <w:r w:rsidRPr="00A03C69">
              <w:rPr>
                <w:noProof/>
                <w:webHidden/>
                <w:sz w:val="20"/>
                <w:szCs w:val="20"/>
              </w:rPr>
              <w:fldChar w:fldCharType="end"/>
            </w:r>
          </w:hyperlink>
        </w:p>
        <w:p w14:paraId="401A5C17" w14:textId="72661A1D"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71" w:history="1">
            <w:r w:rsidRPr="00A03C69">
              <w:rPr>
                <w:rStyle w:val="Hipervnculo"/>
                <w:rFonts w:cstheme="majorHAnsi"/>
                <w:noProof/>
                <w:sz w:val="20"/>
                <w:szCs w:val="20"/>
                <w:lang w:val="es-ES"/>
              </w:rPr>
              <w:t>5. Elementos de entrada del modelo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_Toc231894271 \h </w:instrText>
            </w:r>
            <w:r w:rsidRPr="00A03C69">
              <w:rPr>
                <w:noProof/>
                <w:webHidden/>
                <w:sz w:val="20"/>
                <w:szCs w:val="20"/>
              </w:rPr>
            </w:r>
            <w:r w:rsidRPr="00A03C69">
              <w:rPr>
                <w:noProof/>
                <w:webHidden/>
                <w:sz w:val="20"/>
                <w:szCs w:val="20"/>
              </w:rPr>
              <w:fldChar w:fldCharType="separate"/>
            </w:r>
            <w:r w:rsidR="006D5A25">
              <w:rPr>
                <w:noProof/>
                <w:webHidden/>
                <w:sz w:val="20"/>
                <w:szCs w:val="20"/>
              </w:rPr>
              <w:t>6</w:t>
            </w:r>
            <w:r w:rsidRPr="00A03C69">
              <w:rPr>
                <w:noProof/>
                <w:webHidden/>
                <w:sz w:val="20"/>
                <w:szCs w:val="20"/>
              </w:rPr>
              <w:fldChar w:fldCharType="end"/>
            </w:r>
          </w:hyperlink>
        </w:p>
        <w:p w14:paraId="4E4BA516" w14:textId="70A5EA00"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72" w:history="1">
            <w:r w:rsidRPr="00A03C69">
              <w:rPr>
                <w:rStyle w:val="Hipervnculo"/>
                <w:rFonts w:cstheme="majorHAnsi"/>
                <w:noProof/>
                <w:sz w:val="20"/>
                <w:szCs w:val="20"/>
                <w:lang w:val="es-ES"/>
              </w:rPr>
              <w:t>6. Del diccionario de funciones al vector técnico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_Toc231894272 \h </w:instrText>
            </w:r>
            <w:r w:rsidRPr="00A03C69">
              <w:rPr>
                <w:noProof/>
                <w:webHidden/>
                <w:sz w:val="20"/>
                <w:szCs w:val="20"/>
              </w:rPr>
            </w:r>
            <w:r w:rsidRPr="00A03C69">
              <w:rPr>
                <w:noProof/>
                <w:webHidden/>
                <w:sz w:val="20"/>
                <w:szCs w:val="20"/>
              </w:rPr>
              <w:fldChar w:fldCharType="separate"/>
            </w:r>
            <w:r w:rsidR="006D5A25">
              <w:rPr>
                <w:noProof/>
                <w:webHidden/>
                <w:sz w:val="20"/>
                <w:szCs w:val="20"/>
              </w:rPr>
              <w:t>7</w:t>
            </w:r>
            <w:r w:rsidRPr="00A03C69">
              <w:rPr>
                <w:noProof/>
                <w:webHidden/>
                <w:sz w:val="20"/>
                <w:szCs w:val="20"/>
              </w:rPr>
              <w:fldChar w:fldCharType="end"/>
            </w:r>
          </w:hyperlink>
        </w:p>
        <w:p w14:paraId="470928D0" w14:textId="5AC23987"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73" w:history="1">
            <w:r w:rsidRPr="00A03C69">
              <w:rPr>
                <w:rStyle w:val="Hipervnculo"/>
                <w:rFonts w:cstheme="majorHAnsi"/>
                <w:noProof/>
                <w:sz w:val="20"/>
                <w:szCs w:val="20"/>
                <w:lang w:val="es-ES"/>
              </w:rPr>
              <w:t>6.1. Paso 1: diccionario de funciones: 49 verbos de acción y funciones asociadas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_Toc231894273 \h </w:instrText>
            </w:r>
            <w:r w:rsidRPr="00A03C69">
              <w:rPr>
                <w:noProof/>
                <w:webHidden/>
                <w:sz w:val="20"/>
                <w:szCs w:val="20"/>
              </w:rPr>
            </w:r>
            <w:r w:rsidRPr="00A03C69">
              <w:rPr>
                <w:noProof/>
                <w:webHidden/>
                <w:sz w:val="20"/>
                <w:szCs w:val="20"/>
              </w:rPr>
              <w:fldChar w:fldCharType="separate"/>
            </w:r>
            <w:r w:rsidR="006D5A25">
              <w:rPr>
                <w:noProof/>
                <w:webHidden/>
                <w:sz w:val="20"/>
                <w:szCs w:val="20"/>
              </w:rPr>
              <w:t>7</w:t>
            </w:r>
            <w:r w:rsidRPr="00A03C69">
              <w:rPr>
                <w:noProof/>
                <w:webHidden/>
                <w:sz w:val="20"/>
                <w:szCs w:val="20"/>
              </w:rPr>
              <w:fldChar w:fldCharType="end"/>
            </w:r>
          </w:hyperlink>
        </w:p>
        <w:p w14:paraId="456F9C03" w14:textId="7F411D82"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74" w:history="1">
            <w:r w:rsidRPr="00A03C69">
              <w:rPr>
                <w:rStyle w:val="Hipervnculo"/>
                <w:rFonts w:cstheme="majorHAnsi"/>
                <w:noProof/>
                <w:sz w:val="20"/>
                <w:szCs w:val="20"/>
                <w:lang w:val="es-ES"/>
              </w:rPr>
              <w:t>6.2. Paso 2: identificación de verbos de acción aplicables al puesto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_Toc231894274 \h </w:instrText>
            </w:r>
            <w:r w:rsidRPr="00A03C69">
              <w:rPr>
                <w:noProof/>
                <w:webHidden/>
                <w:sz w:val="20"/>
                <w:szCs w:val="20"/>
              </w:rPr>
            </w:r>
            <w:r w:rsidRPr="00A03C69">
              <w:rPr>
                <w:noProof/>
                <w:webHidden/>
                <w:sz w:val="20"/>
                <w:szCs w:val="20"/>
              </w:rPr>
              <w:fldChar w:fldCharType="separate"/>
            </w:r>
            <w:r w:rsidR="006D5A25">
              <w:rPr>
                <w:noProof/>
                <w:webHidden/>
                <w:sz w:val="20"/>
                <w:szCs w:val="20"/>
              </w:rPr>
              <w:t>7</w:t>
            </w:r>
            <w:r w:rsidRPr="00A03C69">
              <w:rPr>
                <w:noProof/>
                <w:webHidden/>
                <w:sz w:val="20"/>
                <w:szCs w:val="20"/>
              </w:rPr>
              <w:fldChar w:fldCharType="end"/>
            </w:r>
          </w:hyperlink>
        </w:p>
        <w:p w14:paraId="65C100DF" w14:textId="18A5B30E"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75" w:history="1">
            <w:r w:rsidRPr="00A03C69">
              <w:rPr>
                <w:rStyle w:val="Hipervnculo"/>
                <w:rFonts w:cstheme="majorHAnsi"/>
                <w:noProof/>
                <w:sz w:val="20"/>
                <w:szCs w:val="20"/>
                <w:lang w:val="es-ES"/>
              </w:rPr>
              <w:t>6.3. Paso 3: definición de funciones asociadas a los verbos seleccionados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_Toc231894275 \h </w:instrText>
            </w:r>
            <w:r w:rsidRPr="00A03C69">
              <w:rPr>
                <w:noProof/>
                <w:webHidden/>
                <w:sz w:val="20"/>
                <w:szCs w:val="20"/>
              </w:rPr>
            </w:r>
            <w:r w:rsidRPr="00A03C69">
              <w:rPr>
                <w:noProof/>
                <w:webHidden/>
                <w:sz w:val="20"/>
                <w:szCs w:val="20"/>
              </w:rPr>
              <w:fldChar w:fldCharType="separate"/>
            </w:r>
            <w:r w:rsidR="006D5A25">
              <w:rPr>
                <w:noProof/>
                <w:webHidden/>
                <w:sz w:val="20"/>
                <w:szCs w:val="20"/>
              </w:rPr>
              <w:t>8</w:t>
            </w:r>
            <w:r w:rsidRPr="00A03C69">
              <w:rPr>
                <w:noProof/>
                <w:webHidden/>
                <w:sz w:val="20"/>
                <w:szCs w:val="20"/>
              </w:rPr>
              <w:fldChar w:fldCharType="end"/>
            </w:r>
          </w:hyperlink>
        </w:p>
        <w:p w14:paraId="384B466D" w14:textId="23661F21"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76" w:history="1">
            <w:r w:rsidRPr="00A03C69">
              <w:rPr>
                <w:rStyle w:val="Hipervnculo"/>
                <w:rFonts w:cstheme="majorHAnsi"/>
                <w:noProof/>
                <w:sz w:val="20"/>
                <w:szCs w:val="20"/>
                <w:lang w:val="es-ES"/>
              </w:rPr>
              <w:t>6.4. Paso 4: definición de factores técnicos asociados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_Toc231894276 \h </w:instrText>
            </w:r>
            <w:r w:rsidRPr="00A03C69">
              <w:rPr>
                <w:noProof/>
                <w:webHidden/>
                <w:sz w:val="20"/>
                <w:szCs w:val="20"/>
              </w:rPr>
            </w:r>
            <w:r w:rsidRPr="00A03C69">
              <w:rPr>
                <w:noProof/>
                <w:webHidden/>
                <w:sz w:val="20"/>
                <w:szCs w:val="20"/>
              </w:rPr>
              <w:fldChar w:fldCharType="separate"/>
            </w:r>
            <w:r w:rsidR="006D5A25">
              <w:rPr>
                <w:noProof/>
                <w:webHidden/>
                <w:sz w:val="20"/>
                <w:szCs w:val="20"/>
              </w:rPr>
              <w:t>8</w:t>
            </w:r>
            <w:r w:rsidRPr="00A03C69">
              <w:rPr>
                <w:noProof/>
                <w:webHidden/>
                <w:sz w:val="20"/>
                <w:szCs w:val="20"/>
              </w:rPr>
              <w:fldChar w:fldCharType="end"/>
            </w:r>
          </w:hyperlink>
        </w:p>
        <w:p w14:paraId="3AD98E27" w14:textId="6DA32CA9"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77" w:history="1">
            <w:r w:rsidRPr="00A03C69">
              <w:rPr>
                <w:rStyle w:val="Hipervnculo"/>
                <w:rFonts w:cstheme="majorHAnsi"/>
                <w:noProof/>
                <w:sz w:val="20"/>
                <w:szCs w:val="20"/>
                <w:lang w:val="es-ES"/>
              </w:rPr>
              <w:t>6.5. Paso 5: codificación de presencia o intensidad</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_Toc231894277 \h </w:instrText>
            </w:r>
            <w:r w:rsidRPr="00A03C69">
              <w:rPr>
                <w:noProof/>
                <w:webHidden/>
                <w:sz w:val="20"/>
                <w:szCs w:val="20"/>
              </w:rPr>
            </w:r>
            <w:r w:rsidRPr="00A03C69">
              <w:rPr>
                <w:noProof/>
                <w:webHidden/>
                <w:sz w:val="20"/>
                <w:szCs w:val="20"/>
              </w:rPr>
              <w:fldChar w:fldCharType="separate"/>
            </w:r>
            <w:r w:rsidR="006D5A25">
              <w:rPr>
                <w:noProof/>
                <w:webHidden/>
                <w:sz w:val="20"/>
                <w:szCs w:val="20"/>
              </w:rPr>
              <w:t>10</w:t>
            </w:r>
            <w:r w:rsidRPr="00A03C69">
              <w:rPr>
                <w:noProof/>
                <w:webHidden/>
                <w:sz w:val="20"/>
                <w:szCs w:val="20"/>
              </w:rPr>
              <w:fldChar w:fldCharType="end"/>
            </w:r>
          </w:hyperlink>
        </w:p>
        <w:p w14:paraId="472F3DBE" w14:textId="6C82B354"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78" w:history="1">
            <w:r w:rsidRPr="00A03C69">
              <w:rPr>
                <w:rStyle w:val="Hipervnculo"/>
                <w:rFonts w:cstheme="majorHAnsi"/>
                <w:noProof/>
                <w:sz w:val="20"/>
                <w:szCs w:val="20"/>
                <w:lang w:val="es-ES"/>
              </w:rPr>
              <w:t>6.6. Paso 6: asignación de pesos técnicos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_Toc231894278 \h </w:instrText>
            </w:r>
            <w:r w:rsidRPr="00A03C69">
              <w:rPr>
                <w:noProof/>
                <w:webHidden/>
                <w:sz w:val="20"/>
                <w:szCs w:val="20"/>
              </w:rPr>
            </w:r>
            <w:r w:rsidRPr="00A03C69">
              <w:rPr>
                <w:noProof/>
                <w:webHidden/>
                <w:sz w:val="20"/>
                <w:szCs w:val="20"/>
              </w:rPr>
              <w:fldChar w:fldCharType="separate"/>
            </w:r>
            <w:r w:rsidR="006D5A25">
              <w:rPr>
                <w:noProof/>
                <w:webHidden/>
                <w:sz w:val="20"/>
                <w:szCs w:val="20"/>
              </w:rPr>
              <w:t>12</w:t>
            </w:r>
            <w:r w:rsidRPr="00A03C69">
              <w:rPr>
                <w:noProof/>
                <w:webHidden/>
                <w:sz w:val="20"/>
                <w:szCs w:val="20"/>
              </w:rPr>
              <w:fldChar w:fldCharType="end"/>
            </w:r>
          </w:hyperlink>
        </w:p>
        <w:p w14:paraId="7A60781D" w14:textId="6BA4A110"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79" w:history="1">
            <w:r w:rsidRPr="00A03C69">
              <w:rPr>
                <w:rStyle w:val="Hipervnculo"/>
                <w:rFonts w:cstheme="majorHAnsi"/>
                <w:noProof/>
                <w:sz w:val="20"/>
                <w:szCs w:val="20"/>
                <w:lang w:val="es-ES"/>
              </w:rPr>
              <w:t>6.7. Paso 7: construcción de vectores del puesto y del patrón</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_Toc231894279 \h </w:instrText>
            </w:r>
            <w:r w:rsidRPr="00A03C69">
              <w:rPr>
                <w:noProof/>
                <w:webHidden/>
                <w:sz w:val="20"/>
                <w:szCs w:val="20"/>
              </w:rPr>
            </w:r>
            <w:r w:rsidRPr="00A03C69">
              <w:rPr>
                <w:noProof/>
                <w:webHidden/>
                <w:sz w:val="20"/>
                <w:szCs w:val="20"/>
              </w:rPr>
              <w:fldChar w:fldCharType="separate"/>
            </w:r>
            <w:r w:rsidR="006D5A25">
              <w:rPr>
                <w:noProof/>
                <w:webHidden/>
                <w:sz w:val="20"/>
                <w:szCs w:val="20"/>
              </w:rPr>
              <w:t>13</w:t>
            </w:r>
            <w:r w:rsidRPr="00A03C69">
              <w:rPr>
                <w:noProof/>
                <w:webHidden/>
                <w:sz w:val="20"/>
                <w:szCs w:val="20"/>
              </w:rPr>
              <w:fldChar w:fldCharType="end"/>
            </w:r>
          </w:hyperlink>
        </w:p>
        <w:p w14:paraId="61ECE56C" w14:textId="69D28204"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80" w:history="1">
            <w:r w:rsidRPr="00A03C69">
              <w:rPr>
                <w:rStyle w:val="Hipervnculo"/>
                <w:rFonts w:cstheme="majorHAnsi"/>
                <w:noProof/>
                <w:sz w:val="20"/>
                <w:szCs w:val="20"/>
                <w:lang w:val="es-ES"/>
              </w:rPr>
              <w:t>6.8. Paso 8: generación de dos subespacios vectoriales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_Toc231894280 \h </w:instrText>
            </w:r>
            <w:r w:rsidRPr="00A03C69">
              <w:rPr>
                <w:noProof/>
                <w:webHidden/>
                <w:sz w:val="20"/>
                <w:szCs w:val="20"/>
              </w:rPr>
            </w:r>
            <w:r w:rsidRPr="00A03C69">
              <w:rPr>
                <w:noProof/>
                <w:webHidden/>
                <w:sz w:val="20"/>
                <w:szCs w:val="20"/>
              </w:rPr>
              <w:fldChar w:fldCharType="separate"/>
            </w:r>
            <w:r w:rsidR="006D5A25">
              <w:rPr>
                <w:noProof/>
                <w:webHidden/>
                <w:sz w:val="20"/>
                <w:szCs w:val="20"/>
              </w:rPr>
              <w:t>13</w:t>
            </w:r>
            <w:r w:rsidRPr="00A03C69">
              <w:rPr>
                <w:noProof/>
                <w:webHidden/>
                <w:sz w:val="20"/>
                <w:szCs w:val="20"/>
              </w:rPr>
              <w:fldChar w:fldCharType="end"/>
            </w:r>
          </w:hyperlink>
        </w:p>
        <w:p w14:paraId="582A47DC" w14:textId="7823E12E"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81" w:history="1">
            <w:r w:rsidRPr="00A03C69">
              <w:rPr>
                <w:rStyle w:val="Hipervnculo"/>
                <w:rFonts w:cstheme="majorHAnsi"/>
                <w:noProof/>
                <w:sz w:val="20"/>
                <w:szCs w:val="20"/>
                <w:lang w:val="es-ES"/>
              </w:rPr>
              <w:t>6.9. Paso 9: matriz de puestos y patrones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_Toc231894281 \h </w:instrText>
            </w:r>
            <w:r w:rsidRPr="00A03C69">
              <w:rPr>
                <w:noProof/>
                <w:webHidden/>
                <w:sz w:val="20"/>
                <w:szCs w:val="20"/>
              </w:rPr>
            </w:r>
            <w:r w:rsidRPr="00A03C69">
              <w:rPr>
                <w:noProof/>
                <w:webHidden/>
                <w:sz w:val="20"/>
                <w:szCs w:val="20"/>
              </w:rPr>
              <w:fldChar w:fldCharType="separate"/>
            </w:r>
            <w:r w:rsidR="006D5A25">
              <w:rPr>
                <w:noProof/>
                <w:webHidden/>
                <w:sz w:val="20"/>
                <w:szCs w:val="20"/>
              </w:rPr>
              <w:t>13</w:t>
            </w:r>
            <w:r w:rsidRPr="00A03C69">
              <w:rPr>
                <w:noProof/>
                <w:webHidden/>
                <w:sz w:val="20"/>
                <w:szCs w:val="20"/>
              </w:rPr>
              <w:fldChar w:fldCharType="end"/>
            </w:r>
          </w:hyperlink>
        </w:p>
        <w:p w14:paraId="6913A4C7" w14:textId="3C2BC92A"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82" w:history="1">
            <w:r w:rsidRPr="00A03C69">
              <w:rPr>
                <w:rStyle w:val="Hipervnculo"/>
                <w:rFonts w:cstheme="majorHAnsi"/>
                <w:noProof/>
                <w:sz w:val="20"/>
                <w:szCs w:val="20"/>
                <w:lang w:val="es-ES"/>
              </w:rPr>
              <w:t>7. Desarrollo matemático del modelo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_Toc231894282 \h </w:instrText>
            </w:r>
            <w:r w:rsidRPr="00A03C69">
              <w:rPr>
                <w:noProof/>
                <w:webHidden/>
                <w:sz w:val="20"/>
                <w:szCs w:val="20"/>
              </w:rPr>
            </w:r>
            <w:r w:rsidRPr="00A03C69">
              <w:rPr>
                <w:noProof/>
                <w:webHidden/>
                <w:sz w:val="20"/>
                <w:szCs w:val="20"/>
              </w:rPr>
              <w:fldChar w:fldCharType="separate"/>
            </w:r>
            <w:r w:rsidR="006D5A25">
              <w:rPr>
                <w:noProof/>
                <w:webHidden/>
                <w:sz w:val="20"/>
                <w:szCs w:val="20"/>
              </w:rPr>
              <w:t>14</w:t>
            </w:r>
            <w:r w:rsidRPr="00A03C69">
              <w:rPr>
                <w:noProof/>
                <w:webHidden/>
                <w:sz w:val="20"/>
                <w:szCs w:val="20"/>
              </w:rPr>
              <w:fldChar w:fldCharType="end"/>
            </w:r>
          </w:hyperlink>
        </w:p>
        <w:p w14:paraId="31A548AD" w14:textId="0662C844"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83" w:history="1">
            <w:r w:rsidRPr="00A03C69">
              <w:rPr>
                <w:rStyle w:val="Hipervnculo"/>
                <w:rFonts w:cstheme="majorHAnsi"/>
                <w:noProof/>
                <w:sz w:val="20"/>
                <w:szCs w:val="20"/>
                <w:lang w:val="es-ES"/>
              </w:rPr>
              <w:t>7.1. Vector ponderado del puesto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_Toc231894283 \h </w:instrText>
            </w:r>
            <w:r w:rsidRPr="00A03C69">
              <w:rPr>
                <w:noProof/>
                <w:webHidden/>
                <w:sz w:val="20"/>
                <w:szCs w:val="20"/>
              </w:rPr>
            </w:r>
            <w:r w:rsidRPr="00A03C69">
              <w:rPr>
                <w:noProof/>
                <w:webHidden/>
                <w:sz w:val="20"/>
                <w:szCs w:val="20"/>
              </w:rPr>
              <w:fldChar w:fldCharType="separate"/>
            </w:r>
            <w:r w:rsidR="006D5A25">
              <w:rPr>
                <w:noProof/>
                <w:webHidden/>
                <w:sz w:val="20"/>
                <w:szCs w:val="20"/>
              </w:rPr>
              <w:t>14</w:t>
            </w:r>
            <w:r w:rsidRPr="00A03C69">
              <w:rPr>
                <w:noProof/>
                <w:webHidden/>
                <w:sz w:val="20"/>
                <w:szCs w:val="20"/>
              </w:rPr>
              <w:fldChar w:fldCharType="end"/>
            </w:r>
          </w:hyperlink>
        </w:p>
        <w:p w14:paraId="2CE1DB48" w14:textId="6EBFAFD5"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84" w:history="1">
            <w:r w:rsidRPr="00A03C69">
              <w:rPr>
                <w:rStyle w:val="Hipervnculo"/>
                <w:rFonts w:cstheme="majorHAnsi"/>
                <w:noProof/>
                <w:sz w:val="20"/>
                <w:szCs w:val="20"/>
                <w:lang w:val="es-ES"/>
              </w:rPr>
              <w:t>7.2. Producto escalar</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_Toc231894284 \h </w:instrText>
            </w:r>
            <w:r w:rsidRPr="00A03C69">
              <w:rPr>
                <w:noProof/>
                <w:webHidden/>
                <w:sz w:val="20"/>
                <w:szCs w:val="20"/>
              </w:rPr>
            </w:r>
            <w:r w:rsidRPr="00A03C69">
              <w:rPr>
                <w:noProof/>
                <w:webHidden/>
                <w:sz w:val="20"/>
                <w:szCs w:val="20"/>
              </w:rPr>
              <w:fldChar w:fldCharType="separate"/>
            </w:r>
            <w:r w:rsidR="006D5A25">
              <w:rPr>
                <w:noProof/>
                <w:webHidden/>
                <w:sz w:val="20"/>
                <w:szCs w:val="20"/>
              </w:rPr>
              <w:t>15</w:t>
            </w:r>
            <w:r w:rsidRPr="00A03C69">
              <w:rPr>
                <w:noProof/>
                <w:webHidden/>
                <w:sz w:val="20"/>
                <w:szCs w:val="20"/>
              </w:rPr>
              <w:fldChar w:fldCharType="end"/>
            </w:r>
          </w:hyperlink>
        </w:p>
        <w:p w14:paraId="6FA6291A" w14:textId="4D425427"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85" w:history="1">
            <w:r w:rsidRPr="00A03C69">
              <w:rPr>
                <w:rStyle w:val="Hipervnculo"/>
                <w:rFonts w:cstheme="majorHAnsi"/>
                <w:noProof/>
                <w:sz w:val="20"/>
                <w:szCs w:val="20"/>
                <w:lang w:val="es-ES"/>
              </w:rPr>
              <w:t>7.3. Norma o magnitud del vector</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_Toc231894285 \h </w:instrText>
            </w:r>
            <w:r w:rsidRPr="00A03C69">
              <w:rPr>
                <w:noProof/>
                <w:webHidden/>
                <w:sz w:val="20"/>
                <w:szCs w:val="20"/>
              </w:rPr>
            </w:r>
            <w:r w:rsidRPr="00A03C69">
              <w:rPr>
                <w:noProof/>
                <w:webHidden/>
                <w:sz w:val="20"/>
                <w:szCs w:val="20"/>
              </w:rPr>
              <w:fldChar w:fldCharType="separate"/>
            </w:r>
            <w:r w:rsidR="006D5A25">
              <w:rPr>
                <w:noProof/>
                <w:webHidden/>
                <w:sz w:val="20"/>
                <w:szCs w:val="20"/>
              </w:rPr>
              <w:t>15</w:t>
            </w:r>
            <w:r w:rsidRPr="00A03C69">
              <w:rPr>
                <w:noProof/>
                <w:webHidden/>
                <w:sz w:val="20"/>
                <w:szCs w:val="20"/>
              </w:rPr>
              <w:fldChar w:fldCharType="end"/>
            </w:r>
          </w:hyperlink>
        </w:p>
        <w:p w14:paraId="5483C361" w14:textId="69997FB4"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86" w:history="1">
            <w:r w:rsidRPr="00A03C69">
              <w:rPr>
                <w:rStyle w:val="Hipervnculo"/>
                <w:rFonts w:cstheme="majorHAnsi"/>
                <w:noProof/>
                <w:sz w:val="20"/>
                <w:szCs w:val="20"/>
                <w:lang w:val="es-ES"/>
              </w:rPr>
              <w:t>7.4. Similitud de coseno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_Toc231894286 \h </w:instrText>
            </w:r>
            <w:r w:rsidRPr="00A03C69">
              <w:rPr>
                <w:noProof/>
                <w:webHidden/>
                <w:sz w:val="20"/>
                <w:szCs w:val="20"/>
              </w:rPr>
            </w:r>
            <w:r w:rsidRPr="00A03C69">
              <w:rPr>
                <w:noProof/>
                <w:webHidden/>
                <w:sz w:val="20"/>
                <w:szCs w:val="20"/>
              </w:rPr>
              <w:fldChar w:fldCharType="separate"/>
            </w:r>
            <w:r w:rsidR="006D5A25">
              <w:rPr>
                <w:noProof/>
                <w:webHidden/>
                <w:sz w:val="20"/>
                <w:szCs w:val="20"/>
              </w:rPr>
              <w:t>15</w:t>
            </w:r>
            <w:r w:rsidRPr="00A03C69">
              <w:rPr>
                <w:noProof/>
                <w:webHidden/>
                <w:sz w:val="20"/>
                <w:szCs w:val="20"/>
              </w:rPr>
              <w:fldChar w:fldCharType="end"/>
            </w:r>
          </w:hyperlink>
        </w:p>
        <w:p w14:paraId="5DEB40AB" w14:textId="0DFE2057"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87" w:history="1">
            <w:r w:rsidRPr="00A03C69">
              <w:rPr>
                <w:rStyle w:val="Hipervnculo"/>
                <w:rFonts w:cstheme="majorHAnsi"/>
                <w:noProof/>
                <w:sz w:val="20"/>
                <w:szCs w:val="20"/>
                <w:lang w:val="es-ES"/>
              </w:rPr>
              <w:t>7.5. Ejemplo numérico simplificado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_Toc231894287 \h </w:instrText>
            </w:r>
            <w:r w:rsidRPr="00A03C69">
              <w:rPr>
                <w:noProof/>
                <w:webHidden/>
                <w:sz w:val="20"/>
                <w:szCs w:val="20"/>
              </w:rPr>
            </w:r>
            <w:r w:rsidRPr="00A03C69">
              <w:rPr>
                <w:noProof/>
                <w:webHidden/>
                <w:sz w:val="20"/>
                <w:szCs w:val="20"/>
              </w:rPr>
              <w:fldChar w:fldCharType="separate"/>
            </w:r>
            <w:r w:rsidR="006D5A25">
              <w:rPr>
                <w:noProof/>
                <w:webHidden/>
                <w:sz w:val="20"/>
                <w:szCs w:val="20"/>
              </w:rPr>
              <w:t>16</w:t>
            </w:r>
            <w:r w:rsidRPr="00A03C69">
              <w:rPr>
                <w:noProof/>
                <w:webHidden/>
                <w:sz w:val="20"/>
                <w:szCs w:val="20"/>
              </w:rPr>
              <w:fldChar w:fldCharType="end"/>
            </w:r>
          </w:hyperlink>
        </w:p>
        <w:p w14:paraId="251CD78F" w14:textId="27AED718" w:rsidR="00DE3F60" w:rsidRPr="00A03C69" w:rsidRDefault="00DE3F60" w:rsidP="00A03C69">
          <w:pPr>
            <w:pStyle w:val="TDC2"/>
            <w:tabs>
              <w:tab w:val="right" w:leader="dot" w:pos="9736"/>
            </w:tabs>
            <w:spacing w:before="40" w:afterLines="40" w:after="96" w:line="240" w:lineRule="auto"/>
            <w:rPr>
              <w:noProof/>
              <w:sz w:val="20"/>
              <w:szCs w:val="20"/>
            </w:rPr>
          </w:pPr>
          <w:hyperlink w:anchor="_Toc231894288" w:history="1">
            <w:r w:rsidRPr="00A03C69">
              <w:rPr>
                <w:rStyle w:val="Hipervnculo"/>
                <w:rFonts w:cstheme="majorHAnsi"/>
                <w:noProof/>
                <w:sz w:val="20"/>
                <w:szCs w:val="20"/>
                <w:lang w:val="es-ES"/>
              </w:rPr>
              <w:t>7.6. Criterios de desempate técnico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_Toc231894288 \h </w:instrText>
            </w:r>
            <w:r w:rsidRPr="00A03C69">
              <w:rPr>
                <w:noProof/>
                <w:webHidden/>
                <w:sz w:val="20"/>
                <w:szCs w:val="20"/>
              </w:rPr>
            </w:r>
            <w:r w:rsidRPr="00A03C69">
              <w:rPr>
                <w:noProof/>
                <w:webHidden/>
                <w:sz w:val="20"/>
                <w:szCs w:val="20"/>
              </w:rPr>
              <w:fldChar w:fldCharType="separate"/>
            </w:r>
            <w:r w:rsidR="006D5A25">
              <w:rPr>
                <w:noProof/>
                <w:webHidden/>
                <w:sz w:val="20"/>
                <w:szCs w:val="20"/>
              </w:rPr>
              <w:t>17</w:t>
            </w:r>
            <w:r w:rsidRPr="00A03C69">
              <w:rPr>
                <w:noProof/>
                <w:webHidden/>
                <w:sz w:val="20"/>
                <w:szCs w:val="20"/>
              </w:rPr>
              <w:fldChar w:fldCharType="end"/>
            </w:r>
          </w:hyperlink>
        </w:p>
        <w:p w14:paraId="5E8650F4" w14:textId="2FDB0302"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89" w:history="1">
            <w:r w:rsidRPr="00A03C69">
              <w:rPr>
                <w:rStyle w:val="Hipervnculo"/>
                <w:rFonts w:cstheme="majorHAnsi"/>
                <w:noProof/>
                <w:sz w:val="20"/>
                <w:szCs w:val="20"/>
                <w:lang w:val="es-ES"/>
              </w:rPr>
              <w:t>8. Comparación mediante similitud de coseno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_Toc231894289 \h </w:instrText>
            </w:r>
            <w:r w:rsidRPr="00A03C69">
              <w:rPr>
                <w:noProof/>
                <w:webHidden/>
                <w:sz w:val="20"/>
                <w:szCs w:val="20"/>
              </w:rPr>
            </w:r>
            <w:r w:rsidRPr="00A03C69">
              <w:rPr>
                <w:noProof/>
                <w:webHidden/>
                <w:sz w:val="20"/>
                <w:szCs w:val="20"/>
              </w:rPr>
              <w:fldChar w:fldCharType="separate"/>
            </w:r>
            <w:r w:rsidR="006D5A25">
              <w:rPr>
                <w:noProof/>
                <w:webHidden/>
                <w:sz w:val="20"/>
                <w:szCs w:val="20"/>
              </w:rPr>
              <w:t>17</w:t>
            </w:r>
            <w:r w:rsidRPr="00A03C69">
              <w:rPr>
                <w:noProof/>
                <w:webHidden/>
                <w:sz w:val="20"/>
                <w:szCs w:val="20"/>
              </w:rPr>
              <w:fldChar w:fldCharType="end"/>
            </w:r>
          </w:hyperlink>
        </w:p>
        <w:p w14:paraId="61DC8FD5" w14:textId="2D9E0C4C"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90" w:history="1">
            <w:r w:rsidRPr="00A03C69">
              <w:rPr>
                <w:rStyle w:val="Hipervnculo"/>
                <w:rFonts w:cstheme="majorHAnsi"/>
                <w:noProof/>
                <w:sz w:val="20"/>
                <w:szCs w:val="20"/>
                <w:lang w:val="es-ES"/>
              </w:rPr>
              <w:t>9. Interpretación de resultados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_Toc231894290 \h </w:instrText>
            </w:r>
            <w:r w:rsidRPr="00A03C69">
              <w:rPr>
                <w:noProof/>
                <w:webHidden/>
                <w:sz w:val="20"/>
                <w:szCs w:val="20"/>
              </w:rPr>
            </w:r>
            <w:r w:rsidRPr="00A03C69">
              <w:rPr>
                <w:noProof/>
                <w:webHidden/>
                <w:sz w:val="20"/>
                <w:szCs w:val="20"/>
              </w:rPr>
              <w:fldChar w:fldCharType="separate"/>
            </w:r>
            <w:r w:rsidR="006D5A25">
              <w:rPr>
                <w:noProof/>
                <w:webHidden/>
                <w:sz w:val="20"/>
                <w:szCs w:val="20"/>
              </w:rPr>
              <w:t>17</w:t>
            </w:r>
            <w:r w:rsidRPr="00A03C69">
              <w:rPr>
                <w:noProof/>
                <w:webHidden/>
                <w:sz w:val="20"/>
                <w:szCs w:val="20"/>
              </w:rPr>
              <w:fldChar w:fldCharType="end"/>
            </w:r>
          </w:hyperlink>
        </w:p>
        <w:p w14:paraId="6586CD7F" w14:textId="2DE3F411"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91" w:history="1">
            <w:r w:rsidRPr="00A03C69">
              <w:rPr>
                <w:rStyle w:val="Hipervnculo"/>
                <w:rFonts w:cstheme="majorHAnsi"/>
                <w:noProof/>
                <w:sz w:val="20"/>
                <w:szCs w:val="20"/>
                <w:lang w:val="es-ES"/>
              </w:rPr>
              <w:t>10. Validación de criterios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_Toc231894291 \h </w:instrText>
            </w:r>
            <w:r w:rsidRPr="00A03C69">
              <w:rPr>
                <w:noProof/>
                <w:webHidden/>
                <w:sz w:val="20"/>
                <w:szCs w:val="20"/>
              </w:rPr>
            </w:r>
            <w:r w:rsidRPr="00A03C69">
              <w:rPr>
                <w:noProof/>
                <w:webHidden/>
                <w:sz w:val="20"/>
                <w:szCs w:val="20"/>
              </w:rPr>
              <w:fldChar w:fldCharType="separate"/>
            </w:r>
            <w:r w:rsidR="006D5A25">
              <w:rPr>
                <w:noProof/>
                <w:webHidden/>
                <w:sz w:val="20"/>
                <w:szCs w:val="20"/>
              </w:rPr>
              <w:t>18</w:t>
            </w:r>
            <w:r w:rsidRPr="00A03C69">
              <w:rPr>
                <w:noProof/>
                <w:webHidden/>
                <w:sz w:val="20"/>
                <w:szCs w:val="20"/>
              </w:rPr>
              <w:fldChar w:fldCharType="end"/>
            </w:r>
          </w:hyperlink>
        </w:p>
        <w:p w14:paraId="7F866949" w14:textId="0A8EB20D"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92" w:history="1">
            <w:r w:rsidRPr="00A03C69">
              <w:rPr>
                <w:rStyle w:val="Hipervnculo"/>
                <w:rFonts w:cstheme="majorHAnsi"/>
                <w:noProof/>
                <w:sz w:val="20"/>
                <w:szCs w:val="20"/>
                <w:lang w:val="es-ES"/>
              </w:rPr>
              <w:t>11. Uso de la herramienta en el procedimiento administrativo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_Toc231894292 \h </w:instrText>
            </w:r>
            <w:r w:rsidRPr="00A03C69">
              <w:rPr>
                <w:noProof/>
                <w:webHidden/>
                <w:sz w:val="20"/>
                <w:szCs w:val="20"/>
              </w:rPr>
            </w:r>
            <w:r w:rsidRPr="00A03C69">
              <w:rPr>
                <w:noProof/>
                <w:webHidden/>
                <w:sz w:val="20"/>
                <w:szCs w:val="20"/>
              </w:rPr>
              <w:fldChar w:fldCharType="separate"/>
            </w:r>
            <w:r w:rsidR="006D5A25">
              <w:rPr>
                <w:noProof/>
                <w:webHidden/>
                <w:sz w:val="20"/>
                <w:szCs w:val="20"/>
              </w:rPr>
              <w:t>19</w:t>
            </w:r>
            <w:r w:rsidRPr="00A03C69">
              <w:rPr>
                <w:noProof/>
                <w:webHidden/>
                <w:sz w:val="20"/>
                <w:szCs w:val="20"/>
              </w:rPr>
              <w:fldChar w:fldCharType="end"/>
            </w:r>
          </w:hyperlink>
        </w:p>
        <w:p w14:paraId="628201CA" w14:textId="2114476B"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93" w:history="1">
            <w:r w:rsidRPr="00A03C69">
              <w:rPr>
                <w:rStyle w:val="Hipervnculo"/>
                <w:rFonts w:cstheme="majorHAnsi"/>
                <w:noProof/>
                <w:sz w:val="20"/>
                <w:szCs w:val="20"/>
                <w:lang w:val="es-ES"/>
              </w:rPr>
              <w:t>12. Límites y garantías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_Toc231894293 \h </w:instrText>
            </w:r>
            <w:r w:rsidRPr="00A03C69">
              <w:rPr>
                <w:noProof/>
                <w:webHidden/>
                <w:sz w:val="20"/>
                <w:szCs w:val="20"/>
              </w:rPr>
            </w:r>
            <w:r w:rsidRPr="00A03C69">
              <w:rPr>
                <w:noProof/>
                <w:webHidden/>
                <w:sz w:val="20"/>
                <w:szCs w:val="20"/>
              </w:rPr>
              <w:fldChar w:fldCharType="separate"/>
            </w:r>
            <w:r w:rsidR="006D5A25">
              <w:rPr>
                <w:noProof/>
                <w:webHidden/>
                <w:sz w:val="20"/>
                <w:szCs w:val="20"/>
              </w:rPr>
              <w:t>19</w:t>
            </w:r>
            <w:r w:rsidRPr="00A03C69">
              <w:rPr>
                <w:noProof/>
                <w:webHidden/>
                <w:sz w:val="20"/>
                <w:szCs w:val="20"/>
              </w:rPr>
              <w:fldChar w:fldCharType="end"/>
            </w:r>
          </w:hyperlink>
        </w:p>
        <w:p w14:paraId="308B8E5B" w14:textId="38E09697"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94" w:history="1">
            <w:r w:rsidRPr="00A03C69">
              <w:rPr>
                <w:rStyle w:val="Hipervnculo"/>
                <w:rFonts w:cstheme="majorHAnsi"/>
                <w:noProof/>
                <w:sz w:val="20"/>
                <w:szCs w:val="20"/>
                <w:lang w:val="es-ES"/>
              </w:rPr>
              <w:t>13. Fases operativas recomendadas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_Toc231894294 \h </w:instrText>
            </w:r>
            <w:r w:rsidRPr="00A03C69">
              <w:rPr>
                <w:noProof/>
                <w:webHidden/>
                <w:sz w:val="20"/>
                <w:szCs w:val="20"/>
              </w:rPr>
            </w:r>
            <w:r w:rsidRPr="00A03C69">
              <w:rPr>
                <w:noProof/>
                <w:webHidden/>
                <w:sz w:val="20"/>
                <w:szCs w:val="20"/>
              </w:rPr>
              <w:fldChar w:fldCharType="separate"/>
            </w:r>
            <w:r w:rsidR="006D5A25">
              <w:rPr>
                <w:noProof/>
                <w:webHidden/>
                <w:sz w:val="20"/>
                <w:szCs w:val="20"/>
              </w:rPr>
              <w:t>19</w:t>
            </w:r>
            <w:r w:rsidRPr="00A03C69">
              <w:rPr>
                <w:noProof/>
                <w:webHidden/>
                <w:sz w:val="20"/>
                <w:szCs w:val="20"/>
              </w:rPr>
              <w:fldChar w:fldCharType="end"/>
            </w:r>
          </w:hyperlink>
        </w:p>
        <w:p w14:paraId="74E10914" w14:textId="7B601E19"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95" w:history="1">
            <w:r w:rsidRPr="00A03C69">
              <w:rPr>
                <w:rStyle w:val="Hipervnculo"/>
                <w:rFonts w:cstheme="majorHAnsi"/>
                <w:noProof/>
                <w:sz w:val="20"/>
                <w:szCs w:val="20"/>
                <w:lang w:val="es-ES"/>
              </w:rPr>
              <w:t>14. Conclusión</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_Toc231894295 \h </w:instrText>
            </w:r>
            <w:r w:rsidRPr="00A03C69">
              <w:rPr>
                <w:noProof/>
                <w:webHidden/>
                <w:sz w:val="20"/>
                <w:szCs w:val="20"/>
              </w:rPr>
            </w:r>
            <w:r w:rsidRPr="00A03C69">
              <w:rPr>
                <w:noProof/>
                <w:webHidden/>
                <w:sz w:val="20"/>
                <w:szCs w:val="20"/>
              </w:rPr>
              <w:fldChar w:fldCharType="separate"/>
            </w:r>
            <w:r w:rsidR="006D5A25">
              <w:rPr>
                <w:noProof/>
                <w:webHidden/>
                <w:sz w:val="20"/>
                <w:szCs w:val="20"/>
              </w:rPr>
              <w:t>20</w:t>
            </w:r>
            <w:r w:rsidRPr="00A03C69">
              <w:rPr>
                <w:noProof/>
                <w:webHidden/>
                <w:sz w:val="20"/>
                <w:szCs w:val="20"/>
              </w:rPr>
              <w:fldChar w:fldCharType="end"/>
            </w:r>
          </w:hyperlink>
        </w:p>
        <w:p w14:paraId="7826442A" w14:textId="43DC8666"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96" w:history="1">
            <w:r w:rsidRPr="00A03C69">
              <w:rPr>
                <w:rStyle w:val="Hipervnculo"/>
                <w:rFonts w:cstheme="majorHAnsi"/>
                <w:noProof/>
                <w:sz w:val="20"/>
                <w:szCs w:val="20"/>
                <w:lang w:val="es-ES"/>
              </w:rPr>
              <w:t>Anexo I. Esquema sintético de cálculo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_Toc231894296 \h </w:instrText>
            </w:r>
            <w:r w:rsidRPr="00A03C69">
              <w:rPr>
                <w:noProof/>
                <w:webHidden/>
                <w:sz w:val="20"/>
                <w:szCs w:val="20"/>
              </w:rPr>
            </w:r>
            <w:r w:rsidRPr="00A03C69">
              <w:rPr>
                <w:noProof/>
                <w:webHidden/>
                <w:sz w:val="20"/>
                <w:szCs w:val="20"/>
              </w:rPr>
              <w:fldChar w:fldCharType="separate"/>
            </w:r>
            <w:r w:rsidR="006D5A25">
              <w:rPr>
                <w:noProof/>
                <w:webHidden/>
                <w:sz w:val="20"/>
                <w:szCs w:val="20"/>
              </w:rPr>
              <w:t>21</w:t>
            </w:r>
            <w:r w:rsidRPr="00A03C69">
              <w:rPr>
                <w:noProof/>
                <w:webHidden/>
                <w:sz w:val="20"/>
                <w:szCs w:val="20"/>
              </w:rPr>
              <w:fldChar w:fldCharType="end"/>
            </w:r>
          </w:hyperlink>
        </w:p>
        <w:p w14:paraId="6F1201DB" w14:textId="3ED5B91B"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97" w:history="1">
            <w:r w:rsidRPr="00A03C69">
              <w:rPr>
                <w:rStyle w:val="Hipervnculo"/>
                <w:rFonts w:cstheme="majorHAnsi"/>
                <w:noProof/>
                <w:sz w:val="20"/>
                <w:szCs w:val="20"/>
                <w:lang w:val="es-ES"/>
              </w:rPr>
              <w:t>Anexo II. Intervalos de niveles de complemento de destino</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_Toc231894297 \h </w:instrText>
            </w:r>
            <w:r w:rsidRPr="00A03C69">
              <w:rPr>
                <w:noProof/>
                <w:webHidden/>
                <w:sz w:val="20"/>
                <w:szCs w:val="20"/>
              </w:rPr>
            </w:r>
            <w:r w:rsidRPr="00A03C69">
              <w:rPr>
                <w:noProof/>
                <w:webHidden/>
                <w:sz w:val="20"/>
                <w:szCs w:val="20"/>
              </w:rPr>
              <w:fldChar w:fldCharType="separate"/>
            </w:r>
            <w:r w:rsidR="006D5A25">
              <w:rPr>
                <w:noProof/>
                <w:webHidden/>
                <w:sz w:val="20"/>
                <w:szCs w:val="20"/>
              </w:rPr>
              <w:t>22</w:t>
            </w:r>
            <w:r w:rsidRPr="00A03C69">
              <w:rPr>
                <w:noProof/>
                <w:webHidden/>
                <w:sz w:val="20"/>
                <w:szCs w:val="20"/>
              </w:rPr>
              <w:fldChar w:fldCharType="end"/>
            </w:r>
          </w:hyperlink>
        </w:p>
        <w:p w14:paraId="20DE1F7A" w14:textId="4A1DD544" w:rsidR="00DE3F60" w:rsidRPr="00A03C69" w:rsidRDefault="00DE3F60" w:rsidP="00A03C69">
          <w:pPr>
            <w:pStyle w:val="TDC1"/>
            <w:tabs>
              <w:tab w:val="right" w:leader="dot" w:pos="9736"/>
            </w:tabs>
            <w:spacing w:before="40" w:afterLines="40" w:after="96" w:line="240" w:lineRule="auto"/>
            <w:rPr>
              <w:noProof/>
              <w:sz w:val="20"/>
              <w:szCs w:val="20"/>
            </w:rPr>
          </w:pPr>
          <w:hyperlink w:anchor="_Toc231894298" w:history="1">
            <w:r w:rsidRPr="00A03C69">
              <w:rPr>
                <w:rStyle w:val="Hipervnculo"/>
                <w:rFonts w:cstheme="majorHAnsi"/>
                <w:noProof/>
                <w:sz w:val="20"/>
                <w:szCs w:val="20"/>
                <w:lang w:val="es-ES"/>
              </w:rPr>
              <w:t>Referencias normativas principales</w:t>
            </w:r>
            <w:r w:rsidRPr="00A03C69">
              <w:rPr>
                <w:noProof/>
                <w:webHidden/>
                <w:sz w:val="20"/>
                <w:szCs w:val="20"/>
              </w:rPr>
              <w:tab/>
            </w:r>
            <w:r w:rsidRPr="00A03C69">
              <w:rPr>
                <w:noProof/>
                <w:webHidden/>
                <w:sz w:val="20"/>
                <w:szCs w:val="20"/>
              </w:rPr>
              <w:fldChar w:fldCharType="begin"/>
            </w:r>
            <w:r w:rsidRPr="00A03C69">
              <w:rPr>
                <w:noProof/>
                <w:webHidden/>
                <w:sz w:val="20"/>
                <w:szCs w:val="20"/>
              </w:rPr>
              <w:instrText xml:space="preserve"> PAGEREF _Toc231894298 \h </w:instrText>
            </w:r>
            <w:r w:rsidRPr="00A03C69">
              <w:rPr>
                <w:noProof/>
                <w:webHidden/>
                <w:sz w:val="20"/>
                <w:szCs w:val="20"/>
              </w:rPr>
            </w:r>
            <w:r w:rsidRPr="00A03C69">
              <w:rPr>
                <w:noProof/>
                <w:webHidden/>
                <w:sz w:val="20"/>
                <w:szCs w:val="20"/>
              </w:rPr>
              <w:fldChar w:fldCharType="separate"/>
            </w:r>
            <w:r w:rsidR="006D5A25">
              <w:rPr>
                <w:noProof/>
                <w:webHidden/>
                <w:sz w:val="20"/>
                <w:szCs w:val="20"/>
              </w:rPr>
              <w:t>22</w:t>
            </w:r>
            <w:r w:rsidRPr="00A03C69">
              <w:rPr>
                <w:noProof/>
                <w:webHidden/>
                <w:sz w:val="20"/>
                <w:szCs w:val="20"/>
              </w:rPr>
              <w:fldChar w:fldCharType="end"/>
            </w:r>
          </w:hyperlink>
        </w:p>
        <w:p w14:paraId="63CD7F6E" w14:textId="6DA62A44" w:rsidR="00DE3F60" w:rsidRDefault="00DE3F60" w:rsidP="00A03C69">
          <w:pPr>
            <w:spacing w:before="40" w:afterLines="40" w:after="96" w:line="240" w:lineRule="auto"/>
          </w:pPr>
          <w:r w:rsidRPr="00A03C69">
            <w:rPr>
              <w:b/>
              <w:bCs/>
              <w:sz w:val="20"/>
              <w:szCs w:val="20"/>
            </w:rPr>
            <w:fldChar w:fldCharType="end"/>
          </w:r>
        </w:p>
      </w:sdtContent>
    </w:sdt>
    <w:p w14:paraId="24C0033E" w14:textId="77777777" w:rsidR="00A03C69" w:rsidRDefault="00A03C69" w:rsidP="00DE3F60">
      <w:pPr>
        <w:pStyle w:val="Ttulo1"/>
        <w:spacing w:before="120" w:after="240" w:line="240" w:lineRule="auto"/>
        <w:jc w:val="both"/>
        <w:rPr>
          <w:rFonts w:cstheme="majorHAnsi"/>
          <w:lang w:val="es-ES"/>
        </w:rPr>
      </w:pPr>
      <w:bookmarkStart w:id="0" w:name="_Toc231894263"/>
    </w:p>
    <w:p w14:paraId="3801E2A3" w14:textId="226C031C" w:rsidR="00103DD6" w:rsidRPr="00DE3F60" w:rsidRDefault="0020195E" w:rsidP="00DE3F60">
      <w:pPr>
        <w:pStyle w:val="Ttulo1"/>
        <w:spacing w:before="120" w:after="240" w:line="240" w:lineRule="auto"/>
        <w:jc w:val="both"/>
        <w:rPr>
          <w:rFonts w:cstheme="majorHAnsi"/>
          <w:lang w:val="es-ES"/>
        </w:rPr>
      </w:pPr>
      <w:r w:rsidRPr="00DE3F60">
        <w:rPr>
          <w:rFonts w:cstheme="majorHAnsi"/>
          <w:lang w:val="es-ES"/>
        </w:rPr>
        <w:t>1. Objeto y finalidad de la instrucción</w:t>
      </w:r>
      <w:bookmarkEnd w:id="0"/>
    </w:p>
    <w:p w14:paraId="3B604F12" w14:textId="1B5EE39D" w:rsidR="00103DD6" w:rsidRPr="00DE3F60" w:rsidRDefault="00DE3F60" w:rsidP="00DE3F60">
      <w:pPr>
        <w:spacing w:before="120" w:after="240" w:line="240" w:lineRule="auto"/>
        <w:jc w:val="both"/>
        <w:rPr>
          <w:rFonts w:asciiTheme="majorHAnsi" w:hAnsiTheme="majorHAnsi" w:cstheme="majorHAnsi"/>
          <w:lang w:val="es-ES"/>
        </w:rPr>
      </w:pPr>
      <w:r>
        <w:rPr>
          <w:rFonts w:asciiTheme="majorHAnsi" w:hAnsiTheme="majorHAnsi" w:cstheme="majorHAnsi"/>
          <w:lang w:val="es-ES"/>
        </w:rPr>
        <w:t>El presente documento</w:t>
      </w:r>
      <w:r w:rsidRPr="00DE3F60">
        <w:rPr>
          <w:rFonts w:asciiTheme="majorHAnsi" w:hAnsiTheme="majorHAnsi" w:cstheme="majorHAnsi"/>
          <w:lang w:val="es-ES"/>
        </w:rPr>
        <w:t xml:space="preserve"> tiene por objeto describir la metodología de análisis utilizada por el Servicio de Recursos Humanos para el estudio de los niveles de complemento de destino de los puestos de trabajo del Ayuntamiento de Elche.</w:t>
      </w:r>
    </w:p>
    <w:p w14:paraId="78C646C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Su finalidad es facilitar la comprensión del modelo, documentar sus fundamentos conceptuales, jurídicos y técnico-matemáticos, y permitir la validación previa de los criterios de funcionamiento antes de extraer conclusiones sobre puestos concretos.</w:t>
      </w:r>
    </w:p>
    <w:p w14:paraId="6996D11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herramienta de evaluación técnica no está diseñada para confirmar decisiones previamente adoptadas. Su función es ordenar el análisis, representar de forma homogénea el contenido funcional de los puestos y comparar cada puesto con referencias patrón previamente definidas.</w:t>
      </w:r>
    </w:p>
    <w:p w14:paraId="59E0E049" w14:textId="77777777" w:rsidR="00103DD6" w:rsidRPr="00DE3F60" w:rsidRDefault="0020195E" w:rsidP="00DE3F60">
      <w:pPr>
        <w:pStyle w:val="Ttulo1"/>
        <w:spacing w:before="120" w:after="240" w:line="240" w:lineRule="auto"/>
        <w:jc w:val="both"/>
        <w:rPr>
          <w:rFonts w:cstheme="majorHAnsi"/>
          <w:lang w:val="es-ES"/>
        </w:rPr>
      </w:pPr>
      <w:bookmarkStart w:id="1" w:name="_Toc231894264"/>
      <w:r w:rsidRPr="00DE3F60">
        <w:rPr>
          <w:rFonts w:cstheme="majorHAnsi"/>
          <w:lang w:val="es-ES"/>
        </w:rPr>
        <w:t>2. Alcance y naturaleza del documento</w:t>
      </w:r>
      <w:bookmarkEnd w:id="1"/>
    </w:p>
    <w:p w14:paraId="2309247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Esta instrucción se refiere exclusivamente a la metodología de análisis técnico del nivel de complemento de destino. No constituye, por sí misma, una propuesta de modificación de la Relación de Puestos de Trabajo, ni implica el reconocimiento de derechos individuales o colectivos.</w:t>
      </w:r>
    </w:p>
    <w:p w14:paraId="30C7C75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documento cumple una función previa: explicar cómo se construye el resultado de la herramienta y qué controles deben realizarse para asegurar que los criterios de vectorización, factorización y comparación son coherentes con la realidad organizativa municipal.</w:t>
      </w:r>
    </w:p>
    <w:p w14:paraId="7B360DB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Por tanto, el orden lógico del trabajo es el siguiente: primero se validan los criterios; después se aplican a los puestos; finalmente, si los resultados lo justifican, se formulan propuestas técnicas integrables en el expediente administrativo correspondiente.</w:t>
      </w:r>
    </w:p>
    <w:p w14:paraId="63BA2F60" w14:textId="77777777" w:rsidR="00103DD6" w:rsidRPr="00DE3F60" w:rsidRDefault="0020195E" w:rsidP="00DE3F60">
      <w:pPr>
        <w:pStyle w:val="Ttulo1"/>
        <w:spacing w:before="120" w:after="240" w:line="240" w:lineRule="auto"/>
        <w:jc w:val="both"/>
        <w:rPr>
          <w:rFonts w:cstheme="majorHAnsi"/>
          <w:lang w:val="es-ES"/>
        </w:rPr>
      </w:pPr>
      <w:bookmarkStart w:id="2" w:name="_Toc231894265"/>
      <w:r w:rsidRPr="00DE3F60">
        <w:rPr>
          <w:rFonts w:cstheme="majorHAnsi"/>
          <w:lang w:val="es-ES"/>
        </w:rPr>
        <w:t>3. Fundamentos jurídicos del complemento de destino</w:t>
      </w:r>
      <w:bookmarkEnd w:id="2"/>
    </w:p>
    <w:p w14:paraId="78B871B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complemento de destino es una retribución complementaria vinculada al nivel del puesto de trabajo desempeñado. Su análisis debe partir de la normativa reguladora de la estructura retributiva del personal funcionario y, en particular, de la normativa específica aplicable a la Administración Local.</w:t>
      </w:r>
    </w:p>
    <w:p w14:paraId="56EFF670" w14:textId="77777777" w:rsidR="00103DD6" w:rsidRPr="00DE3F60" w:rsidRDefault="0020195E" w:rsidP="00DE3F60">
      <w:pPr>
        <w:pStyle w:val="Ttulo2"/>
        <w:spacing w:before="120" w:after="240" w:line="240" w:lineRule="auto"/>
        <w:jc w:val="both"/>
        <w:rPr>
          <w:rFonts w:cstheme="majorHAnsi"/>
          <w:lang w:val="es-ES"/>
        </w:rPr>
      </w:pPr>
      <w:bookmarkStart w:id="3" w:name="_Toc231894266"/>
      <w:r w:rsidRPr="00DE3F60">
        <w:rPr>
          <w:rFonts w:cstheme="majorHAnsi"/>
          <w:lang w:val="es-ES"/>
        </w:rPr>
        <w:t>3.1. Relación del complemento de destino con el puesto de trabajo</w:t>
      </w:r>
      <w:bookmarkEnd w:id="3"/>
    </w:p>
    <w:p w14:paraId="4ECE08E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artículo 23 de la Ley 30/1984, de 2 de agosto, de medidas para la reforma de la Función Pública, configuró el complemento de destino como la retribución complementaria correspondiente al nivel del puesto que se desempeñe. Esta estructura retributiva sigue siendo referencia del régimen transitorio aplicable en tanto no se complete el desarrollo normativo del sistema retributivo previsto en el TREBEP.</w:t>
      </w:r>
    </w:p>
    <w:p w14:paraId="5138FE3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artículo 74 del texto refundido de la Ley del Estatuto Básico del Empleado Público exige que las Administraciones Públicas estructuren su organización mediante relaciones de puestos de trabajo u otros instrumentos organizativos similares, incluyendo, al menos, denominación de los puestos, grupos de clasificación, sistemas de provisión y retribuciones complementarias.</w:t>
      </w:r>
    </w:p>
    <w:p w14:paraId="127DF5A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De ello se desprende que la modificación del nivel de complemento de destino debe conectarse con el puesto de trabajo y con su clasificación objetiva en la RPT, no con situaciones personales, preferencias organizativas no motivadas o expectativas individuales de carrera.</w:t>
      </w:r>
    </w:p>
    <w:p w14:paraId="0544CCF3" w14:textId="77777777" w:rsidR="00103DD6" w:rsidRPr="00DE3F60" w:rsidRDefault="0020195E" w:rsidP="00DE3F60">
      <w:pPr>
        <w:pStyle w:val="Ttulo2"/>
        <w:spacing w:before="120" w:after="240" w:line="240" w:lineRule="auto"/>
        <w:jc w:val="both"/>
        <w:rPr>
          <w:rFonts w:cstheme="majorHAnsi"/>
          <w:lang w:val="es-ES"/>
        </w:rPr>
      </w:pPr>
      <w:bookmarkStart w:id="4" w:name="_Toc231894267"/>
      <w:r w:rsidRPr="00DE3F60">
        <w:rPr>
          <w:rFonts w:cstheme="majorHAnsi"/>
          <w:lang w:val="es-ES"/>
        </w:rPr>
        <w:t>3.2. Artículo 3 del Real Decreto 861/1986</w:t>
      </w:r>
      <w:bookmarkEnd w:id="4"/>
    </w:p>
    <w:p w14:paraId="3B77473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artículo 3 del Real Decreto 861/1986, de 25 de abril, por el que se establece el régimen de las retribuciones de los funcionarios de Administración Local, contiene la regla central para la asignación del complemento de destino en las entidades locales.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6236"/>
      </w:tblGrid>
      <w:tr w:rsidR="00103DD6" w:rsidRPr="00DE3F60" w14:paraId="1C5B88DF" w14:textId="77777777">
        <w:trPr>
          <w:jc w:val="center"/>
        </w:trPr>
        <w:tc>
          <w:tcPr>
            <w:tcW w:w="2835" w:type="dxa"/>
            <w:shd w:val="clear" w:color="auto" w:fill="1F4E79"/>
            <w:vAlign w:val="center"/>
          </w:tcPr>
          <w:p w14:paraId="69F4DB8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Regla jurídica</w:t>
            </w:r>
          </w:p>
        </w:tc>
        <w:tc>
          <w:tcPr>
            <w:tcW w:w="6236" w:type="dxa"/>
            <w:shd w:val="clear" w:color="auto" w:fill="1F4E79"/>
            <w:vAlign w:val="center"/>
          </w:tcPr>
          <w:p w14:paraId="7195D6B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Contenido operativo para la herramienta</w:t>
            </w:r>
          </w:p>
        </w:tc>
      </w:tr>
      <w:tr w:rsidR="00103DD6" w:rsidRPr="00DE3F60" w14:paraId="3140980C" w14:textId="77777777">
        <w:trPr>
          <w:jc w:val="center"/>
        </w:trPr>
        <w:tc>
          <w:tcPr>
            <w:tcW w:w="2835" w:type="dxa"/>
            <w:vAlign w:val="center"/>
          </w:tcPr>
          <w:p w14:paraId="7E9E8AAE" w14:textId="77777777" w:rsidR="00103DD6" w:rsidRPr="00C83CEC" w:rsidRDefault="0020195E" w:rsidP="00DE3F60">
            <w:pPr>
              <w:spacing w:before="12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Remisión a los intervalos estatales</w:t>
            </w:r>
          </w:p>
        </w:tc>
        <w:tc>
          <w:tcPr>
            <w:tcW w:w="6236" w:type="dxa"/>
            <w:vAlign w:val="center"/>
          </w:tcPr>
          <w:p w14:paraId="233B33D8" w14:textId="77777777" w:rsidR="00103DD6" w:rsidRPr="00C83CEC" w:rsidRDefault="0020195E" w:rsidP="00DE3F60">
            <w:pPr>
              <w:spacing w:before="12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Los intervalos de niveles de los puestos de funcionarios de Administración Local son los que en cada momento se establezcan para los funcionarios de la Administración del Estado.</w:t>
            </w:r>
          </w:p>
        </w:tc>
      </w:tr>
      <w:tr w:rsidR="00103DD6" w:rsidRPr="00DE3F60" w14:paraId="03CF85E6" w14:textId="77777777">
        <w:trPr>
          <w:jc w:val="center"/>
        </w:trPr>
        <w:tc>
          <w:tcPr>
            <w:tcW w:w="2835" w:type="dxa"/>
            <w:vAlign w:val="center"/>
          </w:tcPr>
          <w:p w14:paraId="1615CF24" w14:textId="77777777" w:rsidR="00103DD6" w:rsidRPr="00C83CEC" w:rsidRDefault="0020195E" w:rsidP="00DE3F60">
            <w:pPr>
              <w:spacing w:before="12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Asignación por el Pleno</w:t>
            </w:r>
          </w:p>
        </w:tc>
        <w:tc>
          <w:tcPr>
            <w:tcW w:w="6236" w:type="dxa"/>
            <w:vAlign w:val="center"/>
          </w:tcPr>
          <w:p w14:paraId="5DB85631" w14:textId="77777777" w:rsidR="00103DD6" w:rsidRPr="00C83CEC" w:rsidRDefault="0020195E" w:rsidP="00DE3F60">
            <w:pPr>
              <w:spacing w:before="12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Dentro de los límites máximo y mínimo, el Pleno asigna nivel a cada puesto de trabajo.</w:t>
            </w:r>
          </w:p>
        </w:tc>
      </w:tr>
      <w:tr w:rsidR="00103DD6" w:rsidRPr="00DE3F60" w14:paraId="00279607" w14:textId="77777777">
        <w:trPr>
          <w:jc w:val="center"/>
        </w:trPr>
        <w:tc>
          <w:tcPr>
            <w:tcW w:w="2835" w:type="dxa"/>
            <w:vAlign w:val="center"/>
          </w:tcPr>
          <w:p w14:paraId="4B5071D7" w14:textId="77777777" w:rsidR="00103DD6" w:rsidRPr="00C83CEC" w:rsidRDefault="0020195E" w:rsidP="00DE3F60">
            <w:pPr>
              <w:spacing w:before="12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Criterios de asignación</w:t>
            </w:r>
          </w:p>
        </w:tc>
        <w:tc>
          <w:tcPr>
            <w:tcW w:w="6236" w:type="dxa"/>
            <w:vAlign w:val="center"/>
          </w:tcPr>
          <w:p w14:paraId="682C222A" w14:textId="77777777" w:rsidR="00103DD6" w:rsidRPr="00C83CEC" w:rsidRDefault="0020195E" w:rsidP="00DE3F60">
            <w:pPr>
              <w:spacing w:before="12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La asignación debe atender a especialización, responsabilidad, competencia y mando, así como a la complejidad territorial y funcional del servicio.</w:t>
            </w:r>
          </w:p>
        </w:tc>
      </w:tr>
      <w:tr w:rsidR="00103DD6" w:rsidRPr="00DE3F60" w14:paraId="11112B84" w14:textId="77777777">
        <w:trPr>
          <w:jc w:val="center"/>
        </w:trPr>
        <w:tc>
          <w:tcPr>
            <w:tcW w:w="2835" w:type="dxa"/>
            <w:vAlign w:val="center"/>
          </w:tcPr>
          <w:p w14:paraId="09B34C2F" w14:textId="77777777" w:rsidR="00103DD6" w:rsidRPr="00C83CEC" w:rsidRDefault="0020195E" w:rsidP="00DE3F60">
            <w:pPr>
              <w:spacing w:before="12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Respeto del intervalo del grupo o subgrupo</w:t>
            </w:r>
          </w:p>
        </w:tc>
        <w:tc>
          <w:tcPr>
            <w:tcW w:w="6236" w:type="dxa"/>
            <w:vAlign w:val="center"/>
          </w:tcPr>
          <w:p w14:paraId="3E7E5F0C" w14:textId="77777777" w:rsidR="00103DD6" w:rsidRPr="00C83CEC" w:rsidRDefault="0020195E" w:rsidP="00DE3F60">
            <w:pPr>
              <w:spacing w:before="12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No deben obtenerse puestos fuera del intervalo correspondiente al grupo o subgrupo de clasificación de la escala, subescala, clase o categoría.</w:t>
            </w:r>
          </w:p>
        </w:tc>
      </w:tr>
      <w:tr w:rsidR="00103DD6" w:rsidRPr="00DE3F60" w14:paraId="5935A625" w14:textId="77777777">
        <w:trPr>
          <w:jc w:val="center"/>
        </w:trPr>
        <w:tc>
          <w:tcPr>
            <w:tcW w:w="2835" w:type="dxa"/>
            <w:vAlign w:val="center"/>
          </w:tcPr>
          <w:p w14:paraId="5ABF1B2D" w14:textId="77777777" w:rsidR="00103DD6" w:rsidRPr="00C83CEC" w:rsidRDefault="0020195E" w:rsidP="00DE3F60">
            <w:pPr>
              <w:spacing w:before="12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Reflejo presupuestario</w:t>
            </w:r>
          </w:p>
        </w:tc>
        <w:tc>
          <w:tcPr>
            <w:tcW w:w="6236" w:type="dxa"/>
            <w:vAlign w:val="center"/>
          </w:tcPr>
          <w:p w14:paraId="70827E56" w14:textId="77777777" w:rsidR="00103DD6" w:rsidRPr="00C83CEC" w:rsidRDefault="0020195E" w:rsidP="00DE3F60">
            <w:pPr>
              <w:spacing w:before="12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Los complementos de destino asignados deben figurar en el presupuesto anual con la cuantía fijada para cada nivel.</w:t>
            </w:r>
          </w:p>
        </w:tc>
      </w:tr>
    </w:tbl>
    <w:p w14:paraId="31066E1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herramienta toma precisamente esos criterios —especialización, responsabilidad, competencia, mando y complejidad funcional o territorial— como factores de referencia para construir la representación técnica de cada puesto.</w:t>
      </w:r>
    </w:p>
    <w:p w14:paraId="5EB93BF2" w14:textId="77777777" w:rsidR="00103DD6" w:rsidRPr="00DE3F60" w:rsidRDefault="0020195E" w:rsidP="00DE3F60">
      <w:pPr>
        <w:pStyle w:val="Ttulo2"/>
        <w:spacing w:before="120" w:after="240" w:line="240" w:lineRule="auto"/>
        <w:jc w:val="both"/>
        <w:rPr>
          <w:rFonts w:cstheme="majorHAnsi"/>
          <w:lang w:val="es-ES"/>
        </w:rPr>
      </w:pPr>
      <w:bookmarkStart w:id="5" w:name="_Toc231894268"/>
      <w:r w:rsidRPr="00DE3F60">
        <w:rPr>
          <w:rFonts w:cstheme="majorHAnsi"/>
          <w:lang w:val="es-ES"/>
        </w:rPr>
        <w:t>3.3. Intervalos de niveles del Real Decreto-ley 6/2023</w:t>
      </w:r>
      <w:bookmarkEnd w:id="5"/>
    </w:p>
    <w:p w14:paraId="033D8E7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disposición transitoria sexta del Real Decreto-ley 6/2023, de 19 de diciembre, establece, hasta la aprobación de la normativa reglamentaria correspondiente, los intervalos de niveles por grupo o subgrupo de clasificación. Estos intervalos se incorporan al modelo como restricción normativa de validación.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2268"/>
        <w:gridCol w:w="2268"/>
      </w:tblGrid>
      <w:tr w:rsidR="00103DD6" w:rsidRPr="00DE3F60" w14:paraId="35BE90EB" w14:textId="77777777">
        <w:trPr>
          <w:jc w:val="center"/>
        </w:trPr>
        <w:tc>
          <w:tcPr>
            <w:tcW w:w="2835" w:type="dxa"/>
            <w:shd w:val="clear" w:color="auto" w:fill="1F4E79"/>
            <w:vAlign w:val="center"/>
          </w:tcPr>
          <w:p w14:paraId="6B8FB6C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Grupo o subgrupo</w:t>
            </w:r>
          </w:p>
        </w:tc>
        <w:tc>
          <w:tcPr>
            <w:tcW w:w="2268" w:type="dxa"/>
            <w:shd w:val="clear" w:color="auto" w:fill="1F4E79"/>
            <w:vAlign w:val="center"/>
          </w:tcPr>
          <w:p w14:paraId="036510E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Nivel mínimo</w:t>
            </w:r>
          </w:p>
        </w:tc>
        <w:tc>
          <w:tcPr>
            <w:tcW w:w="2268" w:type="dxa"/>
            <w:shd w:val="clear" w:color="auto" w:fill="1F4E79"/>
            <w:vAlign w:val="center"/>
          </w:tcPr>
          <w:p w14:paraId="57460F1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Nivel máximo</w:t>
            </w:r>
          </w:p>
        </w:tc>
      </w:tr>
      <w:tr w:rsidR="00103DD6" w:rsidRPr="00DE3F60" w14:paraId="7FFD4669" w14:textId="77777777">
        <w:trPr>
          <w:jc w:val="center"/>
        </w:trPr>
        <w:tc>
          <w:tcPr>
            <w:tcW w:w="2835" w:type="dxa"/>
            <w:vAlign w:val="center"/>
          </w:tcPr>
          <w:p w14:paraId="6ACA68DA"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A1</w:t>
            </w:r>
          </w:p>
        </w:tc>
        <w:tc>
          <w:tcPr>
            <w:tcW w:w="2268" w:type="dxa"/>
            <w:vAlign w:val="center"/>
          </w:tcPr>
          <w:p w14:paraId="72255918"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24</w:t>
            </w:r>
          </w:p>
        </w:tc>
        <w:tc>
          <w:tcPr>
            <w:tcW w:w="2268" w:type="dxa"/>
            <w:vAlign w:val="center"/>
          </w:tcPr>
          <w:p w14:paraId="1DD7EF1F"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30</w:t>
            </w:r>
          </w:p>
        </w:tc>
      </w:tr>
      <w:tr w:rsidR="00103DD6" w:rsidRPr="00DE3F60" w14:paraId="1CF66225" w14:textId="77777777">
        <w:trPr>
          <w:jc w:val="center"/>
        </w:trPr>
        <w:tc>
          <w:tcPr>
            <w:tcW w:w="2835" w:type="dxa"/>
            <w:vAlign w:val="center"/>
          </w:tcPr>
          <w:p w14:paraId="3283154B"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A2</w:t>
            </w:r>
          </w:p>
        </w:tc>
        <w:tc>
          <w:tcPr>
            <w:tcW w:w="2268" w:type="dxa"/>
            <w:vAlign w:val="center"/>
          </w:tcPr>
          <w:p w14:paraId="69D4AE7E"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20</w:t>
            </w:r>
          </w:p>
        </w:tc>
        <w:tc>
          <w:tcPr>
            <w:tcW w:w="2268" w:type="dxa"/>
            <w:vAlign w:val="center"/>
          </w:tcPr>
          <w:p w14:paraId="1F370638"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26</w:t>
            </w:r>
          </w:p>
        </w:tc>
      </w:tr>
      <w:tr w:rsidR="00103DD6" w:rsidRPr="00DE3F60" w14:paraId="7838CE9F" w14:textId="77777777">
        <w:trPr>
          <w:jc w:val="center"/>
        </w:trPr>
        <w:tc>
          <w:tcPr>
            <w:tcW w:w="2835" w:type="dxa"/>
            <w:vAlign w:val="center"/>
          </w:tcPr>
          <w:p w14:paraId="331FEA14"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B</w:t>
            </w:r>
          </w:p>
        </w:tc>
        <w:tc>
          <w:tcPr>
            <w:tcW w:w="2268" w:type="dxa"/>
            <w:vAlign w:val="center"/>
          </w:tcPr>
          <w:p w14:paraId="6A63C36D"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18</w:t>
            </w:r>
          </w:p>
        </w:tc>
        <w:tc>
          <w:tcPr>
            <w:tcW w:w="2268" w:type="dxa"/>
            <w:vAlign w:val="center"/>
          </w:tcPr>
          <w:p w14:paraId="104D155A"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24</w:t>
            </w:r>
          </w:p>
        </w:tc>
      </w:tr>
      <w:tr w:rsidR="00103DD6" w:rsidRPr="00DE3F60" w14:paraId="1D032D3A" w14:textId="77777777">
        <w:trPr>
          <w:jc w:val="center"/>
        </w:trPr>
        <w:tc>
          <w:tcPr>
            <w:tcW w:w="2835" w:type="dxa"/>
            <w:vAlign w:val="center"/>
          </w:tcPr>
          <w:p w14:paraId="365B9B0E"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C1</w:t>
            </w:r>
          </w:p>
        </w:tc>
        <w:tc>
          <w:tcPr>
            <w:tcW w:w="2268" w:type="dxa"/>
            <w:vAlign w:val="center"/>
          </w:tcPr>
          <w:p w14:paraId="73583423"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16</w:t>
            </w:r>
          </w:p>
        </w:tc>
        <w:tc>
          <w:tcPr>
            <w:tcW w:w="2268" w:type="dxa"/>
            <w:vAlign w:val="center"/>
          </w:tcPr>
          <w:p w14:paraId="19D50A91"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22</w:t>
            </w:r>
          </w:p>
        </w:tc>
      </w:tr>
      <w:tr w:rsidR="00103DD6" w:rsidRPr="00DE3F60" w14:paraId="577A9AB5" w14:textId="77777777">
        <w:trPr>
          <w:jc w:val="center"/>
        </w:trPr>
        <w:tc>
          <w:tcPr>
            <w:tcW w:w="2835" w:type="dxa"/>
            <w:vAlign w:val="center"/>
          </w:tcPr>
          <w:p w14:paraId="1DEAC7AA"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C2</w:t>
            </w:r>
          </w:p>
        </w:tc>
        <w:tc>
          <w:tcPr>
            <w:tcW w:w="2268" w:type="dxa"/>
            <w:vAlign w:val="center"/>
          </w:tcPr>
          <w:p w14:paraId="52FA8412"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14</w:t>
            </w:r>
          </w:p>
        </w:tc>
        <w:tc>
          <w:tcPr>
            <w:tcW w:w="2268" w:type="dxa"/>
            <w:vAlign w:val="center"/>
          </w:tcPr>
          <w:p w14:paraId="6FA99308" w14:textId="77777777" w:rsidR="00103DD6" w:rsidRPr="00C83CEC" w:rsidRDefault="0020195E" w:rsidP="00DE3F60">
            <w:pPr>
              <w:spacing w:before="12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18</w:t>
            </w:r>
          </w:p>
        </w:tc>
      </w:tr>
    </w:tbl>
    <w:p w14:paraId="158DF4E3" w14:textId="77777777" w:rsidR="00103DD6" w:rsidRPr="00DE3F60" w:rsidRDefault="00103DD6" w:rsidP="00DE3F60">
      <w:pPr>
        <w:spacing w:before="120" w:after="240" w:line="240" w:lineRule="auto"/>
        <w:jc w:val="both"/>
        <w:rPr>
          <w:rFonts w:asciiTheme="majorHAnsi" w:hAnsiTheme="majorHAnsi" w:cstheme="majorHAnsi"/>
          <w:lang w:val="es-ES"/>
        </w:rPr>
      </w:pPr>
    </w:p>
    <w:p w14:paraId="01F867D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En consecuencia, aunque el modelo pueda detectar una similitud funcional elevada con un patrón situado en determinado nivel, la recomendación técnica debe comprobar siempre la compatibilidad con el intervalo legal aplicable al grupo o subgrupo del puesto analizado.</w:t>
      </w:r>
    </w:p>
    <w:p w14:paraId="31B509A9" w14:textId="77777777" w:rsidR="00103DD6" w:rsidRPr="00DE3F60" w:rsidRDefault="0020195E" w:rsidP="00DE3F60">
      <w:pPr>
        <w:pStyle w:val="Ttulo2"/>
        <w:spacing w:before="120" w:after="240" w:line="240" w:lineRule="auto"/>
        <w:jc w:val="both"/>
        <w:rPr>
          <w:rFonts w:cstheme="majorHAnsi"/>
          <w:lang w:val="es-ES"/>
        </w:rPr>
      </w:pPr>
      <w:bookmarkStart w:id="6" w:name="_Toc231894269"/>
      <w:r w:rsidRPr="00DE3F60">
        <w:rPr>
          <w:rFonts w:cstheme="majorHAnsi"/>
          <w:lang w:val="es-ES"/>
        </w:rPr>
        <w:t>3.4. Consecuencia metodológica</w:t>
      </w:r>
      <w:bookmarkEnd w:id="6"/>
    </w:p>
    <w:p w14:paraId="09406EB8" w14:textId="77777777" w:rsidR="00103DD6" w:rsidRPr="00DF5068" w:rsidRDefault="0020195E" w:rsidP="00DE3F60">
      <w:pPr>
        <w:spacing w:before="120" w:after="240" w:line="240" w:lineRule="auto"/>
        <w:jc w:val="both"/>
        <w:rPr>
          <w:rFonts w:asciiTheme="majorHAnsi" w:hAnsiTheme="majorHAnsi" w:cstheme="majorHAnsi"/>
          <w:lang w:val="es-ES"/>
        </w:rPr>
      </w:pPr>
      <w:r w:rsidRPr="00DF5068">
        <w:rPr>
          <w:rFonts w:asciiTheme="majorHAnsi" w:hAnsiTheme="majorHAnsi" w:cstheme="majorHAnsi"/>
          <w:lang w:val="es-ES"/>
        </w:rPr>
        <w:t>La consecuencia práctica es que el modelo no puede limitarse a “elegir” un nivel. Debe justificar por qué el contenido funcional del puesto se aproxima a un determinado patrón y, además, verificar que dicho resultado es compatible con el marco jurídico aplicable.</w:t>
      </w:r>
    </w:p>
    <w:p w14:paraId="07E4368E" w14:textId="6C522B2A" w:rsidR="00103DD6" w:rsidRDefault="0020195E" w:rsidP="00DE3F60">
      <w:pPr>
        <w:spacing w:before="120" w:after="240" w:line="240" w:lineRule="auto"/>
        <w:jc w:val="both"/>
        <w:rPr>
          <w:rFonts w:asciiTheme="majorHAnsi" w:hAnsiTheme="majorHAnsi" w:cstheme="majorHAnsi"/>
          <w:lang w:val="es-ES"/>
        </w:rPr>
      </w:pPr>
      <w:r w:rsidRPr="00DF5068">
        <w:rPr>
          <w:rFonts w:asciiTheme="majorHAnsi" w:hAnsiTheme="majorHAnsi" w:cstheme="majorHAnsi"/>
          <w:lang w:val="es-ES"/>
        </w:rPr>
        <w:t xml:space="preserve">La secuencia correcta es, por tanto: </w:t>
      </w:r>
    </w:p>
    <w:p w14:paraId="15DC6CC7" w14:textId="4C11220E" w:rsidR="00C83CEC" w:rsidRPr="00DF5068" w:rsidRDefault="00C83CEC" w:rsidP="00DE3F60">
      <w:pPr>
        <w:spacing w:before="120" w:after="240" w:line="240" w:lineRule="auto"/>
        <w:jc w:val="both"/>
        <w:rPr>
          <w:rFonts w:asciiTheme="majorHAnsi" w:hAnsiTheme="majorHAnsi" w:cstheme="majorHAnsi"/>
          <w:lang w:val="es-ES"/>
        </w:rPr>
      </w:pPr>
      <w:r>
        <w:rPr>
          <w:rFonts w:asciiTheme="majorHAnsi" w:hAnsiTheme="majorHAnsi" w:cstheme="majorHAnsi"/>
          <w:noProof/>
          <w:lang w:val="es-ES"/>
        </w:rPr>
        <w:drawing>
          <wp:inline distT="0" distB="0" distL="0" distR="0" wp14:anchorId="443E47B2" wp14:editId="63CA3272">
            <wp:extent cx="6239828" cy="3511770"/>
            <wp:effectExtent l="0" t="0" r="8890" b="0"/>
            <wp:docPr id="11368156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4534" cy="3520047"/>
                    </a:xfrm>
                    <a:prstGeom prst="rect">
                      <a:avLst/>
                    </a:prstGeom>
                    <a:noFill/>
                  </pic:spPr>
                </pic:pic>
              </a:graphicData>
            </a:graphic>
          </wp:inline>
        </w:drawing>
      </w:r>
    </w:p>
    <w:p w14:paraId="6FEBC6F2" w14:textId="77777777" w:rsidR="00DF5068" w:rsidRPr="00DF5068" w:rsidRDefault="00DF5068" w:rsidP="00DF5068">
      <w:pPr>
        <w:spacing w:before="120" w:after="240" w:line="240" w:lineRule="auto"/>
        <w:jc w:val="both"/>
        <w:rPr>
          <w:rFonts w:asciiTheme="majorHAnsi" w:hAnsiTheme="majorHAnsi" w:cstheme="majorHAnsi"/>
          <w:lang w:val="es-ES"/>
        </w:rPr>
      </w:pPr>
      <w:r w:rsidRPr="00DF5068">
        <w:rPr>
          <w:rFonts w:asciiTheme="majorHAnsi" w:hAnsiTheme="majorHAnsi" w:cstheme="majorHAnsi"/>
          <w:lang w:val="es-ES"/>
        </w:rPr>
        <w:t>Esta secuencia permite pasar de una descripción cualitativa del puesto a una representación técnica comparable. El objetivo no es convertir una decisión organizativa compleja en una operación automática, sino ordenar el análisis para que las conclusiones sean coherentes, explicables y revisables.</w:t>
      </w:r>
    </w:p>
    <w:p w14:paraId="590D916B" w14:textId="77777777" w:rsidR="00103DD6" w:rsidRPr="00DE3F60" w:rsidRDefault="0020195E" w:rsidP="00DE3F60">
      <w:pPr>
        <w:pStyle w:val="Ttulo1"/>
        <w:spacing w:before="120" w:after="240" w:line="240" w:lineRule="auto"/>
        <w:jc w:val="both"/>
        <w:rPr>
          <w:rFonts w:cstheme="majorHAnsi"/>
          <w:lang w:val="es-ES"/>
        </w:rPr>
      </w:pPr>
      <w:bookmarkStart w:id="7" w:name="_Toc231894270"/>
      <w:r w:rsidRPr="00DE3F60">
        <w:rPr>
          <w:rFonts w:cstheme="majorHAnsi"/>
          <w:lang w:val="es-ES"/>
        </w:rPr>
        <w:t>4. Principios metodológicos</w:t>
      </w:r>
      <w:bookmarkEnd w:id="7"/>
    </w:p>
    <w:p w14:paraId="789099A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lang w:val="es-ES"/>
        </w:rPr>
        <w:t>Objetividad.</w:t>
      </w:r>
      <w:r w:rsidRPr="00DE3F60">
        <w:rPr>
          <w:rFonts w:asciiTheme="majorHAnsi" w:hAnsiTheme="majorHAnsi" w:cstheme="majorHAnsi"/>
          <w:lang w:val="es-ES"/>
        </w:rPr>
        <w:t xml:space="preserve"> El análisis se realiza sobre características del puesto: funciones, responsabilidades, especialización, competencia, mando y complejidad. No se valoran circunstancias personales de la persona ocupante.</w:t>
      </w:r>
    </w:p>
    <w:p w14:paraId="5E64599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lang w:val="es-ES"/>
        </w:rPr>
        <w:t>Homogeneidad.</w:t>
      </w:r>
      <w:r w:rsidRPr="00DE3F60">
        <w:rPr>
          <w:rFonts w:asciiTheme="majorHAnsi" w:hAnsiTheme="majorHAnsi" w:cstheme="majorHAnsi"/>
          <w:lang w:val="es-ES"/>
        </w:rPr>
        <w:t xml:space="preserve"> Los criterios deben aplicarse de forma uniforme a todos los puestos comparables. No resulta admisible modificar parámetros únicamente para que un puesto concreto alcance un resultado previamente decidido.</w:t>
      </w:r>
    </w:p>
    <w:p w14:paraId="4ACDC44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lang w:val="es-ES"/>
        </w:rPr>
        <w:t>Trazabilidad.</w:t>
      </w:r>
      <w:r w:rsidRPr="00DE3F60">
        <w:rPr>
          <w:rFonts w:asciiTheme="majorHAnsi" w:hAnsiTheme="majorHAnsi" w:cstheme="majorHAnsi"/>
          <w:lang w:val="es-ES"/>
        </w:rPr>
        <w:t xml:space="preserve"> Cada resultado debe poder reconstruirse desde los datos de entrada: funciones, verbos, factores, pesos, vector resultante, patrón comparado y grado de similitud.</w:t>
      </w:r>
    </w:p>
    <w:p w14:paraId="52F0C4F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lang w:val="es-ES"/>
        </w:rPr>
        <w:t>Transparencia técnica.</w:t>
      </w:r>
      <w:r w:rsidRPr="00DE3F60">
        <w:rPr>
          <w:rFonts w:asciiTheme="majorHAnsi" w:hAnsiTheme="majorHAnsi" w:cstheme="majorHAnsi"/>
          <w:lang w:val="es-ES"/>
        </w:rPr>
        <w:t xml:space="preserve"> El modelo debe poder explicarse de forma comprensible a las unidades responsables de validar su coherencia funcional y organizativa.</w:t>
      </w:r>
    </w:p>
    <w:p w14:paraId="79C22A3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lang w:val="es-ES"/>
        </w:rPr>
        <w:t>Validación previa.</w:t>
      </w:r>
      <w:r w:rsidRPr="00DE3F60">
        <w:rPr>
          <w:rFonts w:asciiTheme="majorHAnsi" w:hAnsiTheme="majorHAnsi" w:cstheme="majorHAnsi"/>
          <w:lang w:val="es-ES"/>
        </w:rPr>
        <w:t xml:space="preserve"> Antes de usar la herramienta como soporte de propuestas, deben revisarse y validarse los criterios de vectorización, factorización y construcción de puestos patrón.</w:t>
      </w:r>
    </w:p>
    <w:p w14:paraId="28DBBB42" w14:textId="77777777" w:rsidR="00103DD6" w:rsidRPr="00DE3F60" w:rsidRDefault="0020195E" w:rsidP="00DE3F60">
      <w:pPr>
        <w:pStyle w:val="Ttulo1"/>
        <w:spacing w:before="120" w:after="240" w:line="240" w:lineRule="auto"/>
        <w:jc w:val="both"/>
        <w:rPr>
          <w:rFonts w:cstheme="majorHAnsi"/>
          <w:lang w:val="es-ES"/>
        </w:rPr>
      </w:pPr>
      <w:bookmarkStart w:id="8" w:name="_Toc231894271"/>
      <w:r w:rsidRPr="00DE3F60">
        <w:rPr>
          <w:rFonts w:cstheme="majorHAnsi"/>
          <w:lang w:val="es-ES"/>
        </w:rPr>
        <w:t>5. Elementos de entrada del modelo</w:t>
      </w:r>
      <w:bookmarkEnd w:id="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74"/>
        <w:gridCol w:w="3396"/>
        <w:gridCol w:w="3392"/>
      </w:tblGrid>
      <w:tr w:rsidR="00103DD6" w:rsidRPr="00DE3F60" w14:paraId="499B78B2" w14:textId="77777777">
        <w:trPr>
          <w:jc w:val="center"/>
        </w:trPr>
        <w:tc>
          <w:tcPr>
            <w:tcW w:w="1757" w:type="dxa"/>
            <w:shd w:val="clear" w:color="auto" w:fill="1F4E79"/>
            <w:vAlign w:val="center"/>
          </w:tcPr>
          <w:p w14:paraId="10AB9CE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Elemento</w:t>
            </w:r>
          </w:p>
        </w:tc>
        <w:tc>
          <w:tcPr>
            <w:tcW w:w="3458" w:type="dxa"/>
            <w:shd w:val="clear" w:color="auto" w:fill="1F4E79"/>
            <w:vAlign w:val="center"/>
          </w:tcPr>
          <w:p w14:paraId="22B03B0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Descripción</w:t>
            </w:r>
          </w:p>
        </w:tc>
        <w:tc>
          <w:tcPr>
            <w:tcW w:w="3458" w:type="dxa"/>
            <w:shd w:val="clear" w:color="auto" w:fill="1F4E79"/>
            <w:vAlign w:val="center"/>
          </w:tcPr>
          <w:p w14:paraId="5DD4D92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Función dentro del modelo</w:t>
            </w:r>
          </w:p>
        </w:tc>
      </w:tr>
      <w:tr w:rsidR="00103DD6" w:rsidRPr="00DE3F60" w14:paraId="6AE465AB" w14:textId="77777777">
        <w:trPr>
          <w:jc w:val="center"/>
        </w:trPr>
        <w:tc>
          <w:tcPr>
            <w:tcW w:w="1757" w:type="dxa"/>
            <w:vAlign w:val="center"/>
          </w:tcPr>
          <w:p w14:paraId="6C722219"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Puesto de trabajo</w:t>
            </w:r>
          </w:p>
        </w:tc>
        <w:tc>
          <w:tcPr>
            <w:tcW w:w="3458" w:type="dxa"/>
            <w:vAlign w:val="center"/>
          </w:tcPr>
          <w:p w14:paraId="71930653"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Unidad básica de análisis: denominación, código, grupo/subgrupo, CD actual, adscripción y posición organizativa.</w:t>
            </w:r>
          </w:p>
        </w:tc>
        <w:tc>
          <w:tcPr>
            <w:tcW w:w="3458" w:type="dxa"/>
            <w:vAlign w:val="center"/>
          </w:tcPr>
          <w:p w14:paraId="30669810"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Permite identificar el objeto de análisis y sus restricciones jurídicas.</w:t>
            </w:r>
          </w:p>
        </w:tc>
      </w:tr>
      <w:tr w:rsidR="00103DD6" w:rsidRPr="00DE3F60" w14:paraId="67211A42" w14:textId="77777777">
        <w:trPr>
          <w:jc w:val="center"/>
        </w:trPr>
        <w:tc>
          <w:tcPr>
            <w:tcW w:w="1757" w:type="dxa"/>
            <w:vAlign w:val="center"/>
          </w:tcPr>
          <w:p w14:paraId="571D3260"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Diccionario de funciones</w:t>
            </w:r>
          </w:p>
        </w:tc>
        <w:tc>
          <w:tcPr>
            <w:tcW w:w="3458" w:type="dxa"/>
            <w:vAlign w:val="center"/>
          </w:tcPr>
          <w:p w14:paraId="16228463"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Instrumento técnico compuesto por 49 verbos de acción normalizados y por la definición de funciones asociadas a cada verbo.</w:t>
            </w:r>
          </w:p>
        </w:tc>
        <w:tc>
          <w:tcPr>
            <w:tcW w:w="3458" w:type="dxa"/>
            <w:vAlign w:val="center"/>
          </w:tcPr>
          <w:p w14:paraId="453D98F0"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Ordena el lenguaje funcional y permite pasar de descripciones heterogéneas a componentes comparables.</w:t>
            </w:r>
          </w:p>
        </w:tc>
      </w:tr>
      <w:tr w:rsidR="00103DD6" w:rsidRPr="00DE3F60" w14:paraId="5DD2DD27" w14:textId="77777777">
        <w:trPr>
          <w:jc w:val="center"/>
        </w:trPr>
        <w:tc>
          <w:tcPr>
            <w:tcW w:w="1757" w:type="dxa"/>
            <w:vAlign w:val="center"/>
          </w:tcPr>
          <w:p w14:paraId="7BF94577"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Verbos de acción</w:t>
            </w:r>
          </w:p>
        </w:tc>
        <w:tc>
          <w:tcPr>
            <w:tcW w:w="3458" w:type="dxa"/>
            <w:vAlign w:val="center"/>
          </w:tcPr>
          <w:p w14:paraId="24EAF139"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Acciones normalizadas del diccionario: dirigir, coordinar, supervisar, tramitar, informar, ejecutar, inspeccionar, evaluar, asesorar, etc.</w:t>
            </w:r>
          </w:p>
        </w:tc>
        <w:tc>
          <w:tcPr>
            <w:tcW w:w="3458" w:type="dxa"/>
            <w:vAlign w:val="center"/>
          </w:tcPr>
          <w:p w14:paraId="6434EF72"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Actúan como ejes iniciales de lectura funcional del puesto.</w:t>
            </w:r>
          </w:p>
        </w:tc>
      </w:tr>
      <w:tr w:rsidR="00103DD6" w:rsidRPr="00DE3F60" w14:paraId="51BB124F" w14:textId="77777777">
        <w:trPr>
          <w:jc w:val="center"/>
        </w:trPr>
        <w:tc>
          <w:tcPr>
            <w:tcW w:w="1757" w:type="dxa"/>
            <w:vAlign w:val="center"/>
          </w:tcPr>
          <w:p w14:paraId="7D7AFADB"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Funciones asociadas</w:t>
            </w:r>
          </w:p>
        </w:tc>
        <w:tc>
          <w:tcPr>
            <w:tcW w:w="3458" w:type="dxa"/>
            <w:vAlign w:val="center"/>
          </w:tcPr>
          <w:p w14:paraId="71F68DA8"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Responsabilidades funcionales estables vinculadas a los verbos de acción seleccionados.</w:t>
            </w:r>
          </w:p>
        </w:tc>
        <w:tc>
          <w:tcPr>
            <w:tcW w:w="3458" w:type="dxa"/>
            <w:vAlign w:val="center"/>
          </w:tcPr>
          <w:p w14:paraId="1AA547AA"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Definen el contenido material que se proyecta en el subespacio funcional.</w:t>
            </w:r>
          </w:p>
        </w:tc>
      </w:tr>
      <w:tr w:rsidR="00103DD6" w:rsidRPr="00DE3F60" w14:paraId="5BFDE017" w14:textId="77777777">
        <w:trPr>
          <w:jc w:val="center"/>
        </w:trPr>
        <w:tc>
          <w:tcPr>
            <w:tcW w:w="1757" w:type="dxa"/>
            <w:vAlign w:val="center"/>
          </w:tcPr>
          <w:p w14:paraId="10BA3A77"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Pesos</w:t>
            </w:r>
          </w:p>
        </w:tc>
        <w:tc>
          <w:tcPr>
            <w:tcW w:w="3458" w:type="dxa"/>
            <w:vAlign w:val="center"/>
          </w:tcPr>
          <w:p w14:paraId="5361B1EF"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Importancia relativa asignada a cada verbo o factor.</w:t>
            </w:r>
          </w:p>
        </w:tc>
        <w:tc>
          <w:tcPr>
            <w:tcW w:w="3458" w:type="dxa"/>
            <w:vAlign w:val="center"/>
          </w:tcPr>
          <w:p w14:paraId="65F3FB55"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Evitan tratar como equivalentes acciones de distinta intensidad organizativa.</w:t>
            </w:r>
          </w:p>
        </w:tc>
      </w:tr>
      <w:tr w:rsidR="00103DD6" w:rsidRPr="00DE3F60" w14:paraId="4537E3CE" w14:textId="77777777">
        <w:trPr>
          <w:jc w:val="center"/>
        </w:trPr>
        <w:tc>
          <w:tcPr>
            <w:tcW w:w="1757" w:type="dxa"/>
            <w:vAlign w:val="center"/>
          </w:tcPr>
          <w:p w14:paraId="358AC7FE"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Puestos patrón</w:t>
            </w:r>
          </w:p>
        </w:tc>
        <w:tc>
          <w:tcPr>
            <w:tcW w:w="3458" w:type="dxa"/>
            <w:vAlign w:val="center"/>
          </w:tcPr>
          <w:p w14:paraId="28273BDC"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Referencias funcionales previamente validadas y asociadas a niveles de CD.</w:t>
            </w:r>
          </w:p>
        </w:tc>
        <w:tc>
          <w:tcPr>
            <w:tcW w:w="3458" w:type="dxa"/>
            <w:vAlign w:val="center"/>
          </w:tcPr>
          <w:p w14:paraId="04301F92"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Sirven como base de comparación para obtener recomendaciones.</w:t>
            </w:r>
          </w:p>
        </w:tc>
      </w:tr>
      <w:tr w:rsidR="00103DD6" w:rsidRPr="00DE3F60" w14:paraId="6C2B55FA" w14:textId="77777777">
        <w:trPr>
          <w:jc w:val="center"/>
        </w:trPr>
        <w:tc>
          <w:tcPr>
            <w:tcW w:w="3249" w:type="dxa"/>
          </w:tcPr>
          <w:p w14:paraId="0C2B1F6B"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Subespacio funcional</w:t>
            </w:r>
          </w:p>
        </w:tc>
        <w:tc>
          <w:tcPr>
            <w:tcW w:w="3249" w:type="dxa"/>
          </w:tcPr>
          <w:p w14:paraId="6D610D95"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Espacio vectorial generado por los componentes derivados de los verbos de acción y de las funciones asociadas.</w:t>
            </w:r>
          </w:p>
        </w:tc>
        <w:tc>
          <w:tcPr>
            <w:tcW w:w="3249" w:type="dxa"/>
          </w:tcPr>
          <w:p w14:paraId="3F52F26F"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Permite medir la proximidad funcional entre el puesto analizado y los puestos patrón.</w:t>
            </w:r>
          </w:p>
        </w:tc>
      </w:tr>
      <w:tr w:rsidR="00103DD6" w:rsidRPr="00DE3F60" w14:paraId="74F4B910" w14:textId="77777777">
        <w:trPr>
          <w:jc w:val="center"/>
        </w:trPr>
        <w:tc>
          <w:tcPr>
            <w:tcW w:w="3249" w:type="dxa"/>
          </w:tcPr>
          <w:p w14:paraId="558E46DD"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Subespacio de factores técnicos</w:t>
            </w:r>
          </w:p>
        </w:tc>
        <w:tc>
          <w:tcPr>
            <w:tcW w:w="3249" w:type="dxa"/>
          </w:tcPr>
          <w:p w14:paraId="4E416D9E"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Espacio vectorial generado por los factores de especialización, responsabilidad, competencia, mando y complejidad funcional/territorial.</w:t>
            </w:r>
          </w:p>
        </w:tc>
        <w:tc>
          <w:tcPr>
            <w:tcW w:w="3249" w:type="dxa"/>
          </w:tcPr>
          <w:p w14:paraId="3F171E5D"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Permite comprobar que la similitud funcional guarda coherencia con los criterios jurídicos del RD 861/1986.</w:t>
            </w:r>
          </w:p>
        </w:tc>
      </w:tr>
    </w:tbl>
    <w:p w14:paraId="6B6C8E80" w14:textId="77777777" w:rsidR="00103DD6" w:rsidRDefault="00103DD6" w:rsidP="00DE3F60">
      <w:pPr>
        <w:spacing w:before="120" w:after="240" w:line="240" w:lineRule="auto"/>
        <w:jc w:val="both"/>
        <w:rPr>
          <w:rFonts w:asciiTheme="majorHAnsi" w:hAnsiTheme="majorHAnsi" w:cstheme="majorHAnsi"/>
          <w:lang w:val="es-ES"/>
        </w:rPr>
      </w:pPr>
    </w:p>
    <w:p w14:paraId="42D745B6" w14:textId="77777777" w:rsidR="00A03C69" w:rsidRDefault="00A03C69" w:rsidP="00DE3F60">
      <w:pPr>
        <w:spacing w:before="120" w:after="240" w:line="240" w:lineRule="auto"/>
        <w:jc w:val="both"/>
        <w:rPr>
          <w:rFonts w:asciiTheme="majorHAnsi" w:hAnsiTheme="majorHAnsi" w:cstheme="majorHAnsi"/>
          <w:lang w:val="es-ES"/>
        </w:rPr>
      </w:pPr>
    </w:p>
    <w:p w14:paraId="48AD4C8D" w14:textId="77777777" w:rsidR="00A03C69" w:rsidRDefault="00A03C69" w:rsidP="00DE3F60">
      <w:pPr>
        <w:spacing w:before="120" w:after="240" w:line="240" w:lineRule="auto"/>
        <w:jc w:val="both"/>
        <w:rPr>
          <w:rFonts w:asciiTheme="majorHAnsi" w:hAnsiTheme="majorHAnsi" w:cstheme="majorHAnsi"/>
          <w:lang w:val="es-ES"/>
        </w:rPr>
      </w:pPr>
    </w:p>
    <w:p w14:paraId="1A0A8C13" w14:textId="77777777" w:rsidR="00A03C69" w:rsidRDefault="00A03C69" w:rsidP="00DE3F60">
      <w:pPr>
        <w:spacing w:before="120" w:after="240" w:line="240" w:lineRule="auto"/>
        <w:jc w:val="both"/>
        <w:rPr>
          <w:rFonts w:asciiTheme="majorHAnsi" w:hAnsiTheme="majorHAnsi" w:cstheme="majorHAnsi"/>
          <w:lang w:val="es-ES"/>
        </w:rPr>
      </w:pPr>
    </w:p>
    <w:p w14:paraId="30B9BF40" w14:textId="77777777" w:rsidR="00A03C69" w:rsidRPr="00DE3F60" w:rsidRDefault="00A03C69" w:rsidP="00DE3F60">
      <w:pPr>
        <w:spacing w:before="120" w:after="240" w:line="240" w:lineRule="auto"/>
        <w:jc w:val="both"/>
        <w:rPr>
          <w:rFonts w:asciiTheme="majorHAnsi" w:hAnsiTheme="majorHAnsi" w:cstheme="majorHAnsi"/>
          <w:lang w:val="es-ES"/>
        </w:rPr>
      </w:pPr>
    </w:p>
    <w:p w14:paraId="3EA3AFB9" w14:textId="77777777" w:rsidR="00103DD6" w:rsidRPr="00DE3F60" w:rsidRDefault="0020195E" w:rsidP="00DE3F60">
      <w:pPr>
        <w:pStyle w:val="Ttulo1"/>
        <w:spacing w:before="120" w:after="240" w:line="240" w:lineRule="auto"/>
        <w:jc w:val="both"/>
        <w:rPr>
          <w:rFonts w:cstheme="majorHAnsi"/>
          <w:lang w:val="es-ES"/>
        </w:rPr>
      </w:pPr>
      <w:bookmarkStart w:id="9" w:name="_Toc231894272"/>
      <w:r w:rsidRPr="00DE3F60">
        <w:rPr>
          <w:rFonts w:cstheme="majorHAnsi"/>
          <w:lang w:val="es-ES"/>
        </w:rPr>
        <w:t>6. Del diccionario de funciones al vector técnico</w:t>
      </w:r>
      <w:bookmarkEnd w:id="9"/>
    </w:p>
    <w:p w14:paraId="2899235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clave de la herramienta se encuentra en transformar el lenguaje cualitativo de los puestos en una representación numérica comparable. En esta versión metodológica, el punto de partida no son funciones redactadas libremente, sino un diccionario de funciones compuesto por 49 verbos de acción y por la definición de funciones asociadas a dichos verbos. Desde ahí se construyen dos subespacios vectoriales complementarios: el subespacio funcional y el subespacio de factores técnicos.</w:t>
      </w:r>
    </w:p>
    <w:p w14:paraId="15EDF0B1" w14:textId="77777777" w:rsidR="00103DD6" w:rsidRPr="00DE3F60" w:rsidRDefault="0020195E" w:rsidP="00DE3F60">
      <w:pPr>
        <w:pStyle w:val="Ttulo2"/>
        <w:spacing w:before="120" w:after="240" w:line="240" w:lineRule="auto"/>
        <w:jc w:val="both"/>
        <w:rPr>
          <w:rFonts w:cstheme="majorHAnsi"/>
          <w:lang w:val="es-ES"/>
        </w:rPr>
      </w:pPr>
      <w:bookmarkStart w:id="10" w:name="_Toc231894273"/>
      <w:r w:rsidRPr="00DE3F60">
        <w:rPr>
          <w:rFonts w:cstheme="majorHAnsi"/>
          <w:lang w:val="es-ES"/>
        </w:rPr>
        <w:t>6.1. Paso 1: diccionario de funciones: 49 verbos de acción y funciones asociadas</w:t>
      </w:r>
      <w:bookmarkEnd w:id="10"/>
    </w:p>
    <w:p w14:paraId="6437643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modelo parte de un diccionario de funciones integrado por 49 verbos de acción. Cada verbo opera como una categoría técnica de análisis y se acompaña de una definición funcional asociada, de forma que no se emplea únicamente como palabra aislada, sino como una unidad de significado organizativo.</w:t>
      </w:r>
    </w:p>
    <w:p w14:paraId="3C0D128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Este enfoque permite invertir la lectura tradicional: en lugar de partir de funciones redactadas de forma heterogénea para después buscar verbos, se parte de un repertorio cerrado y validable de verbos de acción, y a partir de ellos se identifican o formulan las funciones asociadas del puesto. La normalización sigue siendo necesaria, pero queda subordinada al diccionario común, evitando que dos puestos equivalentes sean tratados como distintos por diferencias de estilo, redacción histórica o denominación in</w:t>
      </w:r>
      <w:r w:rsidRPr="00DE3F60">
        <w:rPr>
          <w:rFonts w:asciiTheme="majorHAnsi" w:hAnsiTheme="majorHAnsi" w:cstheme="majorHAnsi"/>
          <w:lang w:val="es-ES"/>
        </w:rPr>
        <w:t>terna.</w:t>
      </w:r>
    </w:p>
    <w:p w14:paraId="5C8CE936" w14:textId="77777777" w:rsidR="00103DD6" w:rsidRPr="00DE3F60" w:rsidRDefault="0020195E" w:rsidP="00DE3F60">
      <w:pPr>
        <w:pStyle w:val="Ttulo2"/>
        <w:spacing w:before="120" w:after="240" w:line="240" w:lineRule="auto"/>
        <w:jc w:val="both"/>
        <w:rPr>
          <w:rFonts w:cstheme="majorHAnsi"/>
          <w:lang w:val="es-ES"/>
        </w:rPr>
      </w:pPr>
      <w:bookmarkStart w:id="11" w:name="_Toc231894274"/>
      <w:r w:rsidRPr="00DE3F60">
        <w:rPr>
          <w:rFonts w:cstheme="majorHAnsi"/>
          <w:lang w:val="es-ES"/>
        </w:rPr>
        <w:t>6.2. Paso 2: identificación de verbos de acción aplicables al puesto</w:t>
      </w:r>
      <w:bookmarkEnd w:id="11"/>
    </w:p>
    <w:p w14:paraId="24DB957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En esta fase se identifican, dentro del diccionario de 49 verbos, aquellos que describen de forma más precisa la intervención exigida al puesto. El verbo no es una simple palabra: actúa como marcador técnico del tipo de actuación que realiza el puesto y anticipa su posible relación con los factores de complemento de destino.</w:t>
      </w:r>
    </w:p>
    <w:p w14:paraId="170279D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Así, verbos como dirigir, coordinar, supervisar, evaluar, inspeccionar, informar, asesorar, tramitar o ejecutar permiten diferenciar niveles de intervención, autonomía, responsabilidad, especialización y complejidad. La selección de verbos debe ser estable y justificable: si se asigna un verbo a un puesto, debe poder explicarse qué función concreta lo sostiene.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4"/>
        <w:gridCol w:w="3969"/>
        <w:gridCol w:w="2835"/>
      </w:tblGrid>
      <w:tr w:rsidR="00103DD6" w:rsidRPr="00DE3F60" w14:paraId="0A78C5B1" w14:textId="77777777">
        <w:trPr>
          <w:jc w:val="center"/>
        </w:trPr>
        <w:tc>
          <w:tcPr>
            <w:tcW w:w="1984" w:type="dxa"/>
            <w:shd w:val="clear" w:color="auto" w:fill="1F4E79"/>
            <w:vAlign w:val="center"/>
          </w:tcPr>
          <w:p w14:paraId="5509AF28"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Verbo de acción</w:t>
            </w:r>
          </w:p>
        </w:tc>
        <w:tc>
          <w:tcPr>
            <w:tcW w:w="3969" w:type="dxa"/>
            <w:shd w:val="clear" w:color="auto" w:fill="1F4E79"/>
            <w:vAlign w:val="center"/>
          </w:tcPr>
          <w:p w14:paraId="6F91813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Lectura funcional</w:t>
            </w:r>
          </w:p>
        </w:tc>
        <w:tc>
          <w:tcPr>
            <w:tcW w:w="2835" w:type="dxa"/>
            <w:shd w:val="clear" w:color="auto" w:fill="1F4E79"/>
            <w:vAlign w:val="center"/>
          </w:tcPr>
          <w:p w14:paraId="3C18476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Posible relación con factores CD</w:t>
            </w:r>
          </w:p>
        </w:tc>
      </w:tr>
      <w:tr w:rsidR="00103DD6" w:rsidRPr="00DE3F60" w14:paraId="258B905D" w14:textId="77777777">
        <w:trPr>
          <w:jc w:val="center"/>
        </w:trPr>
        <w:tc>
          <w:tcPr>
            <w:tcW w:w="1984" w:type="dxa"/>
            <w:vAlign w:val="center"/>
          </w:tcPr>
          <w:p w14:paraId="5644C767"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Dirigir</w:t>
            </w:r>
          </w:p>
        </w:tc>
        <w:tc>
          <w:tcPr>
            <w:tcW w:w="3969" w:type="dxa"/>
            <w:vAlign w:val="center"/>
          </w:tcPr>
          <w:p w14:paraId="27A2ABC9"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Definir directrices, tomar decisiones y orientar la actuación de una unidad o proceso.</w:t>
            </w:r>
          </w:p>
        </w:tc>
        <w:tc>
          <w:tcPr>
            <w:tcW w:w="2835" w:type="dxa"/>
            <w:vAlign w:val="center"/>
          </w:tcPr>
          <w:p w14:paraId="26A5110B"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Mando, responsabilidad, competencia.</w:t>
            </w:r>
          </w:p>
        </w:tc>
      </w:tr>
      <w:tr w:rsidR="00103DD6" w:rsidRPr="00DE3F60" w14:paraId="38E9B310" w14:textId="77777777">
        <w:trPr>
          <w:jc w:val="center"/>
        </w:trPr>
        <w:tc>
          <w:tcPr>
            <w:tcW w:w="1984" w:type="dxa"/>
            <w:vAlign w:val="center"/>
          </w:tcPr>
          <w:p w14:paraId="762E108E"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Coordinar</w:t>
            </w:r>
          </w:p>
        </w:tc>
        <w:tc>
          <w:tcPr>
            <w:tcW w:w="3969" w:type="dxa"/>
            <w:vAlign w:val="center"/>
          </w:tcPr>
          <w:p w14:paraId="603E1072"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Integrar actuaciones de personas, procesos o unidades para asegurar coherencia operativa.</w:t>
            </w:r>
          </w:p>
        </w:tc>
        <w:tc>
          <w:tcPr>
            <w:tcW w:w="2835" w:type="dxa"/>
            <w:vAlign w:val="center"/>
          </w:tcPr>
          <w:p w14:paraId="4809BECE"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Mando funcional, responsabilidad, complejidad.</w:t>
            </w:r>
          </w:p>
        </w:tc>
      </w:tr>
      <w:tr w:rsidR="00103DD6" w:rsidRPr="00DE3F60" w14:paraId="03A3EE90" w14:textId="77777777">
        <w:trPr>
          <w:jc w:val="center"/>
        </w:trPr>
        <w:tc>
          <w:tcPr>
            <w:tcW w:w="1984" w:type="dxa"/>
            <w:vAlign w:val="center"/>
          </w:tcPr>
          <w:p w14:paraId="78873890"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Supervisar</w:t>
            </w:r>
          </w:p>
        </w:tc>
        <w:tc>
          <w:tcPr>
            <w:tcW w:w="3969" w:type="dxa"/>
            <w:vAlign w:val="center"/>
          </w:tcPr>
          <w:p w14:paraId="7691DEA6"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Controlar la correcta ejecución de tareas o procesos.</w:t>
            </w:r>
          </w:p>
        </w:tc>
        <w:tc>
          <w:tcPr>
            <w:tcW w:w="2835" w:type="dxa"/>
            <w:vAlign w:val="center"/>
          </w:tcPr>
          <w:p w14:paraId="55178DB3"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Responsabilidad, mando, competencia.</w:t>
            </w:r>
          </w:p>
        </w:tc>
      </w:tr>
      <w:tr w:rsidR="00103DD6" w:rsidRPr="00DE3F60" w14:paraId="0640E1C0" w14:textId="77777777">
        <w:trPr>
          <w:jc w:val="center"/>
        </w:trPr>
        <w:tc>
          <w:tcPr>
            <w:tcW w:w="1984" w:type="dxa"/>
            <w:vAlign w:val="center"/>
          </w:tcPr>
          <w:p w14:paraId="4303B852"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Informar</w:t>
            </w:r>
          </w:p>
        </w:tc>
        <w:tc>
          <w:tcPr>
            <w:tcW w:w="3969" w:type="dxa"/>
            <w:vAlign w:val="center"/>
          </w:tcPr>
          <w:p w14:paraId="00C2E980"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Emitir criterio técnico o administrativo documentado.</w:t>
            </w:r>
          </w:p>
        </w:tc>
        <w:tc>
          <w:tcPr>
            <w:tcW w:w="2835" w:type="dxa"/>
            <w:vAlign w:val="center"/>
          </w:tcPr>
          <w:p w14:paraId="50848075"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Competencia, especialización, responsabilidad.</w:t>
            </w:r>
          </w:p>
        </w:tc>
      </w:tr>
      <w:tr w:rsidR="00103DD6" w:rsidRPr="00DE3F60" w14:paraId="50F3CB9D" w14:textId="77777777">
        <w:trPr>
          <w:jc w:val="center"/>
        </w:trPr>
        <w:tc>
          <w:tcPr>
            <w:tcW w:w="1984" w:type="dxa"/>
            <w:vAlign w:val="center"/>
          </w:tcPr>
          <w:p w14:paraId="02212825"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Tramitar</w:t>
            </w:r>
          </w:p>
        </w:tc>
        <w:tc>
          <w:tcPr>
            <w:tcW w:w="3969" w:type="dxa"/>
            <w:vAlign w:val="center"/>
          </w:tcPr>
          <w:p w14:paraId="4D0DB90E"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Gestionar expedientes o actuaciones conforme a procedimiento.</w:t>
            </w:r>
          </w:p>
        </w:tc>
        <w:tc>
          <w:tcPr>
            <w:tcW w:w="2835" w:type="dxa"/>
            <w:vAlign w:val="center"/>
          </w:tcPr>
          <w:p w14:paraId="22812EF9"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Competencia, complejidad funcional.</w:t>
            </w:r>
          </w:p>
        </w:tc>
      </w:tr>
      <w:tr w:rsidR="00103DD6" w:rsidRPr="00DE3F60" w14:paraId="00C4CEE8" w14:textId="77777777">
        <w:trPr>
          <w:jc w:val="center"/>
        </w:trPr>
        <w:tc>
          <w:tcPr>
            <w:tcW w:w="1984" w:type="dxa"/>
            <w:vAlign w:val="center"/>
          </w:tcPr>
          <w:p w14:paraId="33D738FA"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Ejecutar</w:t>
            </w:r>
          </w:p>
        </w:tc>
        <w:tc>
          <w:tcPr>
            <w:tcW w:w="3969" w:type="dxa"/>
            <w:vAlign w:val="center"/>
          </w:tcPr>
          <w:p w14:paraId="62B19AB9"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Realizar actuaciones materiales, administrativas o técnicas conforme a instrucciones o procedimiento.</w:t>
            </w:r>
          </w:p>
        </w:tc>
        <w:tc>
          <w:tcPr>
            <w:tcW w:w="2835" w:type="dxa"/>
            <w:vAlign w:val="center"/>
          </w:tcPr>
          <w:p w14:paraId="5289851F"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Competencia operativa, dificultad técnica.</w:t>
            </w:r>
          </w:p>
        </w:tc>
      </w:tr>
      <w:tr w:rsidR="00103DD6" w:rsidRPr="00DE3F60" w14:paraId="08A8702C" w14:textId="77777777">
        <w:trPr>
          <w:jc w:val="center"/>
        </w:trPr>
        <w:tc>
          <w:tcPr>
            <w:tcW w:w="1984" w:type="dxa"/>
            <w:vAlign w:val="center"/>
          </w:tcPr>
          <w:p w14:paraId="19424930"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Inspeccionar</w:t>
            </w:r>
          </w:p>
        </w:tc>
        <w:tc>
          <w:tcPr>
            <w:tcW w:w="3969" w:type="dxa"/>
            <w:vAlign w:val="center"/>
          </w:tcPr>
          <w:p w14:paraId="1EFE850A"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Comprobar cumplimiento normativo o técnico en un ámbito determinado.</w:t>
            </w:r>
          </w:p>
        </w:tc>
        <w:tc>
          <w:tcPr>
            <w:tcW w:w="2835" w:type="dxa"/>
            <w:vAlign w:val="center"/>
          </w:tcPr>
          <w:p w14:paraId="2542A45E"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Especialización, responsabilidad, complejidad funcional o territorial.</w:t>
            </w:r>
          </w:p>
        </w:tc>
      </w:tr>
    </w:tbl>
    <w:p w14:paraId="40E404CA" w14:textId="77777777" w:rsidR="00103DD6" w:rsidRPr="00DE3F60" w:rsidRDefault="0020195E" w:rsidP="00DE3F60">
      <w:pPr>
        <w:pStyle w:val="Ttulo2"/>
        <w:spacing w:before="120" w:after="240" w:line="240" w:lineRule="auto"/>
        <w:jc w:val="both"/>
        <w:rPr>
          <w:rFonts w:cstheme="majorHAnsi"/>
          <w:lang w:val="es-ES"/>
        </w:rPr>
      </w:pPr>
      <w:bookmarkStart w:id="12" w:name="_Toc231894275"/>
      <w:r w:rsidRPr="00DE3F60">
        <w:rPr>
          <w:rFonts w:cstheme="majorHAnsi"/>
          <w:lang w:val="es-ES"/>
        </w:rPr>
        <w:t>6.3. Paso 3: definición de funciones asociadas a los verbos seleccionados</w:t>
      </w:r>
      <w:bookmarkEnd w:id="12"/>
    </w:p>
    <w:p w14:paraId="06988F7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Una vez identificados los verbos de acción aplicables, se formulan o validan las funciones asociadas. La función concreta el ámbito material sobre el que opera el verbo y permite pasar de una categoría general de acción a una responsabilidad efectiva del puesto.</w:t>
      </w:r>
    </w:p>
    <w:p w14:paraId="25C399F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Por ejemplo, el verbo “coordinar” no basta por sí solo: debe precisarse si se coordina un equipo de personas, una unidad administrativa, un procedimiento transversal, un programa de actuación, una red de centros o una actividad técnica. Esa función asociada es la que aporta contenido material al vector funcional.</w:t>
      </w:r>
    </w:p>
    <w:p w14:paraId="5BF5C615"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De este modo, el diccionario no actúa como una lista cerrada y abstracta de palabras, sino como una estructura de traducción entre el lenguaje administrativo de las fichas de puesto y el lenguaje técnico necesario para la comparación vectorial.</w:t>
      </w:r>
    </w:p>
    <w:p w14:paraId="7EBD066A" w14:textId="77777777" w:rsidR="00103DD6" w:rsidRPr="00DE3F60" w:rsidRDefault="0020195E" w:rsidP="00DE3F60">
      <w:pPr>
        <w:pStyle w:val="Ttulo2"/>
        <w:spacing w:before="120" w:after="240" w:line="240" w:lineRule="auto"/>
        <w:jc w:val="both"/>
        <w:rPr>
          <w:rFonts w:cstheme="majorHAnsi"/>
          <w:lang w:val="es-ES"/>
        </w:rPr>
      </w:pPr>
      <w:bookmarkStart w:id="13" w:name="_Toc231894276"/>
      <w:r w:rsidRPr="00DE3F60">
        <w:rPr>
          <w:rFonts w:cstheme="majorHAnsi"/>
          <w:lang w:val="es-ES"/>
        </w:rPr>
        <w:t>6.4. Paso 4: definición de factores técnicos asociados</w:t>
      </w:r>
      <w:bookmarkEnd w:id="13"/>
    </w:p>
    <w:p w14:paraId="34AC1B3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En paralelo a los verbos y funciones, el modelo identifica los factores técnicos relevantes para la determinación del complemento de destino. Estos factores traducen los criterios del artículo 3 del RD 861/1986 a dimensiones operativas evaluables.</w:t>
      </w:r>
    </w:p>
    <w:p w14:paraId="499C55C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lógica es análoga a la utilizada con los verbos: cada factor técnico debe definirse, interpretarse y aplicarse de forma homogénea. No basta con afirmar que un puesto tiene “responsabilidad” o “especialización”; debe precisarse qué evidencia funcional permite asignar ese factor y con qué intensidad.</w:t>
      </w:r>
    </w:p>
    <w:tbl>
      <w:tblPr>
        <w:tblStyle w:val="Tablaconcuadrcula"/>
        <w:tblW w:w="0" w:type="auto"/>
        <w:jc w:val="center"/>
        <w:tblLook w:val="04A0" w:firstRow="1" w:lastRow="0" w:firstColumn="1" w:lastColumn="0" w:noHBand="0" w:noVBand="1"/>
      </w:tblPr>
      <w:tblGrid>
        <w:gridCol w:w="3249"/>
        <w:gridCol w:w="3249"/>
        <w:gridCol w:w="3249"/>
      </w:tblGrid>
      <w:tr w:rsidR="00103DD6" w:rsidRPr="00DE3F60" w14:paraId="2D2E83C5" w14:textId="77777777">
        <w:trPr>
          <w:jc w:val="center"/>
        </w:trPr>
        <w:tc>
          <w:tcPr>
            <w:tcW w:w="3249" w:type="dxa"/>
            <w:shd w:val="clear" w:color="auto" w:fill="D9EAF7"/>
            <w:vAlign w:val="center"/>
          </w:tcPr>
          <w:p w14:paraId="0D92D25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sz w:val="17"/>
                <w:lang w:val="es-ES"/>
              </w:rPr>
              <w:t>Factor técnico</w:t>
            </w:r>
          </w:p>
        </w:tc>
        <w:tc>
          <w:tcPr>
            <w:tcW w:w="3249" w:type="dxa"/>
            <w:shd w:val="clear" w:color="auto" w:fill="D9EAF7"/>
            <w:vAlign w:val="center"/>
          </w:tcPr>
          <w:p w14:paraId="549C056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sz w:val="17"/>
                <w:lang w:val="es-ES"/>
              </w:rPr>
              <w:t>Lectura técnica</w:t>
            </w:r>
          </w:p>
        </w:tc>
        <w:tc>
          <w:tcPr>
            <w:tcW w:w="3249" w:type="dxa"/>
            <w:shd w:val="clear" w:color="auto" w:fill="D9EAF7"/>
            <w:vAlign w:val="center"/>
          </w:tcPr>
          <w:p w14:paraId="0089452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sz w:val="17"/>
                <w:lang w:val="es-ES"/>
              </w:rPr>
              <w:t>Criterio operativo dentro del modelo</w:t>
            </w:r>
          </w:p>
        </w:tc>
      </w:tr>
      <w:tr w:rsidR="00103DD6" w:rsidRPr="00DE3F60" w14:paraId="2A2E13EC" w14:textId="77777777">
        <w:trPr>
          <w:jc w:val="center"/>
        </w:trPr>
        <w:tc>
          <w:tcPr>
            <w:tcW w:w="3249" w:type="dxa"/>
            <w:vAlign w:val="center"/>
          </w:tcPr>
          <w:p w14:paraId="6C81E28C"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Especialización</w:t>
            </w:r>
          </w:p>
        </w:tc>
        <w:tc>
          <w:tcPr>
            <w:tcW w:w="3249" w:type="dxa"/>
            <w:vAlign w:val="center"/>
          </w:tcPr>
          <w:p w14:paraId="4DDD133A"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Exigencia de conocimientos, técnicas, normativa o experiencia específica no generalista.</w:t>
            </w:r>
          </w:p>
        </w:tc>
        <w:tc>
          <w:tcPr>
            <w:tcW w:w="3249" w:type="dxa"/>
            <w:vAlign w:val="center"/>
          </w:tcPr>
          <w:p w14:paraId="35376BC4"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Se activa cuando las funciones requieren saber especializado, cualificación técnica o dominio de ámbitos materiales diferenciados.</w:t>
            </w:r>
          </w:p>
        </w:tc>
      </w:tr>
      <w:tr w:rsidR="00103DD6" w:rsidRPr="00DE3F60" w14:paraId="3DF41775" w14:textId="77777777">
        <w:trPr>
          <w:jc w:val="center"/>
        </w:trPr>
        <w:tc>
          <w:tcPr>
            <w:tcW w:w="3249" w:type="dxa"/>
            <w:vAlign w:val="center"/>
          </w:tcPr>
          <w:p w14:paraId="44BF16C8"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Responsabilidad</w:t>
            </w:r>
          </w:p>
        </w:tc>
        <w:tc>
          <w:tcPr>
            <w:tcW w:w="3249" w:type="dxa"/>
            <w:vAlign w:val="center"/>
          </w:tcPr>
          <w:p w14:paraId="71D9CC85"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Impacto de la actuación del puesto sobre decisiones, expedientes, recursos, personas, terceros o resultados del servicio.</w:t>
            </w:r>
          </w:p>
        </w:tc>
        <w:tc>
          <w:tcPr>
            <w:tcW w:w="3249" w:type="dxa"/>
            <w:vAlign w:val="center"/>
          </w:tcPr>
          <w:p w14:paraId="4B8810AA"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Se valora por la trascendencia de informes, propuestas, decisiones, controles o actuaciones asumidas por el puesto.</w:t>
            </w:r>
          </w:p>
        </w:tc>
      </w:tr>
      <w:tr w:rsidR="00103DD6" w:rsidRPr="00DE3F60" w14:paraId="54CFA3FB" w14:textId="77777777">
        <w:trPr>
          <w:jc w:val="center"/>
        </w:trPr>
        <w:tc>
          <w:tcPr>
            <w:tcW w:w="3249" w:type="dxa"/>
            <w:vAlign w:val="center"/>
          </w:tcPr>
          <w:p w14:paraId="5834CB34"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Competencia</w:t>
            </w:r>
          </w:p>
        </w:tc>
        <w:tc>
          <w:tcPr>
            <w:tcW w:w="3249" w:type="dxa"/>
            <w:vAlign w:val="center"/>
          </w:tcPr>
          <w:p w14:paraId="7C6472B6"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Nivel de autonomía técnica, criterio profesional y capacidad de resolver problemas no rutinarios.</w:t>
            </w:r>
          </w:p>
        </w:tc>
        <w:tc>
          <w:tcPr>
            <w:tcW w:w="3249" w:type="dxa"/>
            <w:vAlign w:val="center"/>
          </w:tcPr>
          <w:p w14:paraId="3491B4BE"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Se incrementa cuando el puesto debe interpretar, decidir, adaptar criterios o proponer soluciones con escasa estandarización.</w:t>
            </w:r>
          </w:p>
        </w:tc>
      </w:tr>
      <w:tr w:rsidR="00103DD6" w:rsidRPr="00DE3F60" w14:paraId="6C478322" w14:textId="77777777">
        <w:trPr>
          <w:jc w:val="center"/>
        </w:trPr>
        <w:tc>
          <w:tcPr>
            <w:tcW w:w="3249" w:type="dxa"/>
            <w:vAlign w:val="center"/>
          </w:tcPr>
          <w:p w14:paraId="3CD2AE8C"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Mando</w:t>
            </w:r>
          </w:p>
        </w:tc>
        <w:tc>
          <w:tcPr>
            <w:tcW w:w="3249" w:type="dxa"/>
            <w:vAlign w:val="center"/>
          </w:tcPr>
          <w:p w14:paraId="797F0CF1"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Dirección, coordinación, supervisión o control de personas, unidades, procesos o recursos.</w:t>
            </w:r>
          </w:p>
        </w:tc>
        <w:tc>
          <w:tcPr>
            <w:tcW w:w="3249" w:type="dxa"/>
            <w:vAlign w:val="center"/>
          </w:tcPr>
          <w:p w14:paraId="1A2082D2"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Se codifica tanto el mando jerárquico como el mando funcional cuando tenga estabilidad y relevancia organizativa.</w:t>
            </w:r>
          </w:p>
        </w:tc>
      </w:tr>
      <w:tr w:rsidR="00103DD6" w:rsidRPr="00DE3F60" w14:paraId="3DE6DC24" w14:textId="77777777">
        <w:trPr>
          <w:jc w:val="center"/>
        </w:trPr>
        <w:tc>
          <w:tcPr>
            <w:tcW w:w="3249" w:type="dxa"/>
            <w:vAlign w:val="center"/>
          </w:tcPr>
          <w:p w14:paraId="0E7EAF2F"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Complejidad funcional</w:t>
            </w:r>
          </w:p>
        </w:tc>
        <w:tc>
          <w:tcPr>
            <w:tcW w:w="3249" w:type="dxa"/>
            <w:vAlign w:val="center"/>
          </w:tcPr>
          <w:p w14:paraId="2D134D0E"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Diversidad, interdependencia o dificultad de los procesos y funciones asumidas.</w:t>
            </w:r>
          </w:p>
        </w:tc>
        <w:tc>
          <w:tcPr>
            <w:tcW w:w="3249" w:type="dxa"/>
            <w:vAlign w:val="center"/>
          </w:tcPr>
          <w:p w14:paraId="587FE7A7"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Se valora cuando el puesto integra materias heterogéneas, procesos transversales o problemas de elevada variabilidad.</w:t>
            </w:r>
          </w:p>
        </w:tc>
      </w:tr>
      <w:tr w:rsidR="00103DD6" w:rsidRPr="00DE3F60" w14:paraId="265C85C0" w14:textId="77777777">
        <w:trPr>
          <w:jc w:val="center"/>
        </w:trPr>
        <w:tc>
          <w:tcPr>
            <w:tcW w:w="3249" w:type="dxa"/>
            <w:vAlign w:val="center"/>
          </w:tcPr>
          <w:p w14:paraId="5C982F30"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Complejidad territorial</w:t>
            </w:r>
          </w:p>
        </w:tc>
        <w:tc>
          <w:tcPr>
            <w:tcW w:w="3249" w:type="dxa"/>
            <w:vAlign w:val="center"/>
          </w:tcPr>
          <w:p w14:paraId="555723AC"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Incidencia del ámbito espacial, dispersión de centros, servicios o actuaciones sobre la dificultad del puesto.</w:t>
            </w:r>
          </w:p>
        </w:tc>
        <w:tc>
          <w:tcPr>
            <w:tcW w:w="3249" w:type="dxa"/>
            <w:vAlign w:val="center"/>
          </w:tcPr>
          <w:p w14:paraId="0B005228"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Se activa cuando el desempeño exige gestionar, coordinar o controlar actuaciones en varios centros, zonas o ámbitos territoriales.</w:t>
            </w:r>
          </w:p>
        </w:tc>
      </w:tr>
    </w:tbl>
    <w:p w14:paraId="4683D99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Los factores técnicos no actúan como etiquetas aisladas, sino como dimensiones graduables. En la práctica, un puesto puede presentar responsabilidad, especialización o complejidad en distintos niveles de intensidad. Por ello, la herramienta debe distinguir entre una presencia meramente accesoria del factor, una presencia relevante y una presencia nuclear o estructural.</w:t>
      </w:r>
    </w:p>
    <w:p w14:paraId="4B3F2A3B" w14:textId="77777777" w:rsidR="00103DD6"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Esta graduación no crea nuevos niveles jurídicos de complemento de destino. Su función es estrictamente técnica: permite representar con mayor fidelidad el contenido del puesto antes de compararlo con los puestos patrón. Dicho de otro modo, no se “sube” un puesto porque aparezca una palabra determinada, sino porque el conjunto de verbos, funciones y factores técnicos muestra una posición funcional comparable a patrones de mayor nivel.</w:t>
      </w:r>
    </w:p>
    <w:p w14:paraId="5143F20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Como criterio general, los subniveles pueden interpretarse del siguiente modo:</w:t>
      </w:r>
    </w:p>
    <w:tbl>
      <w:tblPr>
        <w:tblStyle w:val="Tablaconcuadrcula"/>
        <w:tblW w:w="0" w:type="auto"/>
        <w:jc w:val="center"/>
        <w:tblLook w:val="04A0" w:firstRow="1" w:lastRow="0" w:firstColumn="1" w:lastColumn="0" w:noHBand="0" w:noVBand="1"/>
      </w:tblPr>
      <w:tblGrid>
        <w:gridCol w:w="1134"/>
        <w:gridCol w:w="3969"/>
        <w:gridCol w:w="3402"/>
      </w:tblGrid>
      <w:tr w:rsidR="00103DD6" w:rsidRPr="00DE3F60" w14:paraId="7AC0C792" w14:textId="77777777">
        <w:trPr>
          <w:jc w:val="center"/>
        </w:trPr>
        <w:tc>
          <w:tcPr>
            <w:tcW w:w="1134" w:type="dxa"/>
            <w:shd w:val="clear" w:color="auto" w:fill="D9EAF7"/>
          </w:tcPr>
          <w:p w14:paraId="36A7B84D"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Subnivel</w:t>
            </w:r>
          </w:p>
        </w:tc>
        <w:tc>
          <w:tcPr>
            <w:tcW w:w="3969" w:type="dxa"/>
            <w:shd w:val="clear" w:color="auto" w:fill="D9EAF7"/>
          </w:tcPr>
          <w:p w14:paraId="5B5634B1"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Lectura técnica general</w:t>
            </w:r>
          </w:p>
        </w:tc>
        <w:tc>
          <w:tcPr>
            <w:tcW w:w="3402" w:type="dxa"/>
            <w:shd w:val="clear" w:color="auto" w:fill="D9EAF7"/>
          </w:tcPr>
          <w:p w14:paraId="15305886"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Ejemplo de interpretación</w:t>
            </w:r>
          </w:p>
        </w:tc>
      </w:tr>
      <w:tr w:rsidR="00103DD6" w:rsidRPr="00DE3F60" w14:paraId="3C7AFAC7" w14:textId="77777777">
        <w:trPr>
          <w:jc w:val="center"/>
        </w:trPr>
        <w:tc>
          <w:tcPr>
            <w:tcW w:w="1134" w:type="dxa"/>
          </w:tcPr>
          <w:p w14:paraId="50B5236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0</w:t>
            </w:r>
          </w:p>
        </w:tc>
        <w:tc>
          <w:tcPr>
            <w:tcW w:w="3969" w:type="dxa"/>
          </w:tcPr>
          <w:p w14:paraId="501BE788"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El factor no aparece de forma objetiva en las funciones del puesto.</w:t>
            </w:r>
          </w:p>
        </w:tc>
        <w:tc>
          <w:tcPr>
            <w:tcW w:w="3402" w:type="dxa"/>
          </w:tcPr>
          <w:p w14:paraId="598E205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No hay evidencia funcional suficiente para activar el factor.</w:t>
            </w:r>
          </w:p>
        </w:tc>
      </w:tr>
      <w:tr w:rsidR="00103DD6" w:rsidRPr="00DE3F60" w14:paraId="504EFBB8" w14:textId="77777777">
        <w:trPr>
          <w:jc w:val="center"/>
        </w:trPr>
        <w:tc>
          <w:tcPr>
            <w:tcW w:w="1134" w:type="dxa"/>
          </w:tcPr>
          <w:p w14:paraId="54F369F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1</w:t>
            </w:r>
          </w:p>
        </w:tc>
        <w:tc>
          <w:tcPr>
            <w:tcW w:w="3969" w:type="dxa"/>
          </w:tcPr>
          <w:p w14:paraId="193572D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Presencia accesoria, auxiliar u ocasional.</w:t>
            </w:r>
          </w:p>
        </w:tc>
        <w:tc>
          <w:tcPr>
            <w:tcW w:w="3402" w:type="dxa"/>
          </w:tcPr>
          <w:p w14:paraId="32826AF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El puesto participa en la actividad, pero no la asume como responsabilidad propia.</w:t>
            </w:r>
          </w:p>
        </w:tc>
      </w:tr>
      <w:tr w:rsidR="00103DD6" w:rsidRPr="00DE3F60" w14:paraId="195D5B62" w14:textId="77777777">
        <w:trPr>
          <w:jc w:val="center"/>
        </w:trPr>
        <w:tc>
          <w:tcPr>
            <w:tcW w:w="1134" w:type="dxa"/>
          </w:tcPr>
          <w:p w14:paraId="011BA83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2</w:t>
            </w:r>
          </w:p>
        </w:tc>
        <w:tc>
          <w:tcPr>
            <w:tcW w:w="3969" w:type="dxa"/>
          </w:tcPr>
          <w:p w14:paraId="1D1064A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Presencia relevante, estable y necesaria para el desempeño ordinario.</w:t>
            </w:r>
          </w:p>
        </w:tc>
        <w:tc>
          <w:tcPr>
            <w:tcW w:w="3402" w:type="dxa"/>
          </w:tcPr>
          <w:p w14:paraId="18F21005"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El factor forma parte habitual del puesto y condiciona su correcta ejecución.</w:t>
            </w:r>
          </w:p>
        </w:tc>
      </w:tr>
      <w:tr w:rsidR="00103DD6" w:rsidRPr="00DE3F60" w14:paraId="4569E506" w14:textId="77777777">
        <w:trPr>
          <w:jc w:val="center"/>
        </w:trPr>
        <w:tc>
          <w:tcPr>
            <w:tcW w:w="1134" w:type="dxa"/>
          </w:tcPr>
          <w:p w14:paraId="2D878C5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3</w:t>
            </w:r>
          </w:p>
        </w:tc>
        <w:tc>
          <w:tcPr>
            <w:tcW w:w="3969" w:type="dxa"/>
          </w:tcPr>
          <w:p w14:paraId="441FBD9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Presencia nuclear, estructural o definitoria del puesto.</w:t>
            </w:r>
          </w:p>
        </w:tc>
        <w:tc>
          <w:tcPr>
            <w:tcW w:w="3402" w:type="dxa"/>
          </w:tcPr>
          <w:p w14:paraId="10B9DD4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6"/>
                <w:lang w:val="es-ES"/>
              </w:rPr>
              <w:t>El factor explica la posición del puesto en la estructura y lo diferencia claramente de niveles inferiores.</w:t>
            </w:r>
          </w:p>
        </w:tc>
      </w:tr>
    </w:tbl>
    <w:p w14:paraId="1426DF97" w14:textId="77777777" w:rsidR="00A03C69" w:rsidRDefault="00A03C69" w:rsidP="00DE3F60">
      <w:pPr>
        <w:spacing w:before="120" w:after="240" w:line="240" w:lineRule="auto"/>
        <w:jc w:val="both"/>
        <w:rPr>
          <w:rFonts w:asciiTheme="majorHAnsi" w:hAnsiTheme="majorHAnsi" w:cstheme="majorHAnsi"/>
          <w:lang w:val="es-ES"/>
        </w:rPr>
      </w:pPr>
    </w:p>
    <w:p w14:paraId="1EC54491" w14:textId="77777777" w:rsidR="00A03C69" w:rsidRDefault="00A03C69" w:rsidP="00DE3F60">
      <w:pPr>
        <w:spacing w:before="120" w:after="240" w:line="240" w:lineRule="auto"/>
        <w:jc w:val="both"/>
        <w:rPr>
          <w:rFonts w:asciiTheme="majorHAnsi" w:hAnsiTheme="majorHAnsi" w:cstheme="majorHAnsi"/>
          <w:lang w:val="es-ES"/>
        </w:rPr>
      </w:pPr>
    </w:p>
    <w:p w14:paraId="1C85F241" w14:textId="77777777" w:rsidR="00A03C69" w:rsidRDefault="00A03C69" w:rsidP="00DE3F60">
      <w:pPr>
        <w:spacing w:before="120" w:after="240" w:line="240" w:lineRule="auto"/>
        <w:jc w:val="both"/>
        <w:rPr>
          <w:rFonts w:asciiTheme="majorHAnsi" w:hAnsiTheme="majorHAnsi" w:cstheme="majorHAnsi"/>
          <w:lang w:val="es-ES"/>
        </w:rPr>
      </w:pPr>
    </w:p>
    <w:p w14:paraId="1FFFF9F1" w14:textId="77777777" w:rsidR="00A03C69" w:rsidRDefault="00A03C69" w:rsidP="00DE3F60">
      <w:pPr>
        <w:spacing w:before="120" w:after="240" w:line="240" w:lineRule="auto"/>
        <w:jc w:val="both"/>
        <w:rPr>
          <w:rFonts w:asciiTheme="majorHAnsi" w:hAnsiTheme="majorHAnsi" w:cstheme="majorHAnsi"/>
          <w:lang w:val="es-ES"/>
        </w:rPr>
      </w:pPr>
    </w:p>
    <w:p w14:paraId="1D79C263" w14:textId="77777777" w:rsidR="00A03C69" w:rsidRDefault="00A03C69" w:rsidP="00DE3F60">
      <w:pPr>
        <w:spacing w:before="120" w:after="240" w:line="240" w:lineRule="auto"/>
        <w:jc w:val="both"/>
        <w:rPr>
          <w:rFonts w:asciiTheme="majorHAnsi" w:hAnsiTheme="majorHAnsi" w:cstheme="majorHAnsi"/>
          <w:lang w:val="es-ES"/>
        </w:rPr>
      </w:pPr>
    </w:p>
    <w:p w14:paraId="0A83EBED" w14:textId="3A244BB9"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A efectos prácticos, la graduación de cada factor puede orientarse mediante los siguientes criterios:</w:t>
      </w:r>
    </w:p>
    <w:tbl>
      <w:tblPr>
        <w:tblStyle w:val="Tablaconcuadrcula"/>
        <w:tblW w:w="0" w:type="auto"/>
        <w:jc w:val="center"/>
        <w:tblLook w:val="04A0" w:firstRow="1" w:lastRow="0" w:firstColumn="1" w:lastColumn="0" w:noHBand="0" w:noVBand="1"/>
      </w:tblPr>
      <w:tblGrid>
        <w:gridCol w:w="1474"/>
        <w:gridCol w:w="2324"/>
        <w:gridCol w:w="2324"/>
        <w:gridCol w:w="2324"/>
      </w:tblGrid>
      <w:tr w:rsidR="00103DD6" w:rsidRPr="00DE3F60" w14:paraId="5D30754B" w14:textId="77777777">
        <w:trPr>
          <w:jc w:val="center"/>
        </w:trPr>
        <w:tc>
          <w:tcPr>
            <w:tcW w:w="1474" w:type="dxa"/>
            <w:shd w:val="clear" w:color="auto" w:fill="D9EAF7"/>
          </w:tcPr>
          <w:p w14:paraId="01FEA749"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Factor técnico</w:t>
            </w:r>
          </w:p>
        </w:tc>
        <w:tc>
          <w:tcPr>
            <w:tcW w:w="2324" w:type="dxa"/>
            <w:shd w:val="clear" w:color="auto" w:fill="D9EAF7"/>
          </w:tcPr>
          <w:p w14:paraId="21645A3D"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Subnivel 1: accesorio</w:t>
            </w:r>
          </w:p>
        </w:tc>
        <w:tc>
          <w:tcPr>
            <w:tcW w:w="2324" w:type="dxa"/>
            <w:shd w:val="clear" w:color="auto" w:fill="D9EAF7"/>
          </w:tcPr>
          <w:p w14:paraId="21E68AEA"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Subnivel 2: relevante</w:t>
            </w:r>
          </w:p>
        </w:tc>
        <w:tc>
          <w:tcPr>
            <w:tcW w:w="2324" w:type="dxa"/>
            <w:shd w:val="clear" w:color="auto" w:fill="D9EAF7"/>
          </w:tcPr>
          <w:p w14:paraId="246BF8B1"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Subnivel 3: nuclear o estructural</w:t>
            </w:r>
          </w:p>
        </w:tc>
      </w:tr>
      <w:tr w:rsidR="00103DD6" w:rsidRPr="00DE3F60" w14:paraId="48BFAFE3" w14:textId="77777777">
        <w:trPr>
          <w:jc w:val="center"/>
        </w:trPr>
        <w:tc>
          <w:tcPr>
            <w:tcW w:w="1474" w:type="dxa"/>
          </w:tcPr>
          <w:p w14:paraId="271093AB"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Especialización</w:t>
            </w:r>
          </w:p>
        </w:tc>
        <w:tc>
          <w:tcPr>
            <w:tcW w:w="2324" w:type="dxa"/>
          </w:tcPr>
          <w:p w14:paraId="41FDBD4B"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Aplica conocimientos específicos de forma auxiliar o bajo pautas cerradas.</w:t>
            </w:r>
          </w:p>
        </w:tc>
        <w:tc>
          <w:tcPr>
            <w:tcW w:w="2324" w:type="dxa"/>
          </w:tcPr>
          <w:p w14:paraId="3E53CC99"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Requiere dominio técnico o normativo estable para resolver expedientes, informes o actuaciones habituales.</w:t>
            </w:r>
          </w:p>
        </w:tc>
        <w:tc>
          <w:tcPr>
            <w:tcW w:w="2324" w:type="dxa"/>
          </w:tcPr>
          <w:p w14:paraId="2FDCE811"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El puesto se define por un saber experto diferenciado, difícilmente sustituible por formación generalista.</w:t>
            </w:r>
          </w:p>
        </w:tc>
      </w:tr>
      <w:tr w:rsidR="00103DD6" w:rsidRPr="00DE3F60" w14:paraId="33DC5B4D" w14:textId="77777777">
        <w:trPr>
          <w:jc w:val="center"/>
        </w:trPr>
        <w:tc>
          <w:tcPr>
            <w:tcW w:w="1474" w:type="dxa"/>
          </w:tcPr>
          <w:p w14:paraId="7CCB7DE3"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Responsabilidad</w:t>
            </w:r>
          </w:p>
        </w:tc>
        <w:tc>
          <w:tcPr>
            <w:tcW w:w="2324" w:type="dxa"/>
          </w:tcPr>
          <w:p w14:paraId="25A97948"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Realiza actuaciones con impacto interno limitado o revisadas por otros puestos.</w:t>
            </w:r>
          </w:p>
        </w:tc>
        <w:tc>
          <w:tcPr>
            <w:tcW w:w="2324" w:type="dxa"/>
          </w:tcPr>
          <w:p w14:paraId="719E96E5"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Asume informes, propuestas, controles o actuaciones con efectos organizativos o administrativos relevantes.</w:t>
            </w:r>
          </w:p>
        </w:tc>
        <w:tc>
          <w:tcPr>
            <w:tcW w:w="2324" w:type="dxa"/>
          </w:tcPr>
          <w:p w14:paraId="6C0FC3ED"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Sus decisiones, informes o controles condicionan de forma decisiva recursos, terceros, seguridad jurídica o resultados del servicio.</w:t>
            </w:r>
          </w:p>
        </w:tc>
      </w:tr>
      <w:tr w:rsidR="00103DD6" w:rsidRPr="00DE3F60" w14:paraId="555FDEA8" w14:textId="77777777">
        <w:trPr>
          <w:jc w:val="center"/>
        </w:trPr>
        <w:tc>
          <w:tcPr>
            <w:tcW w:w="1474" w:type="dxa"/>
          </w:tcPr>
          <w:p w14:paraId="27A76AB9"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Competencia</w:t>
            </w:r>
          </w:p>
        </w:tc>
        <w:tc>
          <w:tcPr>
            <w:tcW w:w="2324" w:type="dxa"/>
          </w:tcPr>
          <w:p w14:paraId="5CB5F533"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Actúa con autonomía reducida y criterios previamente establecidos.</w:t>
            </w:r>
          </w:p>
        </w:tc>
        <w:tc>
          <w:tcPr>
            <w:tcW w:w="2324" w:type="dxa"/>
          </w:tcPr>
          <w:p w14:paraId="4B8C95FF"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Interpreta normas, adapta criterios y resuelve incidencias no plenamente rutinarias.</w:t>
            </w:r>
          </w:p>
        </w:tc>
        <w:tc>
          <w:tcPr>
            <w:tcW w:w="2324" w:type="dxa"/>
          </w:tcPr>
          <w:p w14:paraId="6B6323C3"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Define criterios técnicos, propone soluciones complejas o actúa como referencia técnica estable en su ámbito.</w:t>
            </w:r>
          </w:p>
        </w:tc>
      </w:tr>
      <w:tr w:rsidR="00103DD6" w:rsidRPr="00DE3F60" w14:paraId="37E37844" w14:textId="77777777">
        <w:trPr>
          <w:jc w:val="center"/>
        </w:trPr>
        <w:tc>
          <w:tcPr>
            <w:tcW w:w="1474" w:type="dxa"/>
          </w:tcPr>
          <w:p w14:paraId="59EDC5BF"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Mando</w:t>
            </w:r>
          </w:p>
        </w:tc>
        <w:tc>
          <w:tcPr>
            <w:tcW w:w="2324" w:type="dxa"/>
          </w:tcPr>
          <w:p w14:paraId="11C80DC0"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Colabora en la ordenación del trabajo sin autoridad funcional estable.</w:t>
            </w:r>
          </w:p>
        </w:tc>
        <w:tc>
          <w:tcPr>
            <w:tcW w:w="2324" w:type="dxa"/>
          </w:tcPr>
          <w:p w14:paraId="42C43EAA"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Coordina o supervisa personas, procesos o recursos con carácter habitual.</w:t>
            </w:r>
          </w:p>
        </w:tc>
        <w:tc>
          <w:tcPr>
            <w:tcW w:w="2324" w:type="dxa"/>
          </w:tcPr>
          <w:p w14:paraId="7DA4D745"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Dirige unidades, equipos o procesos con capacidad efectiva de planificación, asignación, control y evaluación.</w:t>
            </w:r>
          </w:p>
        </w:tc>
      </w:tr>
      <w:tr w:rsidR="00103DD6" w:rsidRPr="00DE3F60" w14:paraId="79532AC4" w14:textId="77777777">
        <w:trPr>
          <w:jc w:val="center"/>
        </w:trPr>
        <w:tc>
          <w:tcPr>
            <w:tcW w:w="1474" w:type="dxa"/>
          </w:tcPr>
          <w:p w14:paraId="2C898878"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Complejidad funcional</w:t>
            </w:r>
          </w:p>
        </w:tc>
        <w:tc>
          <w:tcPr>
            <w:tcW w:w="2324" w:type="dxa"/>
          </w:tcPr>
          <w:p w14:paraId="33452D2D"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Interviene en procesos simples o fragmentos acotados de procedimiento.</w:t>
            </w:r>
          </w:p>
        </w:tc>
        <w:tc>
          <w:tcPr>
            <w:tcW w:w="2324" w:type="dxa"/>
          </w:tcPr>
          <w:p w14:paraId="7FE2D90E"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Integra funciones diversas, procedimientos relacionados o problemas con variabilidad significativa.</w:t>
            </w:r>
          </w:p>
        </w:tc>
        <w:tc>
          <w:tcPr>
            <w:tcW w:w="2324" w:type="dxa"/>
          </w:tcPr>
          <w:p w14:paraId="3CADF9C1"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Gestiona procesos transversales, heterogéneos o de alta interdependencia organizativa.</w:t>
            </w:r>
          </w:p>
        </w:tc>
      </w:tr>
      <w:tr w:rsidR="00103DD6" w:rsidRPr="00DE3F60" w14:paraId="44DCE596" w14:textId="77777777">
        <w:trPr>
          <w:jc w:val="center"/>
        </w:trPr>
        <w:tc>
          <w:tcPr>
            <w:tcW w:w="1474" w:type="dxa"/>
          </w:tcPr>
          <w:p w14:paraId="069C9040"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Complejidad territorial</w:t>
            </w:r>
          </w:p>
        </w:tc>
        <w:tc>
          <w:tcPr>
            <w:tcW w:w="2324" w:type="dxa"/>
          </w:tcPr>
          <w:p w14:paraId="3F56A238"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La dimensión territorial apenas modifica la dificultad del puesto.</w:t>
            </w:r>
          </w:p>
        </w:tc>
        <w:tc>
          <w:tcPr>
            <w:tcW w:w="2324" w:type="dxa"/>
          </w:tcPr>
          <w:p w14:paraId="799A164E"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Debe atender varios centros, zonas o ámbitos con cierta coordinación operativa.</w:t>
            </w:r>
          </w:p>
        </w:tc>
        <w:tc>
          <w:tcPr>
            <w:tcW w:w="2324" w:type="dxa"/>
          </w:tcPr>
          <w:p w14:paraId="2756B7FB"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La dispersión territorial condiciona de forma intensa la planificación, control, coordinación o prestación del servicio.</w:t>
            </w:r>
          </w:p>
        </w:tc>
      </w:tr>
    </w:tbl>
    <w:p w14:paraId="4DCAF88D" w14:textId="77777777" w:rsidR="00C83CEC" w:rsidRDefault="00C83CEC" w:rsidP="00DE3F60">
      <w:pPr>
        <w:spacing w:before="120" w:after="240" w:line="240" w:lineRule="auto"/>
        <w:jc w:val="both"/>
        <w:rPr>
          <w:rFonts w:asciiTheme="majorHAnsi" w:hAnsiTheme="majorHAnsi" w:cstheme="majorHAnsi"/>
          <w:lang w:val="es-ES"/>
        </w:rPr>
      </w:pPr>
    </w:p>
    <w:p w14:paraId="69607751" w14:textId="0CFC8019"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Ejemplo: un puesto puede tener el verbo “coordinar” activado, pero no tendrá la misma intensidad si únicamente coordina intercambios puntuales de información, si coordina de forma estable un procedimiento administrativo, o si coordina una unidad, equipo o programa con impacto transversal. En el primer caso la intensidad tendería a 1; en el segundo, a 2; y en el tercero, a 3, siempre que exista evidencia funcional suficiente.</w:t>
      </w:r>
    </w:p>
    <w:p w14:paraId="6B08A40E" w14:textId="77777777" w:rsidR="00103DD6" w:rsidRPr="00DE3F60" w:rsidRDefault="0020195E" w:rsidP="00DE3F60">
      <w:pPr>
        <w:pStyle w:val="Ttulo2"/>
        <w:spacing w:before="120" w:after="240" w:line="240" w:lineRule="auto"/>
        <w:jc w:val="both"/>
        <w:rPr>
          <w:rFonts w:cstheme="majorHAnsi"/>
          <w:lang w:val="es-ES"/>
        </w:rPr>
      </w:pPr>
      <w:bookmarkStart w:id="14" w:name="_Toc231894277"/>
      <w:r w:rsidRPr="00DE3F60">
        <w:rPr>
          <w:rFonts w:cstheme="majorHAnsi"/>
          <w:lang w:val="es-ES"/>
        </w:rPr>
        <w:t>6.5. Paso 5: codificación de presencia o intensidad</w:t>
      </w:r>
      <w:bookmarkEnd w:id="14"/>
    </w:p>
    <w:p w14:paraId="458AA858"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Una vez identificados los verbos, formuladas las funciones asociadas y definidos los factores técnicos, se codifica su presencia o intensidad en el puesto. La versión más sencilla es binaria:</w:t>
      </w:r>
    </w:p>
    <w:p w14:paraId="5F77B9E7" w14:textId="5B2A09D0" w:rsidR="002519E5" w:rsidRPr="00C83CEC" w:rsidRDefault="0020195E" w:rsidP="00C83CEC">
      <w:pPr>
        <w:pStyle w:val="Formula"/>
        <w:spacing w:before="120" w:after="240" w:line="240" w:lineRule="auto"/>
        <w:jc w:val="both"/>
        <w:rPr>
          <w:rFonts w:asciiTheme="majorHAnsi" w:hAnsiTheme="majorHAnsi" w:cstheme="majorHAnsi"/>
          <w:i/>
          <w:lang w:val="es-ES"/>
        </w:rPr>
      </w:pPr>
      <m:oMathPara>
        <m:oMathParaPr>
          <m:jc m:val="left"/>
        </m:oMathParaPr>
        <m:oMath>
          <m:sSub>
            <m:sSubPr>
              <m:ctrlPr>
                <w:rPr>
                  <w:rFonts w:ascii="Cambria Math" w:hAnsi="Cambria Math" w:cstheme="majorHAnsi"/>
                  <w:i/>
                  <w:lang w:val="es-ES"/>
                </w:rPr>
              </m:ctrlPr>
            </m:sSubPr>
            <m:e>
              <m:r>
                <w:rPr>
                  <w:rFonts w:ascii="Cambria Math" w:hAnsi="Cambria Math" w:cstheme="majorHAnsi"/>
                  <w:lang w:val="es-ES"/>
                </w:rPr>
                <m:t>x</m:t>
              </m:r>
            </m:e>
            <m:sub>
              <m:r>
                <w:rPr>
                  <w:rFonts w:ascii="Cambria Math" w:hAnsi="Cambria Math" w:cstheme="majorHAnsi"/>
                  <w:lang w:val="es-ES"/>
                </w:rPr>
                <m:t>i</m:t>
              </m:r>
            </m:sub>
          </m:sSub>
          <m:r>
            <w:rPr>
              <w:rFonts w:ascii="Cambria Math" w:hAnsi="Cambria Math" w:cstheme="majorHAnsi"/>
              <w:lang w:val="es-ES"/>
            </w:rPr>
            <m:t>=1 (si el verbo o factor está presente en el puesto)</m:t>
          </m:r>
        </m:oMath>
      </m:oMathPara>
    </w:p>
    <w:p w14:paraId="4B2C45B1" w14:textId="3806E803" w:rsidR="00C83CEC" w:rsidRPr="00C83CEC" w:rsidRDefault="0020195E" w:rsidP="00C83CEC">
      <w:pPr>
        <w:pStyle w:val="Formula"/>
        <w:spacing w:before="120" w:after="240" w:line="240" w:lineRule="auto"/>
        <w:jc w:val="both"/>
        <w:rPr>
          <w:rFonts w:asciiTheme="majorHAnsi" w:hAnsiTheme="majorHAnsi" w:cstheme="majorHAnsi"/>
          <w:i/>
          <w:lang w:val="es-ES"/>
        </w:rPr>
      </w:pPr>
      <m:oMathPara>
        <m:oMathParaPr>
          <m:jc m:val="left"/>
        </m:oMathParaPr>
        <m:oMath>
          <m:sSub>
            <m:sSubPr>
              <m:ctrlPr>
                <w:rPr>
                  <w:rFonts w:ascii="Cambria Math" w:hAnsi="Cambria Math" w:cstheme="majorHAnsi"/>
                  <w:i/>
                  <w:lang w:val="es-ES"/>
                </w:rPr>
              </m:ctrlPr>
            </m:sSubPr>
            <m:e>
              <m:r>
                <w:rPr>
                  <w:rFonts w:ascii="Cambria Math" w:hAnsi="Cambria Math" w:cstheme="majorHAnsi"/>
                  <w:lang w:val="es-ES"/>
                </w:rPr>
                <m:t>x</m:t>
              </m:r>
            </m:e>
            <m:sub>
              <m:r>
                <w:rPr>
                  <w:rFonts w:ascii="Cambria Math" w:hAnsi="Cambria Math" w:cstheme="majorHAnsi"/>
                  <w:lang w:val="es-ES"/>
                </w:rPr>
                <m:t>i</m:t>
              </m:r>
            </m:sub>
          </m:sSub>
          <m:r>
            <w:rPr>
              <w:rFonts w:ascii="Cambria Math" w:hAnsi="Cambria Math" w:cstheme="majorHAnsi"/>
              <w:lang w:val="es-ES"/>
            </w:rPr>
            <m:t>=0 (si el verbo o factor no está presente en el puesto)</m:t>
          </m:r>
        </m:oMath>
      </m:oMathPara>
    </w:p>
    <w:p w14:paraId="1FB7D111" w14:textId="0297D01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Sin embargo, cuando se necesita mayor precisión, puede utilizarse una escala ordinal de intensidad, por ejemplo: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1"/>
        <w:gridCol w:w="6803"/>
      </w:tblGrid>
      <w:tr w:rsidR="00103DD6" w:rsidRPr="00DE3F60" w14:paraId="0490520F" w14:textId="77777777">
        <w:trPr>
          <w:jc w:val="center"/>
        </w:trPr>
        <w:tc>
          <w:tcPr>
            <w:tcW w:w="1701" w:type="dxa"/>
            <w:shd w:val="clear" w:color="auto" w:fill="1F4E79"/>
            <w:vAlign w:val="center"/>
          </w:tcPr>
          <w:p w14:paraId="69DC2A8D"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color w:val="FFFFFF"/>
                <w:sz w:val="17"/>
                <w:szCs w:val="17"/>
                <w:lang w:val="es-ES"/>
              </w:rPr>
              <w:t>Valor</w:t>
            </w:r>
          </w:p>
        </w:tc>
        <w:tc>
          <w:tcPr>
            <w:tcW w:w="6803" w:type="dxa"/>
            <w:shd w:val="clear" w:color="auto" w:fill="1F4E79"/>
            <w:vAlign w:val="center"/>
          </w:tcPr>
          <w:p w14:paraId="3E5957F6"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color w:val="FFFFFF"/>
                <w:sz w:val="17"/>
                <w:szCs w:val="17"/>
                <w:lang w:val="es-ES"/>
              </w:rPr>
              <w:t>Interpretación</w:t>
            </w:r>
          </w:p>
        </w:tc>
      </w:tr>
      <w:tr w:rsidR="00103DD6" w:rsidRPr="00DE3F60" w14:paraId="644E9E3A" w14:textId="77777777">
        <w:trPr>
          <w:jc w:val="center"/>
        </w:trPr>
        <w:tc>
          <w:tcPr>
            <w:tcW w:w="1701" w:type="dxa"/>
            <w:vAlign w:val="center"/>
          </w:tcPr>
          <w:p w14:paraId="2FA8CD30"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0</w:t>
            </w:r>
          </w:p>
        </w:tc>
        <w:tc>
          <w:tcPr>
            <w:tcW w:w="6803" w:type="dxa"/>
            <w:vAlign w:val="center"/>
          </w:tcPr>
          <w:p w14:paraId="79D465B4"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Ausencia del verbo o factor</w:t>
            </w:r>
          </w:p>
        </w:tc>
      </w:tr>
      <w:tr w:rsidR="00103DD6" w:rsidRPr="00DE3F60" w14:paraId="38A272E5" w14:textId="77777777">
        <w:trPr>
          <w:jc w:val="center"/>
        </w:trPr>
        <w:tc>
          <w:tcPr>
            <w:tcW w:w="1701" w:type="dxa"/>
            <w:vAlign w:val="center"/>
          </w:tcPr>
          <w:p w14:paraId="37191061"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1</w:t>
            </w:r>
          </w:p>
        </w:tc>
        <w:tc>
          <w:tcPr>
            <w:tcW w:w="6803" w:type="dxa"/>
            <w:vAlign w:val="center"/>
          </w:tcPr>
          <w:p w14:paraId="57963600"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Presencia accesoria u ocasional</w:t>
            </w:r>
          </w:p>
        </w:tc>
      </w:tr>
      <w:tr w:rsidR="00103DD6" w:rsidRPr="00DE3F60" w14:paraId="5F81DD6A" w14:textId="77777777">
        <w:trPr>
          <w:jc w:val="center"/>
        </w:trPr>
        <w:tc>
          <w:tcPr>
            <w:tcW w:w="1701" w:type="dxa"/>
            <w:vAlign w:val="center"/>
          </w:tcPr>
          <w:p w14:paraId="4B1E8D50"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2</w:t>
            </w:r>
          </w:p>
        </w:tc>
        <w:tc>
          <w:tcPr>
            <w:tcW w:w="6803" w:type="dxa"/>
            <w:vAlign w:val="center"/>
          </w:tcPr>
          <w:p w14:paraId="6E2012E5"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Presencia relevante</w:t>
            </w:r>
          </w:p>
        </w:tc>
      </w:tr>
      <w:tr w:rsidR="00103DD6" w:rsidRPr="00DE3F60" w14:paraId="6CF5B5D4" w14:textId="77777777">
        <w:trPr>
          <w:jc w:val="center"/>
        </w:trPr>
        <w:tc>
          <w:tcPr>
            <w:tcW w:w="1701" w:type="dxa"/>
            <w:vAlign w:val="center"/>
          </w:tcPr>
          <w:p w14:paraId="14182006"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3</w:t>
            </w:r>
          </w:p>
        </w:tc>
        <w:tc>
          <w:tcPr>
            <w:tcW w:w="6803" w:type="dxa"/>
            <w:vAlign w:val="center"/>
          </w:tcPr>
          <w:p w14:paraId="7C914AF6" w14:textId="77777777" w:rsidR="00103DD6" w:rsidRPr="00C83CEC" w:rsidRDefault="0020195E" w:rsidP="00DE3F60">
            <w:pPr>
              <w:spacing w:before="120" w:after="240" w:line="240" w:lineRule="auto"/>
              <w:jc w:val="both"/>
              <w:rPr>
                <w:rFonts w:asciiTheme="majorHAnsi" w:hAnsiTheme="majorHAnsi" w:cstheme="majorHAnsi"/>
                <w:sz w:val="16"/>
                <w:szCs w:val="20"/>
                <w:lang w:val="es-ES"/>
              </w:rPr>
            </w:pPr>
            <w:r w:rsidRPr="00C83CEC">
              <w:rPr>
                <w:rFonts w:asciiTheme="majorHAnsi" w:hAnsiTheme="majorHAnsi" w:cstheme="majorHAnsi"/>
                <w:sz w:val="16"/>
                <w:szCs w:val="20"/>
                <w:lang w:val="es-ES"/>
              </w:rPr>
              <w:t>Presencia nuclear o estructural</w:t>
            </w:r>
          </w:p>
        </w:tc>
      </w:tr>
    </w:tbl>
    <w:p w14:paraId="294D669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asignación de valores debe hacerse siempre a partir de evidencias del puesto: funciones formalizadas, responsabilidades descritas, posición organizativa, requisitos competenciales, informes de necesidad, DPT, RPT, organigrama y, en su caso, información contrastada del servicio. No debe asignarse un valor por mera denominación del puesto ni por la persona que lo ocupa.</w:t>
      </w:r>
    </w:p>
    <w:p w14:paraId="1965DAA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regla de codificación es común para verbos y factores técnicos, aunque su lectura no es exactamente idéntica. En los verbos se valora la intensidad de la acción funcional; en los factores técnicos se valora la intensidad de la dimensión organizativa o jurídica asociada al complemento de destino.</w:t>
      </w:r>
    </w:p>
    <w:tbl>
      <w:tblPr>
        <w:tblStyle w:val="Tablaconcuadrcula"/>
        <w:tblW w:w="0" w:type="auto"/>
        <w:jc w:val="center"/>
        <w:tblLook w:val="04A0" w:firstRow="1" w:lastRow="0" w:firstColumn="1" w:lastColumn="0" w:noHBand="0" w:noVBand="1"/>
      </w:tblPr>
      <w:tblGrid>
        <w:gridCol w:w="793"/>
        <w:gridCol w:w="3798"/>
        <w:gridCol w:w="3798"/>
      </w:tblGrid>
      <w:tr w:rsidR="00103DD6" w:rsidRPr="00DE3F60" w14:paraId="28D3C3A6" w14:textId="77777777">
        <w:trPr>
          <w:jc w:val="center"/>
        </w:trPr>
        <w:tc>
          <w:tcPr>
            <w:tcW w:w="793" w:type="dxa"/>
            <w:shd w:val="clear" w:color="auto" w:fill="D9EAF7"/>
          </w:tcPr>
          <w:p w14:paraId="738298DA"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Valor</w:t>
            </w:r>
          </w:p>
        </w:tc>
        <w:tc>
          <w:tcPr>
            <w:tcW w:w="3798" w:type="dxa"/>
            <w:shd w:val="clear" w:color="auto" w:fill="D9EAF7"/>
          </w:tcPr>
          <w:p w14:paraId="742ECF04"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proofErr w:type="gramStart"/>
            <w:r w:rsidRPr="00C83CEC">
              <w:rPr>
                <w:rFonts w:asciiTheme="majorHAnsi" w:hAnsiTheme="majorHAnsi" w:cstheme="majorHAnsi"/>
                <w:b/>
                <w:sz w:val="17"/>
                <w:szCs w:val="17"/>
                <w:lang w:val="es-ES"/>
              </w:rPr>
              <w:t>Cuándo</w:t>
            </w:r>
            <w:proofErr w:type="gramEnd"/>
            <w:r w:rsidRPr="00C83CEC">
              <w:rPr>
                <w:rFonts w:asciiTheme="majorHAnsi" w:hAnsiTheme="majorHAnsi" w:cstheme="majorHAnsi"/>
                <w:b/>
                <w:sz w:val="17"/>
                <w:szCs w:val="17"/>
                <w:lang w:val="es-ES"/>
              </w:rPr>
              <w:t xml:space="preserve"> se asigna en verbos de acción</w:t>
            </w:r>
          </w:p>
        </w:tc>
        <w:tc>
          <w:tcPr>
            <w:tcW w:w="3798" w:type="dxa"/>
            <w:shd w:val="clear" w:color="auto" w:fill="D9EAF7"/>
          </w:tcPr>
          <w:p w14:paraId="42C8B4FA"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proofErr w:type="gramStart"/>
            <w:r w:rsidRPr="00C83CEC">
              <w:rPr>
                <w:rFonts w:asciiTheme="majorHAnsi" w:hAnsiTheme="majorHAnsi" w:cstheme="majorHAnsi"/>
                <w:b/>
                <w:sz w:val="17"/>
                <w:szCs w:val="17"/>
                <w:lang w:val="es-ES"/>
              </w:rPr>
              <w:t>Cuándo</w:t>
            </w:r>
            <w:proofErr w:type="gramEnd"/>
            <w:r w:rsidRPr="00C83CEC">
              <w:rPr>
                <w:rFonts w:asciiTheme="majorHAnsi" w:hAnsiTheme="majorHAnsi" w:cstheme="majorHAnsi"/>
                <w:b/>
                <w:sz w:val="17"/>
                <w:szCs w:val="17"/>
                <w:lang w:val="es-ES"/>
              </w:rPr>
              <w:t xml:space="preserve"> se asigna en factores técnicos</w:t>
            </w:r>
          </w:p>
        </w:tc>
      </w:tr>
      <w:tr w:rsidR="00103DD6" w:rsidRPr="00DE3F60" w14:paraId="12230D79" w14:textId="77777777">
        <w:trPr>
          <w:jc w:val="center"/>
        </w:trPr>
        <w:tc>
          <w:tcPr>
            <w:tcW w:w="793" w:type="dxa"/>
          </w:tcPr>
          <w:p w14:paraId="5F056F33"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0</w:t>
            </w:r>
          </w:p>
        </w:tc>
        <w:tc>
          <w:tcPr>
            <w:tcW w:w="3798" w:type="dxa"/>
          </w:tcPr>
          <w:p w14:paraId="6E87E4B2"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El verbo no describe una función propia, estable o exigible del puesto.</w:t>
            </w:r>
          </w:p>
        </w:tc>
        <w:tc>
          <w:tcPr>
            <w:tcW w:w="3798" w:type="dxa"/>
          </w:tcPr>
          <w:p w14:paraId="6E5D7374"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No existe evidencia objetiva de que el factor concurra en el puesto.</w:t>
            </w:r>
          </w:p>
        </w:tc>
      </w:tr>
      <w:tr w:rsidR="00103DD6" w:rsidRPr="00DE3F60" w14:paraId="0D3ED27B" w14:textId="77777777">
        <w:trPr>
          <w:jc w:val="center"/>
        </w:trPr>
        <w:tc>
          <w:tcPr>
            <w:tcW w:w="793" w:type="dxa"/>
          </w:tcPr>
          <w:p w14:paraId="65C896D3"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1</w:t>
            </w:r>
          </w:p>
        </w:tc>
        <w:tc>
          <w:tcPr>
            <w:tcW w:w="3798" w:type="dxa"/>
          </w:tcPr>
          <w:p w14:paraId="5B4EFB83"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La acción aparece de forma auxiliar, puntual, subordinada o no definitoria.</w:t>
            </w:r>
          </w:p>
        </w:tc>
        <w:tc>
          <w:tcPr>
            <w:tcW w:w="3798" w:type="dxa"/>
          </w:tcPr>
          <w:p w14:paraId="0013A8C9"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El factor aparece de forma limitada, indirecta o accesoria, sin alterar sustancialmente la posición del puesto.</w:t>
            </w:r>
          </w:p>
        </w:tc>
      </w:tr>
      <w:tr w:rsidR="00103DD6" w:rsidRPr="00DE3F60" w14:paraId="6E53EF81" w14:textId="77777777">
        <w:trPr>
          <w:jc w:val="center"/>
        </w:trPr>
        <w:tc>
          <w:tcPr>
            <w:tcW w:w="793" w:type="dxa"/>
          </w:tcPr>
          <w:p w14:paraId="3E1D79A6"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2</w:t>
            </w:r>
          </w:p>
        </w:tc>
        <w:tc>
          <w:tcPr>
            <w:tcW w:w="3798" w:type="dxa"/>
          </w:tcPr>
          <w:p w14:paraId="0BD0A8F2"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La acción forma parte habitual y relevante del puesto, aunque no sea su rasgo principal.</w:t>
            </w:r>
          </w:p>
        </w:tc>
        <w:tc>
          <w:tcPr>
            <w:tcW w:w="3798" w:type="dxa"/>
          </w:tcPr>
          <w:p w14:paraId="5EEE12CB"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El factor tiene presencia estable y condiciona el desempeño ordinario del puesto.</w:t>
            </w:r>
          </w:p>
        </w:tc>
      </w:tr>
      <w:tr w:rsidR="00103DD6" w:rsidRPr="00DE3F60" w14:paraId="40AC855A" w14:textId="77777777">
        <w:trPr>
          <w:jc w:val="center"/>
        </w:trPr>
        <w:tc>
          <w:tcPr>
            <w:tcW w:w="793" w:type="dxa"/>
          </w:tcPr>
          <w:p w14:paraId="25180813"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3</w:t>
            </w:r>
          </w:p>
        </w:tc>
        <w:tc>
          <w:tcPr>
            <w:tcW w:w="3798" w:type="dxa"/>
          </w:tcPr>
          <w:p w14:paraId="25FA7D12"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La acción es nuclear: define la razón funcional del puesto o lo diferencia de otros puestos próximos.</w:t>
            </w:r>
          </w:p>
        </w:tc>
        <w:tc>
          <w:tcPr>
            <w:tcW w:w="3798" w:type="dxa"/>
          </w:tcPr>
          <w:p w14:paraId="159CEFE9" w14:textId="77777777" w:rsidR="00103DD6" w:rsidRPr="00C83CEC" w:rsidRDefault="0020195E" w:rsidP="00DE3F60">
            <w:pPr>
              <w:spacing w:before="120" w:after="240" w:line="240" w:lineRule="auto"/>
              <w:jc w:val="both"/>
              <w:rPr>
                <w:rFonts w:asciiTheme="majorHAnsi" w:hAnsiTheme="majorHAnsi" w:cstheme="majorHAnsi"/>
                <w:sz w:val="16"/>
                <w:szCs w:val="24"/>
                <w:lang w:val="es-ES"/>
              </w:rPr>
            </w:pPr>
            <w:r w:rsidRPr="00C83CEC">
              <w:rPr>
                <w:rFonts w:asciiTheme="majorHAnsi" w:hAnsiTheme="majorHAnsi" w:cstheme="majorHAnsi"/>
                <w:sz w:val="16"/>
                <w:szCs w:val="24"/>
                <w:lang w:val="es-ES"/>
              </w:rPr>
              <w:t>El factor es estructural: justifica una posición diferenciada por especialización, responsabilidad, competencia, mando o complejidad.</w:t>
            </w:r>
          </w:p>
        </w:tc>
      </w:tr>
    </w:tbl>
    <w:p w14:paraId="57366239" w14:textId="77777777" w:rsidR="00A03C69" w:rsidRDefault="00A03C69" w:rsidP="00DE3F60">
      <w:pPr>
        <w:spacing w:before="120" w:after="240" w:line="240" w:lineRule="auto"/>
        <w:jc w:val="both"/>
        <w:rPr>
          <w:rFonts w:asciiTheme="majorHAnsi" w:hAnsiTheme="majorHAnsi" w:cstheme="majorHAnsi"/>
          <w:lang w:val="es-ES"/>
        </w:rPr>
      </w:pPr>
    </w:p>
    <w:p w14:paraId="3584A104" w14:textId="06F3EF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Para evitar sesgos, se recomienda aplicar una lógica conservadora: ante la duda entre dos valores, debe asignarse el inferior, salvo que existan evidencias suficientes para justificar el valor superior. Esta cautela es especialmente importante en los valores 2 y 3, porque son los que más influyen en la proximidad con patrones de mayor nivel.</w:t>
      </w:r>
    </w:p>
    <w:p w14:paraId="5604E125" w14:textId="77777777" w:rsidR="00A03C69" w:rsidRDefault="00A03C69" w:rsidP="00DE3F60">
      <w:pPr>
        <w:spacing w:before="120" w:after="240" w:line="240" w:lineRule="auto"/>
        <w:jc w:val="both"/>
        <w:rPr>
          <w:rFonts w:asciiTheme="majorHAnsi" w:hAnsiTheme="majorHAnsi" w:cstheme="majorHAnsi"/>
          <w:lang w:val="es-ES"/>
        </w:rPr>
      </w:pPr>
    </w:p>
    <w:p w14:paraId="327BCA60" w14:textId="77777777" w:rsidR="00A03C69" w:rsidRDefault="00A03C69" w:rsidP="00DE3F60">
      <w:pPr>
        <w:spacing w:before="120" w:after="240" w:line="240" w:lineRule="auto"/>
        <w:jc w:val="both"/>
        <w:rPr>
          <w:rFonts w:asciiTheme="majorHAnsi" w:hAnsiTheme="majorHAnsi" w:cstheme="majorHAnsi"/>
          <w:lang w:val="es-ES"/>
        </w:rPr>
      </w:pPr>
    </w:p>
    <w:p w14:paraId="3BAD6B23" w14:textId="77777777" w:rsidR="00A03C69" w:rsidRDefault="00A03C69" w:rsidP="00DE3F60">
      <w:pPr>
        <w:spacing w:before="120" w:after="240" w:line="240" w:lineRule="auto"/>
        <w:jc w:val="both"/>
        <w:rPr>
          <w:rFonts w:asciiTheme="majorHAnsi" w:hAnsiTheme="majorHAnsi" w:cstheme="majorHAnsi"/>
          <w:lang w:val="es-ES"/>
        </w:rPr>
      </w:pPr>
    </w:p>
    <w:p w14:paraId="3C21EFB1" w14:textId="520F9AAB"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Ejemplos orientativos de codificación:</w:t>
      </w:r>
    </w:p>
    <w:tbl>
      <w:tblPr>
        <w:tblStyle w:val="Tablaconcuadrcula"/>
        <w:tblW w:w="0" w:type="auto"/>
        <w:jc w:val="center"/>
        <w:tblLook w:val="04A0" w:firstRow="1" w:lastRow="0" w:firstColumn="1" w:lastColumn="0" w:noHBand="0" w:noVBand="1"/>
      </w:tblPr>
      <w:tblGrid>
        <w:gridCol w:w="1360"/>
        <w:gridCol w:w="2381"/>
        <w:gridCol w:w="2381"/>
        <w:gridCol w:w="2381"/>
      </w:tblGrid>
      <w:tr w:rsidR="00103DD6" w:rsidRPr="00DE3F60" w14:paraId="7E4CD113" w14:textId="77777777">
        <w:trPr>
          <w:jc w:val="center"/>
        </w:trPr>
        <w:tc>
          <w:tcPr>
            <w:tcW w:w="1360" w:type="dxa"/>
            <w:shd w:val="clear" w:color="auto" w:fill="D9EAF7"/>
          </w:tcPr>
          <w:p w14:paraId="7CF53FF3"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Componente</w:t>
            </w:r>
          </w:p>
        </w:tc>
        <w:tc>
          <w:tcPr>
            <w:tcW w:w="2381" w:type="dxa"/>
            <w:shd w:val="clear" w:color="auto" w:fill="D9EAF7"/>
          </w:tcPr>
          <w:p w14:paraId="67A347A2"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Valor 1</w:t>
            </w:r>
          </w:p>
        </w:tc>
        <w:tc>
          <w:tcPr>
            <w:tcW w:w="2381" w:type="dxa"/>
            <w:shd w:val="clear" w:color="auto" w:fill="D9EAF7"/>
          </w:tcPr>
          <w:p w14:paraId="7E000384"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Valor 2</w:t>
            </w:r>
          </w:p>
        </w:tc>
        <w:tc>
          <w:tcPr>
            <w:tcW w:w="2381" w:type="dxa"/>
            <w:shd w:val="clear" w:color="auto" w:fill="D9EAF7"/>
          </w:tcPr>
          <w:p w14:paraId="6193CDD8" w14:textId="77777777" w:rsidR="00103DD6" w:rsidRPr="00C83CEC" w:rsidRDefault="0020195E" w:rsidP="00DE3F60">
            <w:pPr>
              <w:spacing w:before="120" w:after="240" w:line="240" w:lineRule="auto"/>
              <w:jc w:val="both"/>
              <w:rPr>
                <w:rFonts w:asciiTheme="majorHAnsi" w:hAnsiTheme="majorHAnsi" w:cstheme="majorHAnsi"/>
                <w:sz w:val="17"/>
                <w:szCs w:val="17"/>
                <w:lang w:val="es-ES"/>
              </w:rPr>
            </w:pPr>
            <w:r w:rsidRPr="00C83CEC">
              <w:rPr>
                <w:rFonts w:asciiTheme="majorHAnsi" w:hAnsiTheme="majorHAnsi" w:cstheme="majorHAnsi"/>
                <w:b/>
                <w:sz w:val="17"/>
                <w:szCs w:val="17"/>
                <w:lang w:val="es-ES"/>
              </w:rPr>
              <w:t>Valor 3</w:t>
            </w:r>
          </w:p>
        </w:tc>
      </w:tr>
      <w:tr w:rsidR="00103DD6" w:rsidRPr="00C83CEC" w14:paraId="1F3B8FE1" w14:textId="77777777">
        <w:trPr>
          <w:jc w:val="center"/>
        </w:trPr>
        <w:tc>
          <w:tcPr>
            <w:tcW w:w="1360" w:type="dxa"/>
          </w:tcPr>
          <w:p w14:paraId="63FDBE89"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Coordinar</w:t>
            </w:r>
          </w:p>
        </w:tc>
        <w:tc>
          <w:tcPr>
            <w:tcW w:w="2381" w:type="dxa"/>
          </w:tcPr>
          <w:p w14:paraId="188378B2"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Coordina contactos o información puntual entre personas.</w:t>
            </w:r>
          </w:p>
        </w:tc>
        <w:tc>
          <w:tcPr>
            <w:tcW w:w="2381" w:type="dxa"/>
          </w:tcPr>
          <w:p w14:paraId="06B9FFDC"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Coordina de forma estable un procedimiento, actividad o programa.</w:t>
            </w:r>
          </w:p>
        </w:tc>
        <w:tc>
          <w:tcPr>
            <w:tcW w:w="2381" w:type="dxa"/>
          </w:tcPr>
          <w:p w14:paraId="2899616E"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Coordina una unidad, equipo, red de centros o proceso transversal con impacto organizativo.</w:t>
            </w:r>
          </w:p>
        </w:tc>
      </w:tr>
      <w:tr w:rsidR="00103DD6" w:rsidRPr="00C83CEC" w14:paraId="54133770" w14:textId="77777777">
        <w:trPr>
          <w:jc w:val="center"/>
        </w:trPr>
        <w:tc>
          <w:tcPr>
            <w:tcW w:w="1360" w:type="dxa"/>
          </w:tcPr>
          <w:p w14:paraId="4B0B7930"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Informar</w:t>
            </w:r>
          </w:p>
        </w:tc>
        <w:tc>
          <w:tcPr>
            <w:tcW w:w="2381" w:type="dxa"/>
          </w:tcPr>
          <w:p w14:paraId="12350719"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Prepara datos o borradores para informe de otro puesto.</w:t>
            </w:r>
          </w:p>
        </w:tc>
        <w:tc>
          <w:tcPr>
            <w:tcW w:w="2381" w:type="dxa"/>
          </w:tcPr>
          <w:p w14:paraId="175E09B3"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Emite informes técnicos o administrativos habituales dentro de su ámbito.</w:t>
            </w:r>
          </w:p>
        </w:tc>
        <w:tc>
          <w:tcPr>
            <w:tcW w:w="2381" w:type="dxa"/>
          </w:tcPr>
          <w:p w14:paraId="0DA6D3AC"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Emite criterio técnico determinante o informes de especial trascendencia jurídica, económica u organizativa.</w:t>
            </w:r>
          </w:p>
        </w:tc>
      </w:tr>
      <w:tr w:rsidR="00103DD6" w:rsidRPr="00C83CEC" w14:paraId="7677B7E6" w14:textId="77777777">
        <w:trPr>
          <w:jc w:val="center"/>
        </w:trPr>
        <w:tc>
          <w:tcPr>
            <w:tcW w:w="1360" w:type="dxa"/>
          </w:tcPr>
          <w:p w14:paraId="0042A83F"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Supervisar</w:t>
            </w:r>
          </w:p>
        </w:tc>
        <w:tc>
          <w:tcPr>
            <w:tcW w:w="2381" w:type="dxa"/>
          </w:tcPr>
          <w:p w14:paraId="183D2339"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Revisa tareas concretas sin responsabilidad estable sobre el resultado global.</w:t>
            </w:r>
          </w:p>
        </w:tc>
        <w:tc>
          <w:tcPr>
            <w:tcW w:w="2381" w:type="dxa"/>
          </w:tcPr>
          <w:p w14:paraId="7C7D0D3C"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Supervisa ejecución de procesos o trabajos de forma ordinaria.</w:t>
            </w:r>
          </w:p>
        </w:tc>
        <w:tc>
          <w:tcPr>
            <w:tcW w:w="2381" w:type="dxa"/>
          </w:tcPr>
          <w:p w14:paraId="6471A299"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Supervisa equipos, servicios o procesos críticos, con capacidad de corrección y control sistemático.</w:t>
            </w:r>
          </w:p>
        </w:tc>
      </w:tr>
      <w:tr w:rsidR="00103DD6" w:rsidRPr="00C83CEC" w14:paraId="66847E11" w14:textId="77777777">
        <w:trPr>
          <w:jc w:val="center"/>
        </w:trPr>
        <w:tc>
          <w:tcPr>
            <w:tcW w:w="1360" w:type="dxa"/>
          </w:tcPr>
          <w:p w14:paraId="69D6D71B"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Responsabilidad</w:t>
            </w:r>
          </w:p>
        </w:tc>
        <w:tc>
          <w:tcPr>
            <w:tcW w:w="2381" w:type="dxa"/>
          </w:tcPr>
          <w:p w14:paraId="72071E04"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Impacto limitado y revisado por superiores.</w:t>
            </w:r>
          </w:p>
        </w:tc>
        <w:tc>
          <w:tcPr>
            <w:tcW w:w="2381" w:type="dxa"/>
          </w:tcPr>
          <w:p w14:paraId="16177F49"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Impacto relevante en expedientes, recursos, servicios o terceros.</w:t>
            </w:r>
          </w:p>
        </w:tc>
        <w:tc>
          <w:tcPr>
            <w:tcW w:w="2381" w:type="dxa"/>
          </w:tcPr>
          <w:p w14:paraId="1E7AC280"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Impacto decisivo en decisiones, seguridad jurídica, prestación esencial o resultados estratégicos.</w:t>
            </w:r>
          </w:p>
        </w:tc>
      </w:tr>
      <w:tr w:rsidR="00103DD6" w:rsidRPr="00C83CEC" w14:paraId="251D9DE2" w14:textId="77777777">
        <w:trPr>
          <w:jc w:val="center"/>
        </w:trPr>
        <w:tc>
          <w:tcPr>
            <w:tcW w:w="1360" w:type="dxa"/>
          </w:tcPr>
          <w:p w14:paraId="03E53CA7"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Especialización</w:t>
            </w:r>
          </w:p>
        </w:tc>
        <w:tc>
          <w:tcPr>
            <w:tcW w:w="2381" w:type="dxa"/>
          </w:tcPr>
          <w:p w14:paraId="0C548A6B"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Conocimiento específico de apoyo.</w:t>
            </w:r>
          </w:p>
        </w:tc>
        <w:tc>
          <w:tcPr>
            <w:tcW w:w="2381" w:type="dxa"/>
          </w:tcPr>
          <w:p w14:paraId="224EE3BE"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Conocimiento técnico o normativo necesario para el desempeño ordinario.</w:t>
            </w:r>
          </w:p>
        </w:tc>
        <w:tc>
          <w:tcPr>
            <w:tcW w:w="2381" w:type="dxa"/>
          </w:tcPr>
          <w:p w14:paraId="4783C4B1" w14:textId="77777777" w:rsidR="00103DD6" w:rsidRPr="00C83CEC" w:rsidRDefault="0020195E" w:rsidP="00DE3F60">
            <w:pPr>
              <w:spacing w:before="120" w:after="240" w:line="240" w:lineRule="auto"/>
              <w:jc w:val="both"/>
              <w:rPr>
                <w:rFonts w:asciiTheme="majorHAnsi" w:hAnsiTheme="majorHAnsi" w:cstheme="majorHAnsi"/>
                <w:sz w:val="16"/>
                <w:szCs w:val="16"/>
                <w:lang w:val="es-ES"/>
              </w:rPr>
            </w:pPr>
            <w:r w:rsidRPr="00C83CEC">
              <w:rPr>
                <w:rFonts w:asciiTheme="majorHAnsi" w:hAnsiTheme="majorHAnsi" w:cstheme="majorHAnsi"/>
                <w:sz w:val="16"/>
                <w:szCs w:val="16"/>
                <w:lang w:val="es-ES"/>
              </w:rPr>
              <w:t>Conocimiento experto que configura el perfil del puesto y condiciona su clasificación.</w:t>
            </w:r>
          </w:p>
        </w:tc>
      </w:tr>
    </w:tbl>
    <w:p w14:paraId="7C3EA9E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codificación debe ser coherente entre puestos. Si dos puestos tienen la misma función asociada, el mismo nivel de autonomía y la misma responsabilidad efectiva, deben recibir valores equivalentes. Si se asignan valores distintos, la diferencia debe quedar motivada por elementos objetivos: alcance territorial, volumen de recursos coordinados, impacto de los informes, autonomía decisoria, heterogeneidad funcional u otros factores verificables.</w:t>
      </w:r>
    </w:p>
    <w:p w14:paraId="21E9FABD"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Esta escala debe utilizarse con prudencia y con criterios previamente validados, porque introducir intensidad aumenta la capacidad explicativa del modelo, pero también exige mayor disciplina técnica.</w:t>
      </w:r>
    </w:p>
    <w:p w14:paraId="2844F9EE" w14:textId="77777777" w:rsidR="00103DD6" w:rsidRPr="00DE3F60" w:rsidRDefault="0020195E" w:rsidP="00DE3F60">
      <w:pPr>
        <w:pStyle w:val="Ttulo2"/>
        <w:spacing w:before="120" w:after="240" w:line="240" w:lineRule="auto"/>
        <w:jc w:val="both"/>
        <w:rPr>
          <w:rFonts w:cstheme="majorHAnsi"/>
          <w:lang w:val="es-ES"/>
        </w:rPr>
      </w:pPr>
      <w:bookmarkStart w:id="15" w:name="_Toc231894278"/>
      <w:r w:rsidRPr="00DE3F60">
        <w:rPr>
          <w:rFonts w:cstheme="majorHAnsi"/>
          <w:lang w:val="es-ES"/>
        </w:rPr>
        <w:t>6.6. Paso 6: asignación de pesos técnicos</w:t>
      </w:r>
      <w:bookmarkEnd w:id="15"/>
    </w:p>
    <w:p w14:paraId="7934EE0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No todos los verbos tienen la misma relevancia para la determinación del complemento de destino. Por ello, el modelo puede incorporar un peso técnico asociado a cada verbo o factor.</w:t>
      </w:r>
    </w:p>
    <w:p w14:paraId="2AE98E3B" w14:textId="77777777" w:rsidR="002519E5" w:rsidRPr="00DE3F60" w:rsidRDefault="0020195E" w:rsidP="00DE3F60">
      <w:pPr>
        <w:pStyle w:val="Formula"/>
        <w:spacing w:before="120" w:after="240" w:line="240" w:lineRule="auto"/>
        <w:jc w:val="both"/>
        <w:rPr>
          <w:rFonts w:asciiTheme="majorHAnsi" w:hAnsiTheme="majorHAnsi" w:cstheme="majorHAnsi"/>
          <w:lang w:val="es-ES"/>
        </w:rPr>
      </w:pPr>
      <m:oMathPara>
        <m:oMathParaPr>
          <m:jc m:val="center"/>
        </m:oMathParaPr>
        <m:oMath>
          <m:sSub>
            <m:sSubPr>
              <m:ctrlPr>
                <w:rPr>
                  <w:rFonts w:ascii="Cambria Math" w:hAnsi="Cambria Math" w:cstheme="majorHAnsi"/>
                  <w:lang w:val="es-ES"/>
                </w:rPr>
              </m:ctrlPr>
            </m:sSubPr>
            <m:e>
              <m:r>
                <w:rPr>
                  <w:rFonts w:ascii="Cambria Math" w:hAnsi="Cambria Math" w:cstheme="majorHAnsi"/>
                  <w:lang w:val="es-ES"/>
                </w:rPr>
                <m:t>a</m:t>
              </m:r>
            </m:e>
            <m:sub>
              <m:r>
                <w:rPr>
                  <w:rFonts w:ascii="Cambria Math" w:hAnsi="Cambria Math" w:cstheme="majorHAnsi"/>
                  <w:lang w:val="es-ES"/>
                </w:rPr>
                <m:t>i</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x</m:t>
              </m:r>
            </m:e>
            <m:sub>
              <m:r>
                <w:rPr>
                  <w:rFonts w:ascii="Cambria Math" w:hAnsi="Cambria Math" w:cstheme="majorHAnsi"/>
                  <w:lang w:val="es-ES"/>
                </w:rPr>
                <m:t>i</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w</m:t>
              </m:r>
            </m:e>
            <m:sub>
              <m:r>
                <w:rPr>
                  <w:rFonts w:ascii="Cambria Math" w:hAnsi="Cambria Math" w:cstheme="majorHAnsi"/>
                  <w:lang w:val="es-ES"/>
                </w:rPr>
                <m:t>i</m:t>
              </m:r>
            </m:sub>
          </m:sSub>
        </m:oMath>
      </m:oMathPara>
    </w:p>
    <w:p w14:paraId="00AB17BC" w14:textId="66CF9E56"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Donde:</w:t>
      </w:r>
    </w:p>
    <w:p w14:paraId="3EBA43C4" w14:textId="4B148BD9"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m:oMath>
        <m:sSub>
          <m:sSubPr>
            <m:ctrlPr>
              <w:rPr>
                <w:rFonts w:ascii="Cambria Math" w:hAnsi="Cambria Math" w:cstheme="majorHAnsi"/>
                <w:i/>
                <w:lang w:val="es-ES"/>
              </w:rPr>
            </m:ctrlPr>
          </m:sSubPr>
          <m:e>
            <m:r>
              <w:rPr>
                <w:rFonts w:ascii="Cambria Math" w:hAnsi="Cambria Math" w:cstheme="majorHAnsi"/>
                <w:lang w:val="es-ES"/>
              </w:rPr>
              <m:t>a</m:t>
            </m:r>
          </m:e>
          <m:sub>
            <m:r>
              <w:rPr>
                <w:rFonts w:ascii="Cambria Math" w:hAnsi="Cambria Math" w:cstheme="majorHAnsi"/>
                <w:lang w:val="es-ES"/>
              </w:rPr>
              <m:t>i</m:t>
            </m:r>
          </m:sub>
        </m:sSub>
      </m:oMath>
      <w:r w:rsidR="00350B48" w:rsidRPr="00DE3F60">
        <w:rPr>
          <w:rFonts w:asciiTheme="majorHAnsi" w:hAnsiTheme="majorHAnsi" w:cstheme="majorHAnsi"/>
          <w:lang w:val="es-ES"/>
        </w:rPr>
        <w:t xml:space="preserve"> es el valor técnico final del componente i dentro del vector del puesto.</w:t>
      </w:r>
    </w:p>
    <w:p w14:paraId="0AC68016" w14:textId="7E2B2C8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m:oMath>
        <m:sSub>
          <m:sSubPr>
            <m:ctrlPr>
              <w:rPr>
                <w:rFonts w:ascii="Cambria Math" w:hAnsi="Cambria Math" w:cstheme="majorHAnsi"/>
                <w:i/>
                <w:lang w:val="es-ES"/>
              </w:rPr>
            </m:ctrlPr>
          </m:sSubPr>
          <m:e>
            <m:r>
              <w:rPr>
                <w:rFonts w:ascii="Cambria Math" w:hAnsi="Cambria Math" w:cstheme="majorHAnsi"/>
                <w:lang w:val="es-ES"/>
              </w:rPr>
              <m:t>x</m:t>
            </m:r>
          </m:e>
          <m:sub>
            <m:r>
              <w:rPr>
                <w:rFonts w:ascii="Cambria Math" w:hAnsi="Cambria Math" w:cstheme="majorHAnsi"/>
                <w:lang w:val="es-ES"/>
              </w:rPr>
              <m:t xml:space="preserve">i </m:t>
            </m:r>
          </m:sub>
        </m:sSub>
      </m:oMath>
      <w:r w:rsidR="00350B48" w:rsidRPr="00DE3F60">
        <w:rPr>
          <w:rFonts w:asciiTheme="majorHAnsi" w:hAnsiTheme="majorHAnsi" w:cstheme="majorHAnsi"/>
          <w:lang w:val="es-ES"/>
        </w:rPr>
        <w:t>es la presencia o intensidad del verbo/factor i.</w:t>
      </w:r>
    </w:p>
    <w:p w14:paraId="7C2C8EAD" w14:textId="4C70F034"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m:oMath>
        <m:sSub>
          <m:sSubPr>
            <m:ctrlPr>
              <w:rPr>
                <w:rFonts w:ascii="Cambria Math" w:hAnsi="Cambria Math" w:cstheme="majorHAnsi"/>
                <w:i/>
                <w:lang w:val="es-ES"/>
              </w:rPr>
            </m:ctrlPr>
          </m:sSubPr>
          <m:e>
            <m:r>
              <w:rPr>
                <w:rFonts w:ascii="Cambria Math" w:hAnsi="Cambria Math" w:cstheme="majorHAnsi"/>
                <w:lang w:val="es-ES"/>
              </w:rPr>
              <m:t>w</m:t>
            </m:r>
          </m:e>
          <m:sub>
            <m:r>
              <w:rPr>
                <w:rFonts w:ascii="Cambria Math" w:hAnsi="Cambria Math" w:cstheme="majorHAnsi"/>
                <w:lang w:val="es-ES"/>
              </w:rPr>
              <m:t>i</m:t>
            </m:r>
          </m:sub>
        </m:sSub>
      </m:oMath>
      <w:r w:rsidR="00350B48" w:rsidRPr="00DE3F60">
        <w:rPr>
          <w:rFonts w:asciiTheme="majorHAnsi" w:hAnsiTheme="majorHAnsi" w:cstheme="majorHAnsi"/>
          <w:lang w:val="es-ES"/>
        </w:rPr>
        <w:t xml:space="preserve"> es el peso técnico asignado a ese verbo/factor.</w:t>
      </w:r>
    </w:p>
    <w:p w14:paraId="546A760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Ejemplo: si “dirigir” tiene un peso mayor que “tramitar”, dos puestos con el mismo número de verbos pueden obtener una representación técnica diferente porque su intensidad organizativa no es equivalente.</w:t>
      </w:r>
    </w:p>
    <w:p w14:paraId="133E31FA" w14:textId="77777777" w:rsidR="00103DD6" w:rsidRPr="00DE3F60" w:rsidRDefault="0020195E" w:rsidP="00DE3F60">
      <w:pPr>
        <w:pStyle w:val="Ttulo2"/>
        <w:spacing w:before="120" w:after="240" w:line="240" w:lineRule="auto"/>
        <w:jc w:val="both"/>
        <w:rPr>
          <w:rFonts w:cstheme="majorHAnsi"/>
          <w:lang w:val="es-ES"/>
        </w:rPr>
      </w:pPr>
      <w:bookmarkStart w:id="16" w:name="_Toc231894279"/>
      <w:r w:rsidRPr="00DE3F60">
        <w:rPr>
          <w:rFonts w:cstheme="majorHAnsi"/>
          <w:lang w:val="es-ES"/>
        </w:rPr>
        <w:t>6.7. Paso 7: construcción de vectores del puesto y del patrón</w:t>
      </w:r>
      <w:bookmarkEnd w:id="16"/>
    </w:p>
    <w:p w14:paraId="540FF1F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Con los valores técnicos finales se construye el vector del puesto. Cada dimensión del vector corresponde a un verbo, factor o componente funcional del modelo.</w:t>
      </w:r>
    </w:p>
    <w:p w14:paraId="71112B9F" w14:textId="77777777" w:rsidR="002519E5" w:rsidRPr="00DE3F60" w:rsidRDefault="0020195E" w:rsidP="00DE3F60">
      <w:pPr>
        <w:pStyle w:val="Formula"/>
        <w:spacing w:before="120" w:after="240" w:line="240" w:lineRule="auto"/>
        <w:jc w:val="both"/>
        <w:rPr>
          <w:rFonts w:asciiTheme="majorHAnsi" w:hAnsiTheme="majorHAnsi" w:cstheme="majorHAnsi"/>
          <w:lang w:val="es-ES"/>
        </w:rPr>
      </w:pPr>
      <m:oMathPara>
        <m:oMathParaPr>
          <m:jc m:val="center"/>
        </m:oMathParaPr>
        <m:oMath>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p</m:t>
              </m:r>
            </m:sub>
          </m:sSub>
          <m:r>
            <m:rPr>
              <m:sty m:val="p"/>
            </m:rPr>
            <w:rPr>
              <w:rFonts w:ascii="Cambria Math" w:hAnsi="Cambria Math" w:cstheme="majorHAnsi"/>
              <w:lang w:val="es-ES"/>
            </w:rPr>
            <m:t>=</m:t>
          </m:r>
          <m:d>
            <m:dPr>
              <m:ctrlPr>
                <w:rPr>
                  <w:rFonts w:ascii="Cambria Math" w:hAnsi="Cambria Math" w:cstheme="majorHAnsi"/>
                  <w:lang w:val="es-ES"/>
                </w:rPr>
              </m:ctrlPr>
            </m:dPr>
            <m:e>
              <m:sSub>
                <m:sSubPr>
                  <m:ctrlPr>
                    <w:rPr>
                      <w:rFonts w:ascii="Cambria Math" w:hAnsi="Cambria Math" w:cstheme="majorHAnsi"/>
                      <w:lang w:val="es-ES"/>
                    </w:rPr>
                  </m:ctrlPr>
                </m:sSubPr>
                <m:e>
                  <m:r>
                    <w:rPr>
                      <w:rFonts w:ascii="Cambria Math" w:hAnsi="Cambria Math" w:cstheme="majorHAnsi"/>
                      <w:lang w:val="es-ES"/>
                    </w:rPr>
                    <m:t>a</m:t>
                  </m:r>
                </m:e>
                <m:sub>
                  <m:r>
                    <w:rPr>
                      <w:rFonts w:ascii="Cambria Math" w:hAnsi="Cambria Math" w:cstheme="majorHAnsi"/>
                      <w:lang w:val="es-ES"/>
                    </w:rPr>
                    <m:t>1</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a</m:t>
                  </m:r>
                </m:e>
                <m:sub>
                  <m:r>
                    <w:rPr>
                      <w:rFonts w:ascii="Cambria Math" w:hAnsi="Cambria Math" w:cstheme="majorHAnsi"/>
                      <w:lang w:val="es-ES"/>
                    </w:rPr>
                    <m:t>2</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a</m:t>
                  </m:r>
                </m:e>
                <m:sub>
                  <m:r>
                    <w:rPr>
                      <w:rFonts w:ascii="Cambria Math" w:hAnsi="Cambria Math" w:cstheme="majorHAnsi"/>
                      <w:lang w:val="es-ES"/>
                    </w:rPr>
                    <m:t>3</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a</m:t>
                  </m:r>
                </m:e>
                <m:sub>
                  <m:r>
                    <w:rPr>
                      <w:rFonts w:ascii="Cambria Math" w:hAnsi="Cambria Math" w:cstheme="majorHAnsi"/>
                      <w:lang w:val="es-ES"/>
                    </w:rPr>
                    <m:t>n</m:t>
                  </m:r>
                </m:sub>
              </m:sSub>
            </m:e>
          </m:d>
        </m:oMath>
      </m:oMathPara>
    </w:p>
    <w:p w14:paraId="081D7550" w14:textId="1BF19C29"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Donde Vₚ representa el puesto analizado y n es el número total de verbos o factores utilizados por el modelo.</w:t>
      </w:r>
    </w:p>
    <w:p w14:paraId="6D2A31B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De forma equivalente, cada puesto patrón también se representa mediante un vector:</w:t>
      </w:r>
    </w:p>
    <w:p w14:paraId="337394B5" w14:textId="77777777" w:rsidR="002519E5" w:rsidRPr="00DE3F60" w:rsidRDefault="0020195E" w:rsidP="00DE3F60">
      <w:pPr>
        <w:pStyle w:val="Formula"/>
        <w:spacing w:before="120" w:after="240" w:line="240" w:lineRule="auto"/>
        <w:jc w:val="both"/>
        <w:rPr>
          <w:rFonts w:asciiTheme="majorHAnsi" w:hAnsiTheme="majorHAnsi" w:cstheme="majorHAnsi"/>
          <w:lang w:val="es-ES"/>
        </w:rPr>
      </w:pPr>
      <m:oMathPara>
        <m:oMathParaPr>
          <m:jc m:val="center"/>
        </m:oMathParaPr>
        <m:oMath>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r</m:t>
              </m:r>
            </m:sub>
          </m:sSub>
          <m:r>
            <m:rPr>
              <m:sty m:val="p"/>
            </m:rPr>
            <w:rPr>
              <w:rFonts w:ascii="Cambria Math" w:hAnsi="Cambria Math" w:cstheme="majorHAnsi"/>
              <w:lang w:val="es-ES"/>
            </w:rPr>
            <m:t>=</m:t>
          </m:r>
          <m:d>
            <m:dPr>
              <m:ctrlPr>
                <w:rPr>
                  <w:rFonts w:ascii="Cambria Math" w:hAnsi="Cambria Math" w:cstheme="majorHAnsi"/>
                  <w:lang w:val="es-ES"/>
                </w:rPr>
              </m:ctrlPr>
            </m:dPr>
            <m:e>
              <m:sSub>
                <m:sSubPr>
                  <m:ctrlPr>
                    <w:rPr>
                      <w:rFonts w:ascii="Cambria Math" w:hAnsi="Cambria Math" w:cstheme="majorHAnsi"/>
                      <w:lang w:val="es-ES"/>
                    </w:rPr>
                  </m:ctrlPr>
                </m:sSubPr>
                <m:e>
                  <m:r>
                    <w:rPr>
                      <w:rFonts w:ascii="Cambria Math" w:hAnsi="Cambria Math" w:cstheme="majorHAnsi"/>
                      <w:lang w:val="es-ES"/>
                    </w:rPr>
                    <m:t>b</m:t>
                  </m:r>
                </m:e>
                <m:sub>
                  <m:r>
                    <w:rPr>
                      <w:rFonts w:ascii="Cambria Math" w:hAnsi="Cambria Math" w:cstheme="majorHAnsi"/>
                      <w:lang w:val="es-ES"/>
                    </w:rPr>
                    <m:t>1</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b</m:t>
                  </m:r>
                </m:e>
                <m:sub>
                  <m:r>
                    <w:rPr>
                      <w:rFonts w:ascii="Cambria Math" w:hAnsi="Cambria Math" w:cstheme="majorHAnsi"/>
                      <w:lang w:val="es-ES"/>
                    </w:rPr>
                    <m:t>2</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b</m:t>
                  </m:r>
                </m:e>
                <m:sub>
                  <m:r>
                    <w:rPr>
                      <w:rFonts w:ascii="Cambria Math" w:hAnsi="Cambria Math" w:cstheme="majorHAnsi"/>
                      <w:lang w:val="es-ES"/>
                    </w:rPr>
                    <m:t>3</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b</m:t>
                  </m:r>
                </m:e>
                <m:sub>
                  <m:r>
                    <w:rPr>
                      <w:rFonts w:ascii="Cambria Math" w:hAnsi="Cambria Math" w:cstheme="majorHAnsi"/>
                      <w:lang w:val="es-ES"/>
                    </w:rPr>
                    <m:t>n</m:t>
                  </m:r>
                </m:sub>
              </m:sSub>
            </m:e>
          </m:d>
        </m:oMath>
      </m:oMathPara>
    </w:p>
    <w:p w14:paraId="3A7D445E" w14:textId="6BED0104"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Donde V</w:t>
      </w:r>
      <w:r w:rsidRPr="00DE3F60">
        <w:rPr>
          <w:rFonts w:asciiTheme="majorHAnsi" w:hAnsiTheme="majorHAnsi" w:cstheme="majorHAnsi"/>
          <w:lang w:val="es-ES"/>
        </w:rPr>
        <w:t>ᵣ</w:t>
      </w:r>
      <w:r w:rsidRPr="00DE3F60">
        <w:rPr>
          <w:rFonts w:asciiTheme="majorHAnsi" w:hAnsiTheme="majorHAnsi" w:cstheme="majorHAnsi"/>
          <w:lang w:val="es-ES"/>
        </w:rPr>
        <w:t xml:space="preserve"> representa el puesto patrón de referencia.</w:t>
      </w:r>
    </w:p>
    <w:p w14:paraId="72B49ED1" w14:textId="77777777" w:rsidR="00103DD6" w:rsidRPr="00DE3F60" w:rsidRDefault="0020195E" w:rsidP="00DE3F60">
      <w:pPr>
        <w:pStyle w:val="Ttulo2"/>
        <w:spacing w:before="120" w:after="240" w:line="240" w:lineRule="auto"/>
        <w:jc w:val="both"/>
        <w:rPr>
          <w:rFonts w:cstheme="majorHAnsi"/>
          <w:lang w:val="es-ES"/>
        </w:rPr>
      </w:pPr>
      <w:bookmarkStart w:id="17" w:name="_Toc231894280"/>
      <w:r w:rsidRPr="00DE3F60">
        <w:rPr>
          <w:rFonts w:cstheme="majorHAnsi"/>
          <w:lang w:val="es-ES"/>
        </w:rPr>
        <w:t>6.8. Paso 8: generación de dos subespacios vectoriales</w:t>
      </w:r>
      <w:bookmarkEnd w:id="17"/>
    </w:p>
    <w:p w14:paraId="163D9B8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herramienta genera dos subespacios vectoriales complementarios. El primero es el subespacio funcional, construido a partir de los verbos de acción y de las funciones asociadas. El segundo es el subespacio de factores técnicos, construido a partir de los factores vinculados al complemento de destino.</w:t>
      </w:r>
    </w:p>
    <w:p w14:paraId="54838D2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subespacio funcional permite responder a la pregunta “qué hace el puesto y con qué tipo de intervención”. El subespacio de factores técnicos permite responder a la pregunta “qué nivel de especialización, responsabilidad, competencia, mando y complejidad comporta ese contenido funcional”.</w:t>
      </w:r>
    </w:p>
    <w:p w14:paraId="55CA596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De forma simplificada, pueden representarse así:</w:t>
      </w:r>
    </w:p>
    <w:p w14:paraId="03669FDD" w14:textId="77777777" w:rsidR="002519E5" w:rsidRPr="00DE3F60" w:rsidRDefault="0020195E" w:rsidP="00DE3F60">
      <w:pPr>
        <w:pStyle w:val="Formula"/>
        <w:spacing w:before="120" w:after="240" w:line="240" w:lineRule="auto"/>
        <w:jc w:val="both"/>
        <w:rPr>
          <w:rFonts w:asciiTheme="majorHAnsi" w:hAnsiTheme="majorHAnsi" w:cstheme="majorHAnsi"/>
          <w:lang w:val="es-ES"/>
        </w:rPr>
      </w:pPr>
      <m:oMathPara>
        <m:oMathParaPr>
          <m:jc m:val="center"/>
        </m:oMathParaPr>
        <m:oMath>
          <m:sSubSup>
            <m:sSubSupPr>
              <m:ctrlPr>
                <w:rPr>
                  <w:rFonts w:ascii="Cambria Math" w:hAnsi="Cambria Math" w:cstheme="majorHAnsi"/>
                  <w:lang w:val="es-ES"/>
                </w:rPr>
              </m:ctrlPr>
            </m:sSubSupPr>
            <m:e>
              <m:r>
                <w:rPr>
                  <w:rFonts w:ascii="Cambria Math" w:hAnsi="Cambria Math" w:cstheme="majorHAnsi"/>
                  <w:lang w:val="es-ES"/>
                </w:rPr>
                <m:t>V</m:t>
              </m:r>
            </m:e>
            <m:sub>
              <m:r>
                <w:rPr>
                  <w:rFonts w:ascii="Cambria Math" w:hAnsi="Cambria Math" w:cstheme="majorHAnsi"/>
                  <w:lang w:val="es-ES"/>
                </w:rPr>
                <m:t>p</m:t>
              </m:r>
            </m:sub>
            <m:sup>
              <m:d>
                <m:dPr>
                  <m:ctrlPr>
                    <w:rPr>
                      <w:rFonts w:ascii="Cambria Math" w:hAnsi="Cambria Math" w:cstheme="majorHAnsi"/>
                      <w:lang w:val="es-ES"/>
                    </w:rPr>
                  </m:ctrlPr>
                </m:dPr>
                <m:e>
                  <m:r>
                    <w:rPr>
                      <w:rFonts w:ascii="Cambria Math" w:hAnsi="Cambria Math" w:cstheme="majorHAnsi"/>
                      <w:lang w:val="es-ES"/>
                    </w:rPr>
                    <m:t>T</m:t>
                  </m:r>
                </m:e>
              </m:d>
            </m:sup>
          </m:sSubSup>
          <m:r>
            <m:rPr>
              <m:sty m:val="p"/>
            </m:rPr>
            <w:rPr>
              <w:rFonts w:ascii="Cambria Math" w:hAnsi="Cambria Math" w:cstheme="majorHAnsi"/>
              <w:lang w:val="es-ES"/>
            </w:rPr>
            <m:t>=</m:t>
          </m:r>
          <m:d>
            <m:dPr>
              <m:ctrlPr>
                <w:rPr>
                  <w:rFonts w:ascii="Cambria Math" w:hAnsi="Cambria Math" w:cstheme="majorHAnsi"/>
                  <w:lang w:val="es-ES"/>
                </w:rPr>
              </m:ctrlPr>
            </m:dPr>
            <m:e>
              <m:sSub>
                <m:sSubPr>
                  <m:ctrlPr>
                    <w:rPr>
                      <w:rFonts w:ascii="Cambria Math" w:hAnsi="Cambria Math" w:cstheme="majorHAnsi"/>
                      <w:lang w:val="es-ES"/>
                    </w:rPr>
                  </m:ctrlPr>
                </m:sSubPr>
                <m:e>
                  <m:r>
                    <w:rPr>
                      <w:rFonts w:ascii="Cambria Math" w:hAnsi="Cambria Math" w:cstheme="majorHAnsi"/>
                      <w:lang w:val="es-ES"/>
                    </w:rPr>
                    <m:t>t</m:t>
                  </m:r>
                </m:e>
                <m:sub>
                  <m:r>
                    <w:rPr>
                      <w:rFonts w:ascii="Cambria Math" w:hAnsi="Cambria Math" w:cstheme="majorHAnsi"/>
                      <w:lang w:val="es-ES"/>
                    </w:rPr>
                    <m:t>1</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t</m:t>
                  </m:r>
                </m:e>
                <m:sub>
                  <m:r>
                    <w:rPr>
                      <w:rFonts w:ascii="Cambria Math" w:hAnsi="Cambria Math" w:cstheme="majorHAnsi"/>
                      <w:lang w:val="es-ES"/>
                    </w:rPr>
                    <m:t>2</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t</m:t>
                  </m:r>
                </m:e>
                <m:sub>
                  <m:r>
                    <w:rPr>
                      <w:rFonts w:ascii="Cambria Math" w:hAnsi="Cambria Math" w:cstheme="majorHAnsi"/>
                      <w:lang w:val="es-ES"/>
                    </w:rPr>
                    <m:t>k</m:t>
                  </m:r>
                </m:sub>
              </m:sSub>
            </m:e>
          </m:d>
          <m:r>
            <w:rPr>
              <w:rFonts w:ascii="Cambria Math" w:hAnsi="Cambria Math" w:cstheme="majorHAnsi"/>
              <w:lang w:val="es-ES"/>
            </w:rPr>
            <m:t> </m:t>
          </m:r>
          <m:r>
            <m:rPr>
              <m:nor/>
            </m:rPr>
            <w:rPr>
              <w:rFonts w:asciiTheme="majorHAnsi" w:hAnsiTheme="majorHAnsi" w:cstheme="majorHAnsi"/>
              <w:lang w:val="es-ES"/>
            </w:rPr>
            <m:t>subespacio de factores técnicos</m:t>
          </m:r>
        </m:oMath>
      </m:oMathPara>
    </w:p>
    <w:p w14:paraId="69B7D9E2" w14:textId="1269FD63"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 xml:space="preserve">El cálculo de similitud puede aplicarse sobre cada subespacio por separado o sobre un vector combinado. Esta distinción es útil porque dos puestos pueden ser parecidos en funciones, pero no necesariamente equivalentes en factores técnicos, </w:t>
      </w:r>
      <w:proofErr w:type="gramStart"/>
      <w:r w:rsidRPr="00DE3F60">
        <w:rPr>
          <w:rFonts w:asciiTheme="majorHAnsi" w:hAnsiTheme="majorHAnsi" w:cstheme="majorHAnsi"/>
          <w:lang w:val="es-ES"/>
        </w:rPr>
        <w:t>o</w:t>
      </w:r>
      <w:proofErr w:type="gramEnd"/>
      <w:r w:rsidRPr="00DE3F60">
        <w:rPr>
          <w:rFonts w:asciiTheme="majorHAnsi" w:hAnsiTheme="majorHAnsi" w:cstheme="majorHAnsi"/>
          <w:lang w:val="es-ES"/>
        </w:rPr>
        <w:t xml:space="preserve"> al contrario.</w:t>
      </w:r>
    </w:p>
    <w:p w14:paraId="60B8F073" w14:textId="77777777" w:rsidR="002519E5" w:rsidRPr="00DE3F60" w:rsidRDefault="0020195E" w:rsidP="00DE3F60">
      <w:pPr>
        <w:pStyle w:val="Formula"/>
        <w:spacing w:before="120" w:after="240" w:line="240" w:lineRule="auto"/>
        <w:jc w:val="both"/>
        <w:rPr>
          <w:rFonts w:asciiTheme="majorHAnsi" w:hAnsiTheme="majorHAnsi" w:cstheme="majorHAnsi"/>
          <w:lang w:val="es-ES"/>
        </w:rPr>
      </w:pPr>
      <m:oMathPara>
        <m:oMathParaPr>
          <m:jc m:val="center"/>
        </m:oMathParaPr>
        <m:oMath>
          <m:sSubSup>
            <m:sSubSupPr>
              <m:ctrlPr>
                <w:rPr>
                  <w:rFonts w:ascii="Cambria Math" w:hAnsi="Cambria Math" w:cstheme="majorHAnsi"/>
                  <w:lang w:val="es-ES"/>
                </w:rPr>
              </m:ctrlPr>
            </m:sSubSupPr>
            <m:e>
              <m:r>
                <w:rPr>
                  <w:rFonts w:ascii="Cambria Math" w:hAnsi="Cambria Math" w:cstheme="majorHAnsi"/>
                  <w:lang w:val="es-ES"/>
                </w:rPr>
                <m:t>V</m:t>
              </m:r>
            </m:e>
            <m:sub>
              <m:r>
                <w:rPr>
                  <w:rFonts w:ascii="Cambria Math" w:hAnsi="Cambria Math" w:cstheme="majorHAnsi"/>
                  <w:lang w:val="es-ES"/>
                </w:rPr>
                <m:t>p</m:t>
              </m:r>
            </m:sub>
            <m:sup>
              <m:d>
                <m:dPr>
                  <m:ctrlPr>
                    <w:rPr>
                      <w:rFonts w:ascii="Cambria Math" w:hAnsi="Cambria Math" w:cstheme="majorHAnsi"/>
                      <w:lang w:val="es-ES"/>
                    </w:rPr>
                  </m:ctrlPr>
                </m:dPr>
                <m:e>
                  <m:r>
                    <w:rPr>
                      <w:rFonts w:ascii="Cambria Math" w:hAnsi="Cambria Math" w:cstheme="majorHAnsi"/>
                      <w:lang w:val="es-ES"/>
                    </w:rPr>
                    <m:t>F</m:t>
                  </m:r>
                </m:e>
              </m:d>
            </m:sup>
          </m:sSubSup>
          <m:r>
            <m:rPr>
              <m:sty m:val="p"/>
            </m:rPr>
            <w:rPr>
              <w:rFonts w:ascii="Cambria Math" w:hAnsi="Cambria Math" w:cstheme="majorHAnsi"/>
              <w:lang w:val="es-ES"/>
            </w:rPr>
            <m:t>=</m:t>
          </m:r>
          <m:d>
            <m:dPr>
              <m:ctrlPr>
                <w:rPr>
                  <w:rFonts w:ascii="Cambria Math" w:hAnsi="Cambria Math" w:cstheme="majorHAnsi"/>
                  <w:lang w:val="es-ES"/>
                </w:rPr>
              </m:ctrlPr>
            </m:dPr>
            <m:e>
              <m:sSub>
                <m:sSubPr>
                  <m:ctrlPr>
                    <w:rPr>
                      <w:rFonts w:ascii="Cambria Math" w:hAnsi="Cambria Math" w:cstheme="majorHAnsi"/>
                      <w:lang w:val="es-ES"/>
                    </w:rPr>
                  </m:ctrlPr>
                </m:sSubPr>
                <m:e>
                  <m:r>
                    <w:rPr>
                      <w:rFonts w:ascii="Cambria Math" w:hAnsi="Cambria Math" w:cstheme="majorHAnsi"/>
                      <w:lang w:val="es-ES"/>
                    </w:rPr>
                    <m:t>f</m:t>
                  </m:r>
                </m:e>
                <m:sub>
                  <m:r>
                    <w:rPr>
                      <w:rFonts w:ascii="Cambria Math" w:hAnsi="Cambria Math" w:cstheme="majorHAnsi"/>
                      <w:lang w:val="es-ES"/>
                    </w:rPr>
                    <m:t>1</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f</m:t>
                  </m:r>
                </m:e>
                <m:sub>
                  <m:r>
                    <w:rPr>
                      <w:rFonts w:ascii="Cambria Math" w:hAnsi="Cambria Math" w:cstheme="majorHAnsi"/>
                      <w:lang w:val="es-ES"/>
                    </w:rPr>
                    <m:t>2</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f</m:t>
                  </m:r>
                </m:e>
                <m:sub>
                  <m:r>
                    <w:rPr>
                      <w:rFonts w:ascii="Cambria Math" w:hAnsi="Cambria Math" w:cstheme="majorHAnsi"/>
                      <w:lang w:val="es-ES"/>
                    </w:rPr>
                    <m:t>m</m:t>
                  </m:r>
                </m:sub>
              </m:sSub>
            </m:e>
          </m:d>
          <m:r>
            <w:rPr>
              <w:rFonts w:ascii="Cambria Math" w:hAnsi="Cambria Math" w:cstheme="majorHAnsi"/>
              <w:lang w:val="es-ES"/>
            </w:rPr>
            <m:t> </m:t>
          </m:r>
          <m:r>
            <m:rPr>
              <m:nor/>
            </m:rPr>
            <w:rPr>
              <w:rFonts w:asciiTheme="majorHAnsi" w:hAnsiTheme="majorHAnsi" w:cstheme="majorHAnsi"/>
              <w:lang w:val="es-ES"/>
            </w:rPr>
            <m:t>subespacio funcional</m:t>
          </m:r>
        </m:oMath>
      </m:oMathPara>
    </w:p>
    <w:p w14:paraId="12095B60" w14:textId="1E0E8759" w:rsidR="00103DD6" w:rsidRPr="00DE3F60" w:rsidRDefault="0020195E" w:rsidP="00DE3F60">
      <w:pPr>
        <w:pStyle w:val="Ttulo2"/>
        <w:spacing w:before="120" w:after="240" w:line="240" w:lineRule="auto"/>
        <w:jc w:val="both"/>
        <w:rPr>
          <w:rFonts w:cstheme="majorHAnsi"/>
          <w:lang w:val="es-ES"/>
        </w:rPr>
      </w:pPr>
      <w:bookmarkStart w:id="18" w:name="_Toc231894281"/>
      <w:r w:rsidRPr="00DE3F60">
        <w:rPr>
          <w:rFonts w:cstheme="majorHAnsi"/>
          <w:lang w:val="es-ES"/>
        </w:rPr>
        <w:t>6.9. Paso 9: matriz de puestos y patrones</w:t>
      </w:r>
      <w:bookmarkEnd w:id="18"/>
    </w:p>
    <w:p w14:paraId="0C032EA5" w14:textId="7E8D82F0" w:rsidR="00103DD6"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Cuando se analizan varios puestos, la herramienta organiza la información en una matriz. Las filas representan puestos y las columnas representan verbos o factores.</w:t>
      </w:r>
      <w:r w:rsidR="00350B48">
        <w:rPr>
          <w:rFonts w:asciiTheme="majorHAnsi" w:hAnsiTheme="majorHAnsi" w:cstheme="majorHAnsi"/>
          <w:lang w:val="es-ES"/>
        </w:rPr>
        <w:t xml:space="preserve"> Ejemplo:</w:t>
      </w:r>
    </w:p>
    <w:p w14:paraId="60302B79" w14:textId="77777777" w:rsidR="00A03C69" w:rsidRDefault="00A03C69" w:rsidP="00DE3F60">
      <w:pPr>
        <w:spacing w:before="120" w:after="240" w:line="240" w:lineRule="auto"/>
        <w:jc w:val="both"/>
        <w:rPr>
          <w:rFonts w:asciiTheme="majorHAnsi" w:hAnsiTheme="majorHAnsi" w:cstheme="majorHAnsi"/>
          <w:lang w:val="es-ES"/>
        </w:rPr>
      </w:pPr>
    </w:p>
    <w:p w14:paraId="3C643192" w14:textId="77777777" w:rsidR="00A03C69" w:rsidRPr="00DE3F60" w:rsidRDefault="00A03C69" w:rsidP="00DE3F60">
      <w:pPr>
        <w:spacing w:before="120" w:after="240" w:line="240" w:lineRule="auto"/>
        <w:jc w:val="both"/>
        <w:rPr>
          <w:rFonts w:asciiTheme="majorHAnsi" w:hAnsiTheme="majorHAnsi" w:cstheme="majorHAnsi"/>
          <w:lang w:val="es-ES"/>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8"/>
        <w:gridCol w:w="1134"/>
        <w:gridCol w:w="1134"/>
        <w:gridCol w:w="1134"/>
        <w:gridCol w:w="1134"/>
        <w:gridCol w:w="1134"/>
        <w:gridCol w:w="1134"/>
      </w:tblGrid>
      <w:tr w:rsidR="00103DD6" w:rsidRPr="00DE3F60" w14:paraId="1B38C3DE" w14:textId="77777777">
        <w:trPr>
          <w:jc w:val="center"/>
        </w:trPr>
        <w:tc>
          <w:tcPr>
            <w:tcW w:w="2268" w:type="dxa"/>
            <w:shd w:val="clear" w:color="auto" w:fill="1F4E79"/>
            <w:vAlign w:val="center"/>
          </w:tcPr>
          <w:p w14:paraId="71212F5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Puesto / patrón</w:t>
            </w:r>
          </w:p>
        </w:tc>
        <w:tc>
          <w:tcPr>
            <w:tcW w:w="1134" w:type="dxa"/>
            <w:shd w:val="clear" w:color="auto" w:fill="1F4E79"/>
            <w:vAlign w:val="center"/>
          </w:tcPr>
          <w:p w14:paraId="21219CF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Dirigir</w:t>
            </w:r>
          </w:p>
        </w:tc>
        <w:tc>
          <w:tcPr>
            <w:tcW w:w="1134" w:type="dxa"/>
            <w:shd w:val="clear" w:color="auto" w:fill="1F4E79"/>
            <w:vAlign w:val="center"/>
          </w:tcPr>
          <w:p w14:paraId="21901F9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Coordinar</w:t>
            </w:r>
          </w:p>
        </w:tc>
        <w:tc>
          <w:tcPr>
            <w:tcW w:w="1134" w:type="dxa"/>
            <w:shd w:val="clear" w:color="auto" w:fill="1F4E79"/>
            <w:vAlign w:val="center"/>
          </w:tcPr>
          <w:p w14:paraId="311834CD"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Supervisar</w:t>
            </w:r>
          </w:p>
        </w:tc>
        <w:tc>
          <w:tcPr>
            <w:tcW w:w="1134" w:type="dxa"/>
            <w:shd w:val="clear" w:color="auto" w:fill="1F4E79"/>
            <w:vAlign w:val="center"/>
          </w:tcPr>
          <w:p w14:paraId="08AE739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Informar</w:t>
            </w:r>
          </w:p>
        </w:tc>
        <w:tc>
          <w:tcPr>
            <w:tcW w:w="1134" w:type="dxa"/>
            <w:shd w:val="clear" w:color="auto" w:fill="1F4E79"/>
            <w:vAlign w:val="center"/>
          </w:tcPr>
          <w:p w14:paraId="2796316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Tramitar</w:t>
            </w:r>
          </w:p>
        </w:tc>
        <w:tc>
          <w:tcPr>
            <w:tcW w:w="1134" w:type="dxa"/>
            <w:shd w:val="clear" w:color="auto" w:fill="1F4E79"/>
            <w:vAlign w:val="center"/>
          </w:tcPr>
          <w:p w14:paraId="47F19D9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Ejecutar</w:t>
            </w:r>
          </w:p>
        </w:tc>
      </w:tr>
      <w:tr w:rsidR="00103DD6" w:rsidRPr="00DE3F60" w14:paraId="7158F34D" w14:textId="77777777">
        <w:trPr>
          <w:jc w:val="center"/>
        </w:trPr>
        <w:tc>
          <w:tcPr>
            <w:tcW w:w="2268" w:type="dxa"/>
            <w:vAlign w:val="center"/>
          </w:tcPr>
          <w:p w14:paraId="6BBECCB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Puesto analizado P</w:t>
            </w:r>
          </w:p>
        </w:tc>
        <w:tc>
          <w:tcPr>
            <w:tcW w:w="1134" w:type="dxa"/>
            <w:vAlign w:val="center"/>
          </w:tcPr>
          <w:p w14:paraId="11C0D47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0</w:t>
            </w:r>
          </w:p>
        </w:tc>
        <w:tc>
          <w:tcPr>
            <w:tcW w:w="1134" w:type="dxa"/>
            <w:vAlign w:val="center"/>
          </w:tcPr>
          <w:p w14:paraId="2DA290A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134" w:type="dxa"/>
            <w:vAlign w:val="center"/>
          </w:tcPr>
          <w:p w14:paraId="5094007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134" w:type="dxa"/>
            <w:vAlign w:val="center"/>
          </w:tcPr>
          <w:p w14:paraId="58E32FC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134" w:type="dxa"/>
            <w:vAlign w:val="center"/>
          </w:tcPr>
          <w:p w14:paraId="1EAD7908"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w:t>
            </w:r>
          </w:p>
        </w:tc>
        <w:tc>
          <w:tcPr>
            <w:tcW w:w="1134" w:type="dxa"/>
            <w:vAlign w:val="center"/>
          </w:tcPr>
          <w:p w14:paraId="0008EC2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w:t>
            </w:r>
          </w:p>
        </w:tc>
      </w:tr>
      <w:tr w:rsidR="00103DD6" w:rsidRPr="00DE3F60" w14:paraId="61F82D31" w14:textId="77777777">
        <w:trPr>
          <w:jc w:val="center"/>
        </w:trPr>
        <w:tc>
          <w:tcPr>
            <w:tcW w:w="2268" w:type="dxa"/>
            <w:vAlign w:val="center"/>
          </w:tcPr>
          <w:p w14:paraId="7C7ACE5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Patrón CD 21</w:t>
            </w:r>
          </w:p>
        </w:tc>
        <w:tc>
          <w:tcPr>
            <w:tcW w:w="1134" w:type="dxa"/>
            <w:vAlign w:val="center"/>
          </w:tcPr>
          <w:p w14:paraId="0E4A4FA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0</w:t>
            </w:r>
          </w:p>
        </w:tc>
        <w:tc>
          <w:tcPr>
            <w:tcW w:w="1134" w:type="dxa"/>
            <w:vAlign w:val="center"/>
          </w:tcPr>
          <w:p w14:paraId="53DE52C5"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134" w:type="dxa"/>
            <w:vAlign w:val="center"/>
          </w:tcPr>
          <w:p w14:paraId="131A23A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134" w:type="dxa"/>
            <w:vAlign w:val="center"/>
          </w:tcPr>
          <w:p w14:paraId="6CD5F66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w:t>
            </w:r>
          </w:p>
        </w:tc>
        <w:tc>
          <w:tcPr>
            <w:tcW w:w="1134" w:type="dxa"/>
            <w:vAlign w:val="center"/>
          </w:tcPr>
          <w:p w14:paraId="675AFDF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134" w:type="dxa"/>
            <w:vAlign w:val="center"/>
          </w:tcPr>
          <w:p w14:paraId="28CD2B05"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w:t>
            </w:r>
          </w:p>
        </w:tc>
      </w:tr>
      <w:tr w:rsidR="00103DD6" w:rsidRPr="00DE3F60" w14:paraId="75D6CF03" w14:textId="77777777">
        <w:trPr>
          <w:jc w:val="center"/>
        </w:trPr>
        <w:tc>
          <w:tcPr>
            <w:tcW w:w="2268" w:type="dxa"/>
            <w:vAlign w:val="center"/>
          </w:tcPr>
          <w:p w14:paraId="08EA8A7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Patrón CD 22</w:t>
            </w:r>
          </w:p>
        </w:tc>
        <w:tc>
          <w:tcPr>
            <w:tcW w:w="1134" w:type="dxa"/>
            <w:vAlign w:val="center"/>
          </w:tcPr>
          <w:p w14:paraId="28CFC78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w:t>
            </w:r>
          </w:p>
        </w:tc>
        <w:tc>
          <w:tcPr>
            <w:tcW w:w="1134" w:type="dxa"/>
            <w:vAlign w:val="center"/>
          </w:tcPr>
          <w:p w14:paraId="4625A7D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134" w:type="dxa"/>
            <w:vAlign w:val="center"/>
          </w:tcPr>
          <w:p w14:paraId="2DA5706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134" w:type="dxa"/>
            <w:vAlign w:val="center"/>
          </w:tcPr>
          <w:p w14:paraId="3ED5CBD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134" w:type="dxa"/>
            <w:vAlign w:val="center"/>
          </w:tcPr>
          <w:p w14:paraId="2AFA390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w:t>
            </w:r>
          </w:p>
        </w:tc>
        <w:tc>
          <w:tcPr>
            <w:tcW w:w="1134" w:type="dxa"/>
            <w:vAlign w:val="center"/>
          </w:tcPr>
          <w:p w14:paraId="5C6A51F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0</w:t>
            </w:r>
          </w:p>
        </w:tc>
      </w:tr>
    </w:tbl>
    <w:p w14:paraId="4CD089F8" w14:textId="77777777" w:rsidR="00103DD6" w:rsidRPr="00DE3F60" w:rsidRDefault="00103DD6" w:rsidP="00DE3F60">
      <w:pPr>
        <w:spacing w:before="120" w:after="240" w:line="240" w:lineRule="auto"/>
        <w:jc w:val="both"/>
        <w:rPr>
          <w:rFonts w:asciiTheme="majorHAnsi" w:hAnsiTheme="majorHAnsi" w:cstheme="majorHAnsi"/>
          <w:lang w:val="es-ES"/>
        </w:rPr>
      </w:pPr>
    </w:p>
    <w:p w14:paraId="7749CDE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matriz permite comparar de forma sistemática el puesto analizado con cada patrón de referencia. Esta es la antesala de la similitud de coseno.</w:t>
      </w:r>
    </w:p>
    <w:p w14:paraId="656C01F5" w14:textId="77777777" w:rsidR="00103DD6" w:rsidRPr="00DE3F60" w:rsidRDefault="0020195E" w:rsidP="00DE3F60">
      <w:pPr>
        <w:pStyle w:val="Ttulo1"/>
        <w:spacing w:before="120" w:after="240" w:line="240" w:lineRule="auto"/>
        <w:jc w:val="both"/>
        <w:rPr>
          <w:rFonts w:cstheme="majorHAnsi"/>
          <w:lang w:val="es-ES"/>
        </w:rPr>
      </w:pPr>
      <w:bookmarkStart w:id="19" w:name="_Toc231894282"/>
      <w:r w:rsidRPr="00DE3F60">
        <w:rPr>
          <w:rFonts w:cstheme="majorHAnsi"/>
          <w:lang w:val="es-ES"/>
        </w:rPr>
        <w:t>7. Desarrollo matemático del modelo</w:t>
      </w:r>
      <w:bookmarkEnd w:id="19"/>
    </w:p>
    <w:p w14:paraId="7B94104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desarrollo matemático del modelo puede resumirse en cinco operaciones: ponderar, construir vectores en los dos subespacios, calcular productos escalares, normalizar mediante las magnitudes de los vectores y obtener la similitud de coseno. El producto escalar no se utiliza como criterio autónomo, sino como componente interno y explicativo de la similitud de coseno.</w:t>
      </w:r>
    </w:p>
    <w:p w14:paraId="66410952" w14:textId="77777777" w:rsidR="00103DD6" w:rsidRPr="00DE3F60" w:rsidRDefault="0020195E" w:rsidP="00DE3F60">
      <w:pPr>
        <w:pStyle w:val="Ttulo2"/>
        <w:spacing w:before="120" w:after="240" w:line="240" w:lineRule="auto"/>
        <w:jc w:val="both"/>
        <w:rPr>
          <w:rFonts w:cstheme="majorHAnsi"/>
          <w:lang w:val="es-ES"/>
        </w:rPr>
      </w:pPr>
      <w:bookmarkStart w:id="20" w:name="_Toc231894283"/>
      <w:r w:rsidRPr="00DE3F60">
        <w:rPr>
          <w:rFonts w:cstheme="majorHAnsi"/>
          <w:lang w:val="es-ES"/>
        </w:rPr>
        <w:t>7.1. Vector ponderado del puesto</w:t>
      </w:r>
      <w:bookmarkEnd w:id="20"/>
    </w:p>
    <w:p w14:paraId="61149FA7" w14:textId="77777777" w:rsidR="002519E5" w:rsidRPr="00DE3F60" w:rsidRDefault="0020195E" w:rsidP="00DE3F60">
      <w:pPr>
        <w:pStyle w:val="Formula"/>
        <w:spacing w:before="120" w:after="240" w:line="240" w:lineRule="auto"/>
        <w:jc w:val="both"/>
        <w:rPr>
          <w:rFonts w:asciiTheme="majorHAnsi" w:hAnsiTheme="majorHAnsi" w:cstheme="majorHAnsi"/>
          <w:lang w:val="es-ES"/>
        </w:rPr>
      </w:pPr>
      <m:oMathPara>
        <m:oMathParaPr>
          <m:jc m:val="center"/>
        </m:oMathParaPr>
        <m:oMath>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p</m:t>
              </m:r>
            </m:sub>
          </m:sSub>
          <m:r>
            <m:rPr>
              <m:sty m:val="p"/>
            </m:rPr>
            <w:rPr>
              <w:rFonts w:ascii="Cambria Math" w:hAnsi="Cambria Math" w:cstheme="majorHAnsi"/>
              <w:lang w:val="es-ES"/>
            </w:rPr>
            <m:t>=</m:t>
          </m:r>
          <m:d>
            <m:dPr>
              <m:ctrlPr>
                <w:rPr>
                  <w:rFonts w:ascii="Cambria Math" w:hAnsi="Cambria Math" w:cstheme="majorHAnsi"/>
                  <w:lang w:val="es-ES"/>
                </w:rPr>
              </m:ctrlPr>
            </m:dPr>
            <m:e>
              <m:sSub>
                <m:sSubPr>
                  <m:ctrlPr>
                    <w:rPr>
                      <w:rFonts w:ascii="Cambria Math" w:hAnsi="Cambria Math" w:cstheme="majorHAnsi"/>
                      <w:lang w:val="es-ES"/>
                    </w:rPr>
                  </m:ctrlPr>
                </m:sSubPr>
                <m:e>
                  <m:r>
                    <w:rPr>
                      <w:rFonts w:ascii="Cambria Math" w:hAnsi="Cambria Math" w:cstheme="majorHAnsi"/>
                      <w:lang w:val="es-ES"/>
                    </w:rPr>
                    <m:t>x</m:t>
                  </m:r>
                </m:e>
                <m:sub>
                  <m:r>
                    <w:rPr>
                      <w:rFonts w:ascii="Cambria Math" w:hAnsi="Cambria Math" w:cstheme="majorHAnsi"/>
                      <w:lang w:val="es-ES"/>
                    </w:rPr>
                    <m:t>1</m:t>
                  </m:r>
                </m:sub>
              </m:sSub>
              <m:sSub>
                <m:sSubPr>
                  <m:ctrlPr>
                    <w:rPr>
                      <w:rFonts w:ascii="Cambria Math" w:hAnsi="Cambria Math" w:cstheme="majorHAnsi"/>
                      <w:lang w:val="es-ES"/>
                    </w:rPr>
                  </m:ctrlPr>
                </m:sSubPr>
                <m:e>
                  <m:r>
                    <w:rPr>
                      <w:rFonts w:ascii="Cambria Math" w:hAnsi="Cambria Math" w:cstheme="majorHAnsi"/>
                      <w:lang w:val="es-ES"/>
                    </w:rPr>
                    <m:t>w</m:t>
                  </m:r>
                </m:e>
                <m:sub>
                  <m:r>
                    <w:rPr>
                      <w:rFonts w:ascii="Cambria Math" w:hAnsi="Cambria Math" w:cstheme="majorHAnsi"/>
                      <w:lang w:val="es-ES"/>
                    </w:rPr>
                    <m:t>1</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x</m:t>
                  </m:r>
                </m:e>
                <m:sub>
                  <m:r>
                    <w:rPr>
                      <w:rFonts w:ascii="Cambria Math" w:hAnsi="Cambria Math" w:cstheme="majorHAnsi"/>
                      <w:lang w:val="es-ES"/>
                    </w:rPr>
                    <m:t>2</m:t>
                  </m:r>
                </m:sub>
              </m:sSub>
              <m:sSub>
                <m:sSubPr>
                  <m:ctrlPr>
                    <w:rPr>
                      <w:rFonts w:ascii="Cambria Math" w:hAnsi="Cambria Math" w:cstheme="majorHAnsi"/>
                      <w:lang w:val="es-ES"/>
                    </w:rPr>
                  </m:ctrlPr>
                </m:sSubPr>
                <m:e>
                  <m:r>
                    <w:rPr>
                      <w:rFonts w:ascii="Cambria Math" w:hAnsi="Cambria Math" w:cstheme="majorHAnsi"/>
                      <w:lang w:val="es-ES"/>
                    </w:rPr>
                    <m:t>w</m:t>
                  </m:r>
                </m:e>
                <m:sub>
                  <m:r>
                    <w:rPr>
                      <w:rFonts w:ascii="Cambria Math" w:hAnsi="Cambria Math" w:cstheme="majorHAnsi"/>
                      <w:lang w:val="es-ES"/>
                    </w:rPr>
                    <m:t>2</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x</m:t>
                  </m:r>
                </m:e>
                <m:sub>
                  <m:r>
                    <w:rPr>
                      <w:rFonts w:ascii="Cambria Math" w:hAnsi="Cambria Math" w:cstheme="majorHAnsi"/>
                      <w:lang w:val="es-ES"/>
                    </w:rPr>
                    <m:t>n</m:t>
                  </m:r>
                </m:sub>
              </m:sSub>
              <m:sSub>
                <m:sSubPr>
                  <m:ctrlPr>
                    <w:rPr>
                      <w:rFonts w:ascii="Cambria Math" w:hAnsi="Cambria Math" w:cstheme="majorHAnsi"/>
                      <w:lang w:val="es-ES"/>
                    </w:rPr>
                  </m:ctrlPr>
                </m:sSubPr>
                <m:e>
                  <m:r>
                    <w:rPr>
                      <w:rFonts w:ascii="Cambria Math" w:hAnsi="Cambria Math" w:cstheme="majorHAnsi"/>
                      <w:lang w:val="es-ES"/>
                    </w:rPr>
                    <m:t>w</m:t>
                  </m:r>
                </m:e>
                <m:sub>
                  <m:r>
                    <w:rPr>
                      <w:rFonts w:ascii="Cambria Math" w:hAnsi="Cambria Math" w:cstheme="majorHAnsi"/>
                      <w:lang w:val="es-ES"/>
                    </w:rPr>
                    <m:t>n</m:t>
                  </m:r>
                </m:sub>
              </m:sSub>
            </m:e>
          </m:d>
        </m:oMath>
      </m:oMathPara>
    </w:p>
    <w:p w14:paraId="355E156F" w14:textId="224D9B4B"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vector del puesto se forma multiplicando cada valor de presencia o intensidad por su peso técnico correspondiente. Esta operación puede realizarse en el subespacio funcional, en el subespacio de factores técnicos o en ambos. Cuando se combinan, el vector total puede entenderse como una concatenación ponderada de los dos subespacios.</w:t>
      </w:r>
    </w:p>
    <w:p w14:paraId="7569093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Donde α y β representan, si se utilizan, los pesos relativos asignados al subespacio funcional y al subespacio de factores técnicos. Si no se diferencian pesos globales, ambos subespacios se integran con el mismo valor relativo.</w:t>
      </w:r>
    </w:p>
    <w:p w14:paraId="154C4FAF" w14:textId="77777777" w:rsidR="002519E5" w:rsidRPr="00510232" w:rsidRDefault="0020195E" w:rsidP="00DE3F60">
      <w:pPr>
        <w:pStyle w:val="Formula"/>
        <w:spacing w:before="120" w:after="240" w:line="240" w:lineRule="auto"/>
        <w:jc w:val="both"/>
        <w:rPr>
          <w:rFonts w:asciiTheme="majorHAnsi" w:hAnsiTheme="majorHAnsi" w:cstheme="majorHAnsi"/>
          <w:lang w:val="es-ES"/>
        </w:rPr>
      </w:pPr>
      <m:oMathPara>
        <m:oMathParaPr>
          <m:jc m:val="center"/>
        </m:oMathParaPr>
        <m:oMath>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p</m:t>
              </m:r>
            </m:sub>
          </m:sSub>
          <m:r>
            <m:rPr>
              <m:sty m:val="p"/>
            </m:rPr>
            <w:rPr>
              <w:rFonts w:ascii="Cambria Math" w:hAnsi="Cambria Math" w:cstheme="majorHAnsi"/>
              <w:lang w:val="es-ES"/>
            </w:rPr>
            <m:t>=</m:t>
          </m:r>
          <m:d>
            <m:dPr>
              <m:begChr m:val="["/>
              <m:endChr m:val="]"/>
              <m:ctrlPr>
                <w:rPr>
                  <w:rFonts w:ascii="Cambria Math" w:hAnsi="Cambria Math" w:cstheme="majorHAnsi"/>
                  <w:lang w:val="es-ES"/>
                </w:rPr>
              </m:ctrlPr>
            </m:dPr>
            <m:e>
              <m:r>
                <w:rPr>
                  <w:rFonts w:ascii="Cambria Math" w:hAnsi="Cambria Math" w:cstheme="majorHAnsi"/>
                  <w:lang w:val="es-ES"/>
                </w:rPr>
                <m:t>α</m:t>
              </m:r>
              <m:sSubSup>
                <m:sSubSupPr>
                  <m:ctrlPr>
                    <w:rPr>
                      <w:rFonts w:ascii="Cambria Math" w:hAnsi="Cambria Math" w:cstheme="majorHAnsi"/>
                      <w:lang w:val="es-ES"/>
                    </w:rPr>
                  </m:ctrlPr>
                </m:sSubSupPr>
                <m:e>
                  <m:r>
                    <w:rPr>
                      <w:rFonts w:ascii="Cambria Math" w:hAnsi="Cambria Math" w:cstheme="majorHAnsi"/>
                      <w:lang w:val="es-ES"/>
                    </w:rPr>
                    <m:t>V</m:t>
                  </m:r>
                </m:e>
                <m:sub>
                  <m:r>
                    <w:rPr>
                      <w:rFonts w:ascii="Cambria Math" w:hAnsi="Cambria Math" w:cstheme="majorHAnsi"/>
                      <w:lang w:val="es-ES"/>
                    </w:rPr>
                    <m:t>p</m:t>
                  </m:r>
                </m:sub>
                <m:sup>
                  <m:d>
                    <m:dPr>
                      <m:ctrlPr>
                        <w:rPr>
                          <w:rFonts w:ascii="Cambria Math" w:hAnsi="Cambria Math" w:cstheme="majorHAnsi"/>
                          <w:lang w:val="es-ES"/>
                        </w:rPr>
                      </m:ctrlPr>
                    </m:dPr>
                    <m:e>
                      <m:r>
                        <w:rPr>
                          <w:rFonts w:ascii="Cambria Math" w:hAnsi="Cambria Math" w:cstheme="majorHAnsi"/>
                          <w:lang w:val="es-ES"/>
                        </w:rPr>
                        <m:t>F</m:t>
                      </m:r>
                    </m:e>
                  </m:d>
                </m:sup>
              </m:sSubSup>
              <m:r>
                <m:rPr>
                  <m:sty m:val="p"/>
                </m:rPr>
                <w:rPr>
                  <w:rFonts w:ascii="Cambria Math" w:hAnsi="Cambria Math" w:cstheme="majorHAnsi"/>
                  <w:lang w:val="es-ES"/>
                </w:rPr>
                <m:t>∣</m:t>
              </m:r>
              <m:r>
                <w:rPr>
                  <w:rFonts w:ascii="Cambria Math" w:hAnsi="Cambria Math" w:cstheme="majorHAnsi"/>
                  <w:lang w:val="es-ES"/>
                </w:rPr>
                <m:t>β</m:t>
              </m:r>
              <m:sSubSup>
                <m:sSubSupPr>
                  <m:ctrlPr>
                    <w:rPr>
                      <w:rFonts w:ascii="Cambria Math" w:hAnsi="Cambria Math" w:cstheme="majorHAnsi"/>
                      <w:lang w:val="es-ES"/>
                    </w:rPr>
                  </m:ctrlPr>
                </m:sSubSupPr>
                <m:e>
                  <m:r>
                    <w:rPr>
                      <w:rFonts w:ascii="Cambria Math" w:hAnsi="Cambria Math" w:cstheme="majorHAnsi"/>
                      <w:lang w:val="es-ES"/>
                    </w:rPr>
                    <m:t>V</m:t>
                  </m:r>
                </m:e>
                <m:sub>
                  <m:r>
                    <w:rPr>
                      <w:rFonts w:ascii="Cambria Math" w:hAnsi="Cambria Math" w:cstheme="majorHAnsi"/>
                      <w:lang w:val="es-ES"/>
                    </w:rPr>
                    <m:t>p</m:t>
                  </m:r>
                </m:sub>
                <m:sup>
                  <m:d>
                    <m:dPr>
                      <m:ctrlPr>
                        <w:rPr>
                          <w:rFonts w:ascii="Cambria Math" w:hAnsi="Cambria Math" w:cstheme="majorHAnsi"/>
                          <w:lang w:val="es-ES"/>
                        </w:rPr>
                      </m:ctrlPr>
                    </m:dPr>
                    <m:e>
                      <m:r>
                        <w:rPr>
                          <w:rFonts w:ascii="Cambria Math" w:hAnsi="Cambria Math" w:cstheme="majorHAnsi"/>
                          <w:lang w:val="es-ES"/>
                        </w:rPr>
                        <m:t>T</m:t>
                      </m:r>
                    </m:e>
                  </m:d>
                </m:sup>
              </m:sSubSup>
            </m:e>
          </m:d>
        </m:oMath>
      </m:oMathPara>
    </w:p>
    <w:p w14:paraId="21054F31" w14:textId="3C6FC9EB" w:rsidR="00914C19" w:rsidRDefault="00914C19" w:rsidP="00914C19">
      <w:pPr>
        <w:pStyle w:val="Formula"/>
        <w:spacing w:before="120" w:after="240" w:line="240" w:lineRule="auto"/>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p</m:t>
              </m:r>
            </m:sub>
          </m:sSub>
          <m:r>
            <w:rPr>
              <w:rFonts w:ascii="Cambria Math" w:hAnsi="Cambria Math" w:cstheme="majorHAnsi"/>
            </w:rPr>
            <m:t>∈{0,1</m:t>
          </m:r>
          <m:sSup>
            <m:sSupPr>
              <m:ctrlPr>
                <w:rPr>
                  <w:rFonts w:ascii="Cambria Math" w:hAnsi="Cambria Math" w:cstheme="majorHAnsi"/>
                </w:rPr>
              </m:ctrlPr>
            </m:sSupPr>
            <m:e>
              <m:r>
                <w:rPr>
                  <w:rFonts w:ascii="Cambria Math" w:hAnsi="Cambria Math" w:cstheme="majorHAnsi"/>
                </w:rPr>
                <m:t>}</m:t>
              </m:r>
            </m:e>
            <m:sup>
              <m:r>
                <w:rPr>
                  <w:rFonts w:ascii="Cambria Math" w:hAnsi="Cambria Math" w:cstheme="majorHAnsi"/>
                </w:rPr>
                <m:t>49</m:t>
              </m:r>
            </m:sup>
          </m:sSup>
        </m:oMath>
      </m:oMathPara>
    </w:p>
    <w:p w14:paraId="3337ABF5" w14:textId="1A32B32E" w:rsidR="00510232" w:rsidRPr="00DE3F60" w:rsidRDefault="00510232" w:rsidP="00510232">
      <w:pPr>
        <w:pStyle w:val="Formula"/>
        <w:spacing w:before="120" w:after="240" w:line="240" w:lineRule="auto"/>
        <w:jc w:val="both"/>
        <w:rPr>
          <w:rFonts w:asciiTheme="majorHAnsi" w:hAnsiTheme="majorHAnsi" w:cstheme="majorHAnsi"/>
          <w:lang w:val="es-ES"/>
        </w:rPr>
      </w:pPr>
      <m:oMathPara>
        <m:oMath>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p</m:t>
              </m:r>
            </m:sub>
          </m:sSub>
          <m:r>
            <w:rPr>
              <w:rFonts w:ascii="Cambria Math" w:hAnsi="Cambria Math" w:cstheme="majorHAnsi"/>
            </w:rPr>
            <m:t>∈{0,1</m:t>
          </m:r>
          <m:sSup>
            <m:sSupPr>
              <m:ctrlPr>
                <w:rPr>
                  <w:rFonts w:ascii="Cambria Math" w:hAnsi="Cambria Math" w:cstheme="majorHAnsi"/>
                </w:rPr>
              </m:ctrlPr>
            </m:sSupPr>
            <m:e>
              <m:r>
                <w:rPr>
                  <w:rFonts w:ascii="Cambria Math" w:hAnsi="Cambria Math" w:cstheme="majorHAnsi"/>
                </w:rPr>
                <m:t>}</m:t>
              </m:r>
            </m:e>
            <m:sup>
              <m:r>
                <w:rPr>
                  <w:rFonts w:ascii="Cambria Math" w:hAnsi="Cambria Math" w:cstheme="majorHAnsi"/>
                </w:rPr>
                <m:t>39</m:t>
              </m:r>
            </m:sup>
          </m:sSup>
          <m:r>
            <w:rPr>
              <w:rFonts w:asciiTheme="majorHAnsi" w:hAnsiTheme="majorHAnsi" w:cstheme="majorHAnsi"/>
            </w:rPr>
            <w:br/>
          </m:r>
        </m:oMath>
      </m:oMathPara>
    </w:p>
    <w:p w14:paraId="7E74895F" w14:textId="2C6FDFA2" w:rsidR="002519E5" w:rsidRDefault="002519E5"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Como criterio inicial y hasta que se apruebe una ponderación específica, se propone utilizar una ponderación equilibrada entre ambos subespacios vectoriales, de forma que α = 0,5 y β = 0,5. Esta ponderación podrá modificarse de forma motivada si se considera que el subespacio funcional o el subespacio de factores técnicos debe tener mayor peso en la determinación de la similitud global.</w:t>
      </w:r>
    </w:p>
    <w:p w14:paraId="17DC6CF7" w14:textId="77777777" w:rsidR="004B4724" w:rsidRDefault="004B4724" w:rsidP="00DE3F60">
      <w:pPr>
        <w:spacing w:before="120" w:after="240" w:line="240" w:lineRule="auto"/>
        <w:jc w:val="both"/>
        <w:rPr>
          <w:rFonts w:asciiTheme="majorHAnsi" w:hAnsiTheme="majorHAnsi" w:cstheme="majorHAnsi"/>
          <w:lang w:val="es-ES"/>
        </w:rPr>
      </w:pPr>
    </w:p>
    <w:p w14:paraId="69D021C7" w14:textId="77777777" w:rsidR="004B4724" w:rsidRDefault="004B4724" w:rsidP="00DE3F60">
      <w:pPr>
        <w:spacing w:before="120" w:after="240" w:line="240" w:lineRule="auto"/>
        <w:jc w:val="both"/>
        <w:rPr>
          <w:rFonts w:asciiTheme="majorHAnsi" w:hAnsiTheme="majorHAnsi" w:cstheme="majorHAnsi"/>
          <w:lang w:val="es-ES"/>
        </w:rPr>
      </w:pPr>
    </w:p>
    <w:p w14:paraId="1F106DF0" w14:textId="491324B8" w:rsidR="00103DD6" w:rsidRPr="00DE3F60" w:rsidRDefault="0020195E" w:rsidP="00DE3F60">
      <w:pPr>
        <w:pStyle w:val="Ttulo2"/>
        <w:spacing w:before="120" w:after="240" w:line="240" w:lineRule="auto"/>
        <w:jc w:val="both"/>
        <w:rPr>
          <w:rFonts w:cstheme="majorHAnsi"/>
          <w:lang w:val="es-ES"/>
        </w:rPr>
      </w:pPr>
      <w:bookmarkStart w:id="21" w:name="_Toc231894284"/>
      <w:r w:rsidRPr="00DE3F60">
        <w:rPr>
          <w:rFonts w:cstheme="majorHAnsi"/>
          <w:lang w:val="es-ES"/>
        </w:rPr>
        <w:t>7.2. Producto escalar</w:t>
      </w:r>
      <w:bookmarkEnd w:id="21"/>
    </w:p>
    <w:p w14:paraId="5456477C" w14:textId="1CABEB6B"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producto escalar mide la coincidencia ponderada entre el puesto analizado y el puesto patrón.</w:t>
      </w:r>
    </w:p>
    <w:p w14:paraId="339FCB97" w14:textId="77777777" w:rsidR="002519E5" w:rsidRPr="00DE3F60" w:rsidRDefault="0020195E" w:rsidP="00DE3F60">
      <w:pPr>
        <w:pStyle w:val="Formula"/>
        <w:spacing w:before="120" w:after="240" w:line="240" w:lineRule="auto"/>
        <w:jc w:val="both"/>
        <w:rPr>
          <w:rFonts w:asciiTheme="majorHAnsi" w:hAnsiTheme="majorHAnsi" w:cstheme="majorHAnsi"/>
          <w:lang w:val="es-ES"/>
        </w:rPr>
      </w:pPr>
      <m:oMathPara>
        <m:oMathParaPr>
          <m:jc m:val="center"/>
        </m:oMathParaPr>
        <m:oMath>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p</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r</m:t>
              </m:r>
            </m:sub>
          </m:sSub>
          <m:r>
            <m:rPr>
              <m:sty m:val="p"/>
            </m:rPr>
            <w:rPr>
              <w:rFonts w:ascii="Cambria Math" w:hAnsi="Cambria Math" w:cstheme="majorHAnsi"/>
              <w:lang w:val="es-ES"/>
            </w:rPr>
            <m:t>=</m:t>
          </m:r>
          <m:nary>
            <m:naryPr>
              <m:chr m:val="∑"/>
              <m:limLoc m:val="undOvr"/>
              <m:ctrlPr>
                <w:rPr>
                  <w:rFonts w:ascii="Cambria Math" w:hAnsi="Cambria Math" w:cstheme="majorHAnsi"/>
                  <w:lang w:val="es-ES"/>
                </w:rPr>
              </m:ctrlPr>
            </m:naryPr>
            <m:sub>
              <m:r>
                <w:rPr>
                  <w:rFonts w:ascii="Cambria Math" w:hAnsi="Cambria Math" w:cstheme="majorHAnsi"/>
                  <w:lang w:val="es-ES"/>
                </w:rPr>
                <m:t>i</m:t>
              </m:r>
              <m:r>
                <m:rPr>
                  <m:sty m:val="p"/>
                </m:rPr>
                <w:rPr>
                  <w:rFonts w:ascii="Cambria Math" w:hAnsi="Cambria Math" w:cstheme="majorHAnsi"/>
                  <w:lang w:val="es-ES"/>
                </w:rPr>
                <m:t>=</m:t>
              </m:r>
              <m:r>
                <w:rPr>
                  <w:rFonts w:ascii="Cambria Math" w:hAnsi="Cambria Math" w:cstheme="majorHAnsi"/>
                  <w:lang w:val="es-ES"/>
                </w:rPr>
                <m:t>1</m:t>
              </m:r>
            </m:sub>
            <m:sup>
              <m:r>
                <w:rPr>
                  <w:rFonts w:ascii="Cambria Math" w:hAnsi="Cambria Math" w:cstheme="majorHAnsi"/>
                  <w:lang w:val="es-ES"/>
                </w:rPr>
                <m:t>n</m:t>
              </m:r>
            </m:sup>
            <m:e>
              <m:sSub>
                <m:sSubPr>
                  <m:ctrlPr>
                    <w:rPr>
                      <w:rFonts w:ascii="Cambria Math" w:hAnsi="Cambria Math" w:cstheme="majorHAnsi"/>
                      <w:lang w:val="es-ES"/>
                    </w:rPr>
                  </m:ctrlPr>
                </m:sSubPr>
                <m:e>
                  <m:r>
                    <w:rPr>
                      <w:rFonts w:ascii="Cambria Math" w:hAnsi="Cambria Math" w:cstheme="majorHAnsi"/>
                      <w:lang w:val="es-ES"/>
                    </w:rPr>
                    <m:t>a</m:t>
                  </m:r>
                </m:e>
                <m:sub>
                  <m:r>
                    <w:rPr>
                      <w:rFonts w:ascii="Cambria Math" w:hAnsi="Cambria Math" w:cstheme="majorHAnsi"/>
                      <w:lang w:val="es-ES"/>
                    </w:rPr>
                    <m:t>i</m:t>
                  </m:r>
                </m:sub>
              </m:sSub>
            </m:e>
          </m:nary>
          <m:sSub>
            <m:sSubPr>
              <m:ctrlPr>
                <w:rPr>
                  <w:rFonts w:ascii="Cambria Math" w:hAnsi="Cambria Math" w:cstheme="majorHAnsi"/>
                  <w:lang w:val="es-ES"/>
                </w:rPr>
              </m:ctrlPr>
            </m:sSubPr>
            <m:e>
              <m:r>
                <w:rPr>
                  <w:rFonts w:ascii="Cambria Math" w:hAnsi="Cambria Math" w:cstheme="majorHAnsi"/>
                  <w:lang w:val="es-ES"/>
                </w:rPr>
                <m:t>b</m:t>
              </m:r>
            </m:e>
            <m:sub>
              <m:r>
                <w:rPr>
                  <w:rFonts w:ascii="Cambria Math" w:hAnsi="Cambria Math" w:cstheme="majorHAnsi"/>
                  <w:lang w:val="es-ES"/>
                </w:rPr>
                <m:t>i</m:t>
              </m:r>
            </m:sub>
          </m:sSub>
        </m:oMath>
      </m:oMathPara>
    </w:p>
    <w:p w14:paraId="036147C7" w14:textId="225AA85F"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Cuanto mayor sea el producto escalar, mayor será la coincidencia funcional bruta entre ambos vectores. Sin embargo, por sí solo no basta, porque puede favorecer a los puestos con más componentes codificados.</w:t>
      </w:r>
    </w:p>
    <w:p w14:paraId="460B5843" w14:textId="77777777" w:rsidR="00103DD6" w:rsidRPr="00DE3F60" w:rsidRDefault="0020195E" w:rsidP="00DE3F60">
      <w:pPr>
        <w:pStyle w:val="Ttulo2"/>
        <w:spacing w:before="120" w:after="240" w:line="240" w:lineRule="auto"/>
        <w:jc w:val="both"/>
        <w:rPr>
          <w:rFonts w:cstheme="majorHAnsi"/>
          <w:lang w:val="es-ES"/>
        </w:rPr>
      </w:pPr>
      <w:bookmarkStart w:id="22" w:name="_Toc231894285"/>
      <w:r w:rsidRPr="00DE3F60">
        <w:rPr>
          <w:rFonts w:cstheme="majorHAnsi"/>
          <w:lang w:val="es-ES"/>
        </w:rPr>
        <w:t>7.3. Norma o magnitud del vector</w:t>
      </w:r>
      <w:bookmarkEnd w:id="22"/>
    </w:p>
    <w:p w14:paraId="3C45DA4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norma mide el tamaño del vector. Se calcula como la raíz cuadrada de la suma de los cuadrados de sus componentes.</w:t>
      </w:r>
    </w:p>
    <w:p w14:paraId="69A66E9E" w14:textId="77777777" w:rsidR="002519E5" w:rsidRPr="00DE3F60" w:rsidRDefault="002519E5" w:rsidP="00DE3F60">
      <w:pPr>
        <w:pStyle w:val="Formula"/>
        <w:spacing w:before="120" w:after="240" w:line="240" w:lineRule="auto"/>
        <w:jc w:val="both"/>
        <w:rPr>
          <w:rFonts w:asciiTheme="majorHAnsi" w:hAnsiTheme="majorHAnsi" w:cstheme="majorHAnsi"/>
          <w:lang w:val="es-ES"/>
        </w:rPr>
      </w:pPr>
      <m:oMathPara>
        <m:oMathParaPr>
          <m:jc m:val="center"/>
        </m:oMathParaPr>
        <m:oMath>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p</m:t>
              </m:r>
            </m:sub>
          </m:sSub>
          <m:r>
            <m:rPr>
              <m:sty m:val="p"/>
            </m:rPr>
            <w:rPr>
              <w:rFonts w:ascii="Cambria Math" w:hAnsi="Cambria Math" w:cstheme="majorHAnsi"/>
              <w:lang w:val="es-ES"/>
            </w:rPr>
            <m:t>∥=</m:t>
          </m:r>
          <m:rad>
            <m:radPr>
              <m:degHide m:val="1"/>
              <m:ctrlPr>
                <w:rPr>
                  <w:rFonts w:ascii="Cambria Math" w:hAnsi="Cambria Math" w:cstheme="majorHAnsi"/>
                  <w:lang w:val="es-ES"/>
                </w:rPr>
              </m:ctrlPr>
            </m:radPr>
            <m:deg/>
            <m:e>
              <m:sSubSup>
                <m:sSubSupPr>
                  <m:ctrlPr>
                    <w:rPr>
                      <w:rFonts w:ascii="Cambria Math" w:hAnsi="Cambria Math" w:cstheme="majorHAnsi"/>
                      <w:lang w:val="es-ES"/>
                    </w:rPr>
                  </m:ctrlPr>
                </m:sSubSupPr>
                <m:e>
                  <m:r>
                    <w:rPr>
                      <w:rFonts w:ascii="Cambria Math" w:hAnsi="Cambria Math" w:cstheme="majorHAnsi"/>
                      <w:lang w:val="es-ES"/>
                    </w:rPr>
                    <m:t>a</m:t>
                  </m:r>
                </m:e>
                <m:sub>
                  <m:r>
                    <w:rPr>
                      <w:rFonts w:ascii="Cambria Math" w:hAnsi="Cambria Math" w:cstheme="majorHAnsi"/>
                      <w:lang w:val="es-ES"/>
                    </w:rPr>
                    <m:t>1</m:t>
                  </m:r>
                </m:sub>
                <m:sup>
                  <m:r>
                    <w:rPr>
                      <w:rFonts w:ascii="Cambria Math" w:hAnsi="Cambria Math" w:cstheme="majorHAnsi"/>
                      <w:lang w:val="es-ES"/>
                    </w:rPr>
                    <m:t>2</m:t>
                  </m:r>
                </m:sup>
              </m:sSubSup>
              <m:r>
                <m:rPr>
                  <m:sty m:val="p"/>
                </m:rPr>
                <w:rPr>
                  <w:rFonts w:ascii="Cambria Math" w:hAnsi="Cambria Math" w:cstheme="majorHAnsi"/>
                  <w:lang w:val="es-ES"/>
                </w:rPr>
                <m:t>+</m:t>
              </m:r>
              <m:sSubSup>
                <m:sSubSupPr>
                  <m:ctrlPr>
                    <w:rPr>
                      <w:rFonts w:ascii="Cambria Math" w:hAnsi="Cambria Math" w:cstheme="majorHAnsi"/>
                      <w:lang w:val="es-ES"/>
                    </w:rPr>
                  </m:ctrlPr>
                </m:sSubSupPr>
                <m:e>
                  <m:r>
                    <w:rPr>
                      <w:rFonts w:ascii="Cambria Math" w:hAnsi="Cambria Math" w:cstheme="majorHAnsi"/>
                      <w:lang w:val="es-ES"/>
                    </w:rPr>
                    <m:t>a</m:t>
                  </m:r>
                </m:e>
                <m:sub>
                  <m:r>
                    <w:rPr>
                      <w:rFonts w:ascii="Cambria Math" w:hAnsi="Cambria Math" w:cstheme="majorHAnsi"/>
                      <w:lang w:val="es-ES"/>
                    </w:rPr>
                    <m:t>2</m:t>
                  </m:r>
                </m:sub>
                <m:sup>
                  <m:r>
                    <w:rPr>
                      <w:rFonts w:ascii="Cambria Math" w:hAnsi="Cambria Math" w:cstheme="majorHAnsi"/>
                      <w:lang w:val="es-ES"/>
                    </w:rPr>
                    <m:t>2</m:t>
                  </m:r>
                </m:sup>
              </m:sSubSup>
              <m:r>
                <m:rPr>
                  <m:sty m:val="p"/>
                </m:rPr>
                <w:rPr>
                  <w:rFonts w:ascii="Cambria Math" w:hAnsi="Cambria Math" w:cstheme="majorHAnsi"/>
                  <w:lang w:val="es-ES"/>
                </w:rPr>
                <m:t>+⋯+</m:t>
              </m:r>
              <m:sSubSup>
                <m:sSubSupPr>
                  <m:ctrlPr>
                    <w:rPr>
                      <w:rFonts w:ascii="Cambria Math" w:hAnsi="Cambria Math" w:cstheme="majorHAnsi"/>
                      <w:lang w:val="es-ES"/>
                    </w:rPr>
                  </m:ctrlPr>
                </m:sSubSupPr>
                <m:e>
                  <m:r>
                    <w:rPr>
                      <w:rFonts w:ascii="Cambria Math" w:hAnsi="Cambria Math" w:cstheme="majorHAnsi"/>
                      <w:lang w:val="es-ES"/>
                    </w:rPr>
                    <m:t>a</m:t>
                  </m:r>
                </m:e>
                <m:sub>
                  <m:r>
                    <w:rPr>
                      <w:rFonts w:ascii="Cambria Math" w:hAnsi="Cambria Math" w:cstheme="majorHAnsi"/>
                      <w:lang w:val="es-ES"/>
                    </w:rPr>
                    <m:t>n</m:t>
                  </m:r>
                </m:sub>
                <m:sup>
                  <m:r>
                    <w:rPr>
                      <w:rFonts w:ascii="Cambria Math" w:hAnsi="Cambria Math" w:cstheme="majorHAnsi"/>
                      <w:lang w:val="es-ES"/>
                    </w:rPr>
                    <m:t>2</m:t>
                  </m:r>
                </m:sup>
              </m:sSubSup>
            </m:e>
          </m:rad>
        </m:oMath>
      </m:oMathPara>
    </w:p>
    <w:p w14:paraId="30EE8A20" w14:textId="77777777" w:rsidR="002519E5" w:rsidRPr="00DE3F60" w:rsidRDefault="002519E5" w:rsidP="00DE3F60">
      <w:pPr>
        <w:pStyle w:val="Formula"/>
        <w:spacing w:before="120" w:after="240" w:line="240" w:lineRule="auto"/>
        <w:jc w:val="both"/>
        <w:rPr>
          <w:rFonts w:asciiTheme="majorHAnsi" w:hAnsiTheme="majorHAnsi" w:cstheme="majorHAnsi"/>
          <w:lang w:val="es-ES"/>
        </w:rPr>
      </w:pPr>
      <m:oMathPara>
        <m:oMathParaPr>
          <m:jc m:val="center"/>
        </m:oMathParaPr>
        <m:oMath>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r</m:t>
              </m:r>
            </m:sub>
          </m:sSub>
          <m:r>
            <m:rPr>
              <m:sty m:val="p"/>
            </m:rPr>
            <w:rPr>
              <w:rFonts w:ascii="Cambria Math" w:hAnsi="Cambria Math" w:cstheme="majorHAnsi"/>
              <w:lang w:val="es-ES"/>
            </w:rPr>
            <m:t>∥=</m:t>
          </m:r>
          <m:rad>
            <m:radPr>
              <m:degHide m:val="1"/>
              <m:ctrlPr>
                <w:rPr>
                  <w:rFonts w:ascii="Cambria Math" w:hAnsi="Cambria Math" w:cstheme="majorHAnsi"/>
                  <w:lang w:val="es-ES"/>
                </w:rPr>
              </m:ctrlPr>
            </m:radPr>
            <m:deg/>
            <m:e>
              <m:sSubSup>
                <m:sSubSupPr>
                  <m:ctrlPr>
                    <w:rPr>
                      <w:rFonts w:ascii="Cambria Math" w:hAnsi="Cambria Math" w:cstheme="majorHAnsi"/>
                      <w:lang w:val="es-ES"/>
                    </w:rPr>
                  </m:ctrlPr>
                </m:sSubSupPr>
                <m:e>
                  <m:r>
                    <w:rPr>
                      <w:rFonts w:ascii="Cambria Math" w:hAnsi="Cambria Math" w:cstheme="majorHAnsi"/>
                      <w:lang w:val="es-ES"/>
                    </w:rPr>
                    <m:t>b</m:t>
                  </m:r>
                </m:e>
                <m:sub>
                  <m:r>
                    <w:rPr>
                      <w:rFonts w:ascii="Cambria Math" w:hAnsi="Cambria Math" w:cstheme="majorHAnsi"/>
                      <w:lang w:val="es-ES"/>
                    </w:rPr>
                    <m:t>1</m:t>
                  </m:r>
                </m:sub>
                <m:sup>
                  <m:r>
                    <w:rPr>
                      <w:rFonts w:ascii="Cambria Math" w:hAnsi="Cambria Math" w:cstheme="majorHAnsi"/>
                      <w:lang w:val="es-ES"/>
                    </w:rPr>
                    <m:t>2</m:t>
                  </m:r>
                </m:sup>
              </m:sSubSup>
              <m:r>
                <m:rPr>
                  <m:sty m:val="p"/>
                </m:rPr>
                <w:rPr>
                  <w:rFonts w:ascii="Cambria Math" w:hAnsi="Cambria Math" w:cstheme="majorHAnsi"/>
                  <w:lang w:val="es-ES"/>
                </w:rPr>
                <m:t>+</m:t>
              </m:r>
              <m:sSubSup>
                <m:sSubSupPr>
                  <m:ctrlPr>
                    <w:rPr>
                      <w:rFonts w:ascii="Cambria Math" w:hAnsi="Cambria Math" w:cstheme="majorHAnsi"/>
                      <w:lang w:val="es-ES"/>
                    </w:rPr>
                  </m:ctrlPr>
                </m:sSubSupPr>
                <m:e>
                  <m:r>
                    <w:rPr>
                      <w:rFonts w:ascii="Cambria Math" w:hAnsi="Cambria Math" w:cstheme="majorHAnsi"/>
                      <w:lang w:val="es-ES"/>
                    </w:rPr>
                    <m:t>b</m:t>
                  </m:r>
                </m:e>
                <m:sub>
                  <m:r>
                    <w:rPr>
                      <w:rFonts w:ascii="Cambria Math" w:hAnsi="Cambria Math" w:cstheme="majorHAnsi"/>
                      <w:lang w:val="es-ES"/>
                    </w:rPr>
                    <m:t>2</m:t>
                  </m:r>
                </m:sub>
                <m:sup>
                  <m:r>
                    <w:rPr>
                      <w:rFonts w:ascii="Cambria Math" w:hAnsi="Cambria Math" w:cstheme="majorHAnsi"/>
                      <w:lang w:val="es-ES"/>
                    </w:rPr>
                    <m:t>2</m:t>
                  </m:r>
                </m:sup>
              </m:sSubSup>
              <m:r>
                <m:rPr>
                  <m:sty m:val="p"/>
                </m:rPr>
                <w:rPr>
                  <w:rFonts w:ascii="Cambria Math" w:hAnsi="Cambria Math" w:cstheme="majorHAnsi"/>
                  <w:lang w:val="es-ES"/>
                </w:rPr>
                <m:t>+⋯+</m:t>
              </m:r>
              <m:sSubSup>
                <m:sSubSupPr>
                  <m:ctrlPr>
                    <w:rPr>
                      <w:rFonts w:ascii="Cambria Math" w:hAnsi="Cambria Math" w:cstheme="majorHAnsi"/>
                      <w:lang w:val="es-ES"/>
                    </w:rPr>
                  </m:ctrlPr>
                </m:sSubSupPr>
                <m:e>
                  <m:r>
                    <w:rPr>
                      <w:rFonts w:ascii="Cambria Math" w:hAnsi="Cambria Math" w:cstheme="majorHAnsi"/>
                      <w:lang w:val="es-ES"/>
                    </w:rPr>
                    <m:t>b</m:t>
                  </m:r>
                </m:e>
                <m:sub>
                  <m:r>
                    <w:rPr>
                      <w:rFonts w:ascii="Cambria Math" w:hAnsi="Cambria Math" w:cstheme="majorHAnsi"/>
                      <w:lang w:val="es-ES"/>
                    </w:rPr>
                    <m:t>n</m:t>
                  </m:r>
                </m:sub>
                <m:sup>
                  <m:r>
                    <w:rPr>
                      <w:rFonts w:ascii="Cambria Math" w:hAnsi="Cambria Math" w:cstheme="majorHAnsi"/>
                      <w:lang w:val="es-ES"/>
                    </w:rPr>
                    <m:t>2</m:t>
                  </m:r>
                </m:sup>
              </m:sSubSup>
            </m:e>
          </m:rad>
        </m:oMath>
      </m:oMathPara>
    </w:p>
    <w:p w14:paraId="2F5BA3C4" w14:textId="77777777" w:rsidR="002519E5" w:rsidRPr="00DE3F60" w:rsidRDefault="002519E5" w:rsidP="00DE3F60">
      <w:pPr>
        <w:spacing w:before="120" w:after="240" w:line="240" w:lineRule="auto"/>
        <w:jc w:val="both"/>
        <w:rPr>
          <w:rFonts w:asciiTheme="majorHAnsi" w:hAnsiTheme="majorHAnsi" w:cstheme="majorHAnsi"/>
          <w:lang w:val="es-ES"/>
        </w:rPr>
      </w:pPr>
    </w:p>
    <w:p w14:paraId="6704A36D" w14:textId="20C48CD6"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Esta operación permite comparar vectores de distinto tamaño sin que el resultado dependa únicamente del número de funciones codificadas.</w:t>
      </w:r>
    </w:p>
    <w:p w14:paraId="37FE8A07" w14:textId="77777777" w:rsidR="00103DD6" w:rsidRPr="00DE3F60" w:rsidRDefault="0020195E" w:rsidP="00DE3F60">
      <w:pPr>
        <w:pStyle w:val="Ttulo2"/>
        <w:spacing w:before="120" w:after="240" w:line="240" w:lineRule="auto"/>
        <w:jc w:val="both"/>
        <w:rPr>
          <w:rFonts w:cstheme="majorHAnsi"/>
          <w:lang w:val="es-ES"/>
        </w:rPr>
      </w:pPr>
      <w:bookmarkStart w:id="23" w:name="_Toc231894286"/>
      <w:r w:rsidRPr="00DE3F60">
        <w:rPr>
          <w:rFonts w:cstheme="majorHAnsi"/>
          <w:lang w:val="es-ES"/>
        </w:rPr>
        <w:t>7.4. Similitud de coseno</w:t>
      </w:r>
      <w:bookmarkEnd w:id="23"/>
    </w:p>
    <w:p w14:paraId="3B020AE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similitud de coseno se obtiene dividiendo el producto escalar entre el producto de las normas de ambos vectores.</w:t>
      </w:r>
    </w:p>
    <w:p w14:paraId="4BC2EB12" w14:textId="77777777" w:rsidR="002519E5" w:rsidRPr="00DE3F60" w:rsidRDefault="002519E5" w:rsidP="00DE3F60">
      <w:pPr>
        <w:pStyle w:val="Formula"/>
        <w:spacing w:before="120" w:after="240" w:line="240" w:lineRule="auto"/>
        <w:jc w:val="both"/>
        <w:rPr>
          <w:rFonts w:asciiTheme="majorHAnsi" w:hAnsiTheme="majorHAnsi" w:cstheme="majorHAnsi"/>
          <w:lang w:val="es-ES"/>
        </w:rPr>
      </w:pPr>
      <m:oMathPara>
        <m:oMathParaPr>
          <m:jc m:val="center"/>
        </m:oMathParaPr>
        <m:oMath>
          <m:r>
            <m:rPr>
              <m:sty m:val="p"/>
            </m:rPr>
            <w:rPr>
              <w:rFonts w:ascii="Cambria Math" w:hAnsi="Cambria Math" w:cstheme="majorHAnsi"/>
              <w:lang w:val="es-ES"/>
            </w:rPr>
            <m:t>cos</m:t>
          </m:r>
          <m:d>
            <m:dPr>
              <m:ctrlPr>
                <w:rPr>
                  <w:rFonts w:ascii="Cambria Math" w:hAnsi="Cambria Math" w:cstheme="majorHAnsi"/>
                  <w:lang w:val="es-ES"/>
                </w:rPr>
              </m:ctrlPr>
            </m:dPr>
            <m:e>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p</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r</m:t>
                  </m:r>
                </m:sub>
              </m:sSub>
            </m:e>
          </m:d>
          <m:r>
            <m:rPr>
              <m:sty m:val="p"/>
            </m:rPr>
            <w:rPr>
              <w:rFonts w:ascii="Cambria Math" w:hAnsi="Cambria Math" w:cstheme="majorHAnsi"/>
              <w:lang w:val="es-ES"/>
            </w:rPr>
            <m:t>=</m:t>
          </m:r>
          <m:f>
            <m:fPr>
              <m:ctrlPr>
                <w:rPr>
                  <w:rFonts w:ascii="Cambria Math" w:hAnsi="Cambria Math" w:cstheme="majorHAnsi"/>
                  <w:lang w:val="es-ES"/>
                </w:rPr>
              </m:ctrlPr>
            </m:fPr>
            <m:num>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p</m:t>
                  </m:r>
                </m:sub>
              </m:sSub>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r</m:t>
                  </m:r>
                </m:sub>
              </m:sSub>
            </m:num>
            <m:den>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p</m:t>
                  </m:r>
                </m:sub>
              </m:sSub>
              <m:r>
                <m:rPr>
                  <m:sty m:val="p"/>
                </m:rPr>
                <w:rPr>
                  <w:rFonts w:ascii="Cambria Math" w:hAnsi="Cambria Math" w:cstheme="majorHAnsi"/>
                  <w:lang w:val="es-ES"/>
                </w:rPr>
                <m:t>∥</m:t>
              </m:r>
              <m:r>
                <w:rPr>
                  <w:rFonts w:ascii="Cambria Math" w:hAnsi="Cambria Math" w:cstheme="majorHAnsi"/>
                  <w:lang w:val="es-ES"/>
                </w:rPr>
                <m:t> </m:t>
              </m:r>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V</m:t>
                  </m:r>
                </m:e>
                <m:sub>
                  <m:r>
                    <w:rPr>
                      <w:rFonts w:ascii="Cambria Math" w:hAnsi="Cambria Math" w:cstheme="majorHAnsi"/>
                      <w:lang w:val="es-ES"/>
                    </w:rPr>
                    <m:t>r</m:t>
                  </m:r>
                </m:sub>
              </m:sSub>
              <m:r>
                <m:rPr>
                  <m:sty m:val="p"/>
                </m:rPr>
                <w:rPr>
                  <w:rFonts w:ascii="Cambria Math" w:hAnsi="Cambria Math" w:cstheme="majorHAnsi"/>
                  <w:lang w:val="es-ES"/>
                </w:rPr>
                <m:t>∥</m:t>
              </m:r>
            </m:den>
          </m:f>
        </m:oMath>
      </m:oMathPara>
    </w:p>
    <w:p w14:paraId="340C0259" w14:textId="77777777" w:rsidR="002519E5" w:rsidRPr="00DE3F60" w:rsidRDefault="002519E5" w:rsidP="00DE3F60">
      <w:pPr>
        <w:spacing w:before="120" w:after="240" w:line="240" w:lineRule="auto"/>
        <w:jc w:val="both"/>
        <w:rPr>
          <w:rFonts w:asciiTheme="majorHAnsi" w:hAnsiTheme="majorHAnsi" w:cstheme="majorHAnsi"/>
          <w:lang w:val="es-ES"/>
        </w:rPr>
      </w:pPr>
    </w:p>
    <w:p w14:paraId="7B158C19" w14:textId="6E14EE6F"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resultado se sitúa entre 0 y 1 cuando todos los componentes son no negativos:</w:t>
      </w:r>
    </w:p>
    <w:p w14:paraId="04AC9C6A"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0 indica ausencia de similitud funcional relevante.</w:t>
      </w:r>
    </w:p>
    <w:p w14:paraId="6CF92F66"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1 indica coincidencia plena de orientación funcional.</w:t>
      </w:r>
    </w:p>
    <w:p w14:paraId="2E9C524B"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Los valores intermedios indican grados de proximidad funcional.</w:t>
      </w:r>
    </w:p>
    <w:p w14:paraId="3E0DD300" w14:textId="77777777" w:rsidR="00103DD6" w:rsidRPr="00DE3F60" w:rsidRDefault="0020195E" w:rsidP="00DE3F60">
      <w:pPr>
        <w:pStyle w:val="Ttulo2"/>
        <w:spacing w:before="120" w:after="240" w:line="240" w:lineRule="auto"/>
        <w:jc w:val="both"/>
        <w:rPr>
          <w:rFonts w:cstheme="majorHAnsi"/>
          <w:lang w:val="es-ES"/>
        </w:rPr>
      </w:pPr>
      <w:bookmarkStart w:id="24" w:name="_Toc231894287"/>
      <w:r w:rsidRPr="00DE3F60">
        <w:rPr>
          <w:rFonts w:cstheme="majorHAnsi"/>
          <w:lang w:val="es-ES"/>
        </w:rPr>
        <w:t>7.5. Ejemplo numérico simplificado</w:t>
      </w:r>
      <w:bookmarkEnd w:id="24"/>
    </w:p>
    <w:p w14:paraId="336472FA" w14:textId="77777777" w:rsidR="00103DD6"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Supongamos un modelo reducido con cinco verbos: dirigir, coordinar, supervisar, informar y tramitar. El puesto analizado P y dos patrones R1 y R2 se representan así:</w:t>
      </w:r>
    </w:p>
    <w:p w14:paraId="0FBB5A5D" w14:textId="77777777" w:rsidR="00A03C69" w:rsidRDefault="00A03C69" w:rsidP="00DE3F60">
      <w:pPr>
        <w:spacing w:before="120" w:after="240" w:line="240" w:lineRule="auto"/>
        <w:jc w:val="both"/>
        <w:rPr>
          <w:rFonts w:asciiTheme="majorHAnsi" w:hAnsiTheme="majorHAnsi" w:cstheme="majorHAnsi"/>
          <w:lang w:val="es-ES"/>
        </w:rPr>
      </w:pPr>
    </w:p>
    <w:p w14:paraId="391A41AB" w14:textId="77777777" w:rsidR="00A03C69" w:rsidRPr="00DE3F60" w:rsidRDefault="00A03C69" w:rsidP="00DE3F60">
      <w:pPr>
        <w:spacing w:before="120" w:after="240" w:line="240" w:lineRule="auto"/>
        <w:jc w:val="both"/>
        <w:rPr>
          <w:rFonts w:asciiTheme="majorHAnsi" w:hAnsiTheme="majorHAnsi" w:cstheme="majorHAnsi"/>
          <w:lang w:val="es-ES"/>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8"/>
        <w:gridCol w:w="1304"/>
        <w:gridCol w:w="1304"/>
        <w:gridCol w:w="1304"/>
        <w:gridCol w:w="1304"/>
        <w:gridCol w:w="1304"/>
      </w:tblGrid>
      <w:tr w:rsidR="00103DD6" w:rsidRPr="00DE3F60" w14:paraId="311D2145" w14:textId="77777777">
        <w:trPr>
          <w:jc w:val="center"/>
        </w:trPr>
        <w:tc>
          <w:tcPr>
            <w:tcW w:w="2268" w:type="dxa"/>
            <w:shd w:val="clear" w:color="auto" w:fill="1F4E79"/>
            <w:vAlign w:val="center"/>
          </w:tcPr>
          <w:p w14:paraId="2F9BC1B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Vector</w:t>
            </w:r>
          </w:p>
        </w:tc>
        <w:tc>
          <w:tcPr>
            <w:tcW w:w="1304" w:type="dxa"/>
            <w:shd w:val="clear" w:color="auto" w:fill="1F4E79"/>
            <w:vAlign w:val="center"/>
          </w:tcPr>
          <w:p w14:paraId="0562EAE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Dirigir</w:t>
            </w:r>
          </w:p>
        </w:tc>
        <w:tc>
          <w:tcPr>
            <w:tcW w:w="1304" w:type="dxa"/>
            <w:shd w:val="clear" w:color="auto" w:fill="1F4E79"/>
            <w:vAlign w:val="center"/>
          </w:tcPr>
          <w:p w14:paraId="3EDAC24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Coordinar</w:t>
            </w:r>
          </w:p>
        </w:tc>
        <w:tc>
          <w:tcPr>
            <w:tcW w:w="1304" w:type="dxa"/>
            <w:shd w:val="clear" w:color="auto" w:fill="1F4E79"/>
            <w:vAlign w:val="center"/>
          </w:tcPr>
          <w:p w14:paraId="695C5BF5"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Supervisar</w:t>
            </w:r>
          </w:p>
        </w:tc>
        <w:tc>
          <w:tcPr>
            <w:tcW w:w="1304" w:type="dxa"/>
            <w:shd w:val="clear" w:color="auto" w:fill="1F4E79"/>
            <w:vAlign w:val="center"/>
          </w:tcPr>
          <w:p w14:paraId="1740C65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Informar</w:t>
            </w:r>
          </w:p>
        </w:tc>
        <w:tc>
          <w:tcPr>
            <w:tcW w:w="1304" w:type="dxa"/>
            <w:shd w:val="clear" w:color="auto" w:fill="1F4E79"/>
            <w:vAlign w:val="center"/>
          </w:tcPr>
          <w:p w14:paraId="2B0670A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Tramitar</w:t>
            </w:r>
          </w:p>
        </w:tc>
      </w:tr>
      <w:tr w:rsidR="00103DD6" w:rsidRPr="00DE3F60" w14:paraId="3F2D2D95" w14:textId="77777777">
        <w:trPr>
          <w:jc w:val="center"/>
        </w:trPr>
        <w:tc>
          <w:tcPr>
            <w:tcW w:w="2268" w:type="dxa"/>
            <w:vAlign w:val="center"/>
          </w:tcPr>
          <w:p w14:paraId="4592230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Puesto P</w:t>
            </w:r>
          </w:p>
        </w:tc>
        <w:tc>
          <w:tcPr>
            <w:tcW w:w="1304" w:type="dxa"/>
            <w:vAlign w:val="center"/>
          </w:tcPr>
          <w:p w14:paraId="125721B5"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0</w:t>
            </w:r>
          </w:p>
        </w:tc>
        <w:tc>
          <w:tcPr>
            <w:tcW w:w="1304" w:type="dxa"/>
            <w:vAlign w:val="center"/>
          </w:tcPr>
          <w:p w14:paraId="33B4E5E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304" w:type="dxa"/>
            <w:vAlign w:val="center"/>
          </w:tcPr>
          <w:p w14:paraId="3DE3F3B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304" w:type="dxa"/>
            <w:vAlign w:val="center"/>
          </w:tcPr>
          <w:p w14:paraId="6D0A249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304" w:type="dxa"/>
            <w:vAlign w:val="center"/>
          </w:tcPr>
          <w:p w14:paraId="392AEF5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w:t>
            </w:r>
          </w:p>
        </w:tc>
      </w:tr>
      <w:tr w:rsidR="00103DD6" w:rsidRPr="00DE3F60" w14:paraId="0344567F" w14:textId="77777777">
        <w:trPr>
          <w:jc w:val="center"/>
        </w:trPr>
        <w:tc>
          <w:tcPr>
            <w:tcW w:w="2268" w:type="dxa"/>
            <w:vAlign w:val="center"/>
          </w:tcPr>
          <w:p w14:paraId="433A7775"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Patrón R1</w:t>
            </w:r>
          </w:p>
        </w:tc>
        <w:tc>
          <w:tcPr>
            <w:tcW w:w="1304" w:type="dxa"/>
            <w:vAlign w:val="center"/>
          </w:tcPr>
          <w:p w14:paraId="3505A48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0</w:t>
            </w:r>
          </w:p>
        </w:tc>
        <w:tc>
          <w:tcPr>
            <w:tcW w:w="1304" w:type="dxa"/>
            <w:vAlign w:val="center"/>
          </w:tcPr>
          <w:p w14:paraId="3485FE3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304" w:type="dxa"/>
            <w:vAlign w:val="center"/>
          </w:tcPr>
          <w:p w14:paraId="1376C47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304" w:type="dxa"/>
            <w:vAlign w:val="center"/>
          </w:tcPr>
          <w:p w14:paraId="4E5C21C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w:t>
            </w:r>
          </w:p>
        </w:tc>
        <w:tc>
          <w:tcPr>
            <w:tcW w:w="1304" w:type="dxa"/>
            <w:vAlign w:val="center"/>
          </w:tcPr>
          <w:p w14:paraId="3F88EEF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r>
      <w:tr w:rsidR="00103DD6" w:rsidRPr="00DE3F60" w14:paraId="4BAE0455" w14:textId="77777777">
        <w:trPr>
          <w:jc w:val="center"/>
        </w:trPr>
        <w:tc>
          <w:tcPr>
            <w:tcW w:w="2268" w:type="dxa"/>
            <w:vAlign w:val="center"/>
          </w:tcPr>
          <w:p w14:paraId="6FB6F4A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Patrón R2</w:t>
            </w:r>
          </w:p>
        </w:tc>
        <w:tc>
          <w:tcPr>
            <w:tcW w:w="1304" w:type="dxa"/>
            <w:vAlign w:val="center"/>
          </w:tcPr>
          <w:p w14:paraId="58D5163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w:t>
            </w:r>
          </w:p>
        </w:tc>
        <w:tc>
          <w:tcPr>
            <w:tcW w:w="1304" w:type="dxa"/>
            <w:vAlign w:val="center"/>
          </w:tcPr>
          <w:p w14:paraId="01C33C7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304" w:type="dxa"/>
            <w:vAlign w:val="center"/>
          </w:tcPr>
          <w:p w14:paraId="39F26E7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304" w:type="dxa"/>
            <w:vAlign w:val="center"/>
          </w:tcPr>
          <w:p w14:paraId="248422D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1304" w:type="dxa"/>
            <w:vAlign w:val="center"/>
          </w:tcPr>
          <w:p w14:paraId="7C39ACF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0</w:t>
            </w:r>
          </w:p>
        </w:tc>
      </w:tr>
    </w:tbl>
    <w:p w14:paraId="6DE90120" w14:textId="77777777" w:rsidR="00103DD6" w:rsidRPr="00DE3F60" w:rsidRDefault="00103DD6" w:rsidP="00DE3F60">
      <w:pPr>
        <w:spacing w:before="120" w:after="240" w:line="240" w:lineRule="auto"/>
        <w:jc w:val="both"/>
        <w:rPr>
          <w:rFonts w:asciiTheme="majorHAnsi" w:hAnsiTheme="majorHAnsi" w:cstheme="majorHAnsi"/>
          <w:lang w:val="es-ES"/>
        </w:rPr>
      </w:pPr>
    </w:p>
    <w:p w14:paraId="1EDD171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Comparación con R1:</w:t>
      </w:r>
    </w:p>
    <w:p w14:paraId="43362E35" w14:textId="77777777" w:rsidR="002519E5" w:rsidRPr="00DE3F60" w:rsidRDefault="002519E5" w:rsidP="00DE3F60">
      <w:pPr>
        <w:pStyle w:val="Formula"/>
        <w:spacing w:before="120" w:after="240" w:line="240" w:lineRule="auto"/>
        <w:jc w:val="both"/>
        <w:rPr>
          <w:rFonts w:asciiTheme="majorHAnsi" w:hAnsiTheme="majorHAnsi" w:cstheme="majorHAnsi"/>
          <w:lang w:val="es-ES"/>
        </w:rPr>
      </w:pPr>
      <m:oMathPara>
        <m:oMathParaPr>
          <m:jc m:val="center"/>
        </m:oMathParaPr>
        <m:oMath>
          <m:r>
            <w:rPr>
              <w:rFonts w:ascii="Cambria Math" w:hAnsi="Cambria Math" w:cstheme="majorHAnsi"/>
              <w:lang w:val="es-ES"/>
            </w:rPr>
            <m:t>P</m:t>
          </m:r>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R</m:t>
              </m:r>
            </m:e>
            <m:sub>
              <m:r>
                <w:rPr>
                  <w:rFonts w:ascii="Cambria Math" w:hAnsi="Cambria Math" w:cstheme="majorHAnsi"/>
                  <w:lang w:val="es-ES"/>
                </w:rPr>
                <m:t>1</m:t>
              </m:r>
            </m:sub>
          </m:sSub>
          <m:r>
            <m:rPr>
              <m:sty m:val="p"/>
            </m:rPr>
            <w:rPr>
              <w:rFonts w:ascii="Cambria Math" w:hAnsi="Cambria Math" w:cstheme="majorHAnsi"/>
              <w:lang w:val="es-ES"/>
            </w:rPr>
            <m:t>=</m:t>
          </m:r>
          <m:d>
            <m:dPr>
              <m:ctrlPr>
                <w:rPr>
                  <w:rFonts w:ascii="Cambria Math" w:hAnsi="Cambria Math" w:cstheme="majorHAnsi"/>
                  <w:lang w:val="es-ES"/>
                </w:rPr>
              </m:ctrlPr>
            </m:dPr>
            <m:e>
              <m:r>
                <w:rPr>
                  <w:rFonts w:ascii="Cambria Math" w:hAnsi="Cambria Math" w:cstheme="majorHAnsi"/>
                  <w:lang w:val="es-ES"/>
                </w:rPr>
                <m:t>0</m:t>
              </m:r>
              <m:r>
                <m:rPr>
                  <m:sty m:val="p"/>
                </m:rPr>
                <w:rPr>
                  <w:rFonts w:ascii="Cambria Math" w:hAnsi="Cambria Math" w:cstheme="majorHAnsi"/>
                  <w:lang w:val="es-ES"/>
                </w:rPr>
                <m:t>⋅</m:t>
              </m:r>
              <m:r>
                <w:rPr>
                  <w:rFonts w:ascii="Cambria Math" w:hAnsi="Cambria Math" w:cstheme="majorHAnsi"/>
                  <w:lang w:val="es-ES"/>
                </w:rPr>
                <m:t>0</m:t>
              </m:r>
            </m:e>
          </m:d>
          <m:r>
            <m:rPr>
              <m:sty m:val="p"/>
            </m:rPr>
            <w:rPr>
              <w:rFonts w:ascii="Cambria Math" w:hAnsi="Cambria Math" w:cstheme="majorHAnsi"/>
              <w:lang w:val="es-ES"/>
            </w:rPr>
            <m:t>+</m:t>
          </m:r>
          <m:d>
            <m:dPr>
              <m:ctrlPr>
                <w:rPr>
                  <w:rFonts w:ascii="Cambria Math" w:hAnsi="Cambria Math" w:cstheme="majorHAnsi"/>
                  <w:lang w:val="es-ES"/>
                </w:rPr>
              </m:ctrlPr>
            </m:dPr>
            <m:e>
              <m:r>
                <w:rPr>
                  <w:rFonts w:ascii="Cambria Math" w:hAnsi="Cambria Math" w:cstheme="majorHAnsi"/>
                  <w:lang w:val="es-ES"/>
                </w:rPr>
                <m:t>2</m:t>
              </m:r>
              <m:r>
                <m:rPr>
                  <m:sty m:val="p"/>
                </m:rPr>
                <w:rPr>
                  <w:rFonts w:ascii="Cambria Math" w:hAnsi="Cambria Math" w:cstheme="majorHAnsi"/>
                  <w:lang w:val="es-ES"/>
                </w:rPr>
                <m:t>⋅</m:t>
              </m:r>
              <m:r>
                <w:rPr>
                  <w:rFonts w:ascii="Cambria Math" w:hAnsi="Cambria Math" w:cstheme="majorHAnsi"/>
                  <w:lang w:val="es-ES"/>
                </w:rPr>
                <m:t>2</m:t>
              </m:r>
            </m:e>
          </m:d>
          <m:r>
            <m:rPr>
              <m:sty m:val="p"/>
            </m:rPr>
            <w:rPr>
              <w:rFonts w:ascii="Cambria Math" w:hAnsi="Cambria Math" w:cstheme="majorHAnsi"/>
              <w:lang w:val="es-ES"/>
            </w:rPr>
            <m:t>+</m:t>
          </m:r>
          <m:d>
            <m:dPr>
              <m:ctrlPr>
                <w:rPr>
                  <w:rFonts w:ascii="Cambria Math" w:hAnsi="Cambria Math" w:cstheme="majorHAnsi"/>
                  <w:lang w:val="es-ES"/>
                </w:rPr>
              </m:ctrlPr>
            </m:dPr>
            <m:e>
              <m:r>
                <w:rPr>
                  <w:rFonts w:ascii="Cambria Math" w:hAnsi="Cambria Math" w:cstheme="majorHAnsi"/>
                  <w:lang w:val="es-ES"/>
                </w:rPr>
                <m:t>2</m:t>
              </m:r>
              <m:r>
                <m:rPr>
                  <m:sty m:val="p"/>
                </m:rPr>
                <w:rPr>
                  <w:rFonts w:ascii="Cambria Math" w:hAnsi="Cambria Math" w:cstheme="majorHAnsi"/>
                  <w:lang w:val="es-ES"/>
                </w:rPr>
                <m:t>⋅</m:t>
              </m:r>
              <m:r>
                <w:rPr>
                  <w:rFonts w:ascii="Cambria Math" w:hAnsi="Cambria Math" w:cstheme="majorHAnsi"/>
                  <w:lang w:val="es-ES"/>
                </w:rPr>
                <m:t>2</m:t>
              </m:r>
            </m:e>
          </m:d>
          <m:r>
            <m:rPr>
              <m:sty m:val="p"/>
            </m:rPr>
            <w:rPr>
              <w:rFonts w:ascii="Cambria Math" w:hAnsi="Cambria Math" w:cstheme="majorHAnsi"/>
              <w:lang w:val="es-ES"/>
            </w:rPr>
            <m:t>+</m:t>
          </m:r>
          <m:d>
            <m:dPr>
              <m:ctrlPr>
                <w:rPr>
                  <w:rFonts w:ascii="Cambria Math" w:hAnsi="Cambria Math" w:cstheme="majorHAnsi"/>
                  <w:lang w:val="es-ES"/>
                </w:rPr>
              </m:ctrlPr>
            </m:dPr>
            <m:e>
              <m:r>
                <w:rPr>
                  <w:rFonts w:ascii="Cambria Math" w:hAnsi="Cambria Math" w:cstheme="majorHAnsi"/>
                  <w:lang w:val="es-ES"/>
                </w:rPr>
                <m:t>2</m:t>
              </m:r>
              <m:r>
                <m:rPr>
                  <m:sty m:val="p"/>
                </m:rPr>
                <w:rPr>
                  <w:rFonts w:ascii="Cambria Math" w:hAnsi="Cambria Math" w:cstheme="majorHAnsi"/>
                  <w:lang w:val="es-ES"/>
                </w:rPr>
                <m:t>⋅</m:t>
              </m:r>
              <m:r>
                <w:rPr>
                  <w:rFonts w:ascii="Cambria Math" w:hAnsi="Cambria Math" w:cstheme="majorHAnsi"/>
                  <w:lang w:val="es-ES"/>
                </w:rPr>
                <m:t>1</m:t>
              </m:r>
            </m:e>
          </m:d>
          <m:r>
            <m:rPr>
              <m:sty m:val="p"/>
            </m:rPr>
            <w:rPr>
              <w:rFonts w:ascii="Cambria Math" w:hAnsi="Cambria Math" w:cstheme="majorHAnsi"/>
              <w:lang w:val="es-ES"/>
            </w:rPr>
            <m:t>+</m:t>
          </m:r>
          <m:d>
            <m:dPr>
              <m:ctrlPr>
                <w:rPr>
                  <w:rFonts w:ascii="Cambria Math" w:hAnsi="Cambria Math" w:cstheme="majorHAnsi"/>
                  <w:lang w:val="es-ES"/>
                </w:rPr>
              </m:ctrlPr>
            </m:dPr>
            <m:e>
              <m:r>
                <w:rPr>
                  <w:rFonts w:ascii="Cambria Math" w:hAnsi="Cambria Math" w:cstheme="majorHAnsi"/>
                  <w:lang w:val="es-ES"/>
                </w:rPr>
                <m:t>1</m:t>
              </m:r>
              <m:r>
                <m:rPr>
                  <m:sty m:val="p"/>
                </m:rPr>
                <w:rPr>
                  <w:rFonts w:ascii="Cambria Math" w:hAnsi="Cambria Math" w:cstheme="majorHAnsi"/>
                  <w:lang w:val="es-ES"/>
                </w:rPr>
                <m:t>⋅</m:t>
              </m:r>
              <m:r>
                <w:rPr>
                  <w:rFonts w:ascii="Cambria Math" w:hAnsi="Cambria Math" w:cstheme="majorHAnsi"/>
                  <w:lang w:val="es-ES"/>
                </w:rPr>
                <m:t>2</m:t>
              </m:r>
            </m:e>
          </m:d>
          <m:r>
            <m:rPr>
              <m:sty m:val="p"/>
            </m:rPr>
            <w:rPr>
              <w:rFonts w:ascii="Cambria Math" w:hAnsi="Cambria Math" w:cstheme="majorHAnsi"/>
              <w:lang w:val="es-ES"/>
            </w:rPr>
            <m:t>=</m:t>
          </m:r>
          <m:r>
            <w:rPr>
              <w:rFonts w:ascii="Cambria Math" w:hAnsi="Cambria Math" w:cstheme="majorHAnsi"/>
              <w:lang w:val="es-ES"/>
            </w:rPr>
            <m:t>12</m:t>
          </m:r>
        </m:oMath>
      </m:oMathPara>
    </w:p>
    <w:p w14:paraId="10979241" w14:textId="77777777" w:rsidR="002519E5" w:rsidRPr="00DE3F60" w:rsidRDefault="002519E5" w:rsidP="00DE3F60">
      <w:pPr>
        <w:pStyle w:val="Formula"/>
        <w:spacing w:before="120" w:after="240" w:line="240" w:lineRule="auto"/>
        <w:jc w:val="both"/>
        <w:rPr>
          <w:rFonts w:asciiTheme="majorHAnsi" w:hAnsiTheme="majorHAnsi" w:cstheme="majorHAnsi"/>
          <w:lang w:val="es-ES"/>
        </w:rPr>
      </w:pPr>
      <m:oMathPara>
        <m:oMathParaPr>
          <m:jc m:val="center"/>
        </m:oMathParaPr>
        <m:oMath>
          <m:r>
            <m:rPr>
              <m:sty m:val="p"/>
            </m:rPr>
            <w:rPr>
              <w:rFonts w:ascii="Cambria Math" w:hAnsi="Cambria Math" w:cstheme="majorHAnsi"/>
              <w:lang w:val="es-ES"/>
            </w:rPr>
            <m:t>∥</m:t>
          </m:r>
          <m:r>
            <w:rPr>
              <w:rFonts w:ascii="Cambria Math" w:hAnsi="Cambria Math" w:cstheme="majorHAnsi"/>
              <w:lang w:val="es-ES"/>
            </w:rPr>
            <m:t>P</m:t>
          </m:r>
          <m:r>
            <m:rPr>
              <m:sty m:val="p"/>
            </m:rPr>
            <w:rPr>
              <w:rFonts w:ascii="Cambria Math" w:hAnsi="Cambria Math" w:cstheme="majorHAnsi"/>
              <w:lang w:val="es-ES"/>
            </w:rPr>
            <m:t>∥=</m:t>
          </m:r>
          <m:rad>
            <m:radPr>
              <m:degHide m:val="1"/>
              <m:ctrlPr>
                <w:rPr>
                  <w:rFonts w:ascii="Cambria Math" w:hAnsi="Cambria Math" w:cstheme="majorHAnsi"/>
                  <w:lang w:val="es-ES"/>
                </w:rPr>
              </m:ctrlPr>
            </m:radPr>
            <m:deg/>
            <m:e>
              <m:sSup>
                <m:sSupPr>
                  <m:ctrlPr>
                    <w:rPr>
                      <w:rFonts w:ascii="Cambria Math" w:hAnsi="Cambria Math" w:cstheme="majorHAnsi"/>
                      <w:lang w:val="es-ES"/>
                    </w:rPr>
                  </m:ctrlPr>
                </m:sSupPr>
                <m:e>
                  <m:r>
                    <w:rPr>
                      <w:rFonts w:ascii="Cambria Math" w:hAnsi="Cambria Math" w:cstheme="majorHAnsi"/>
                      <w:lang w:val="es-ES"/>
                    </w:rPr>
                    <m:t>0</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2</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2</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2</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1</m:t>
                  </m:r>
                </m:e>
                <m:sup>
                  <m:r>
                    <w:rPr>
                      <w:rFonts w:ascii="Cambria Math" w:hAnsi="Cambria Math" w:cstheme="majorHAnsi"/>
                      <w:lang w:val="es-ES"/>
                    </w:rPr>
                    <m:t>2</m:t>
                  </m:r>
                </m:sup>
              </m:sSup>
            </m:e>
          </m:rad>
          <m:r>
            <m:rPr>
              <m:sty m:val="p"/>
            </m:rPr>
            <w:rPr>
              <w:rFonts w:ascii="Cambria Math" w:hAnsi="Cambria Math" w:cstheme="majorHAnsi"/>
              <w:lang w:val="es-ES"/>
            </w:rPr>
            <m:t>=</m:t>
          </m:r>
          <m:rad>
            <m:radPr>
              <m:degHide m:val="1"/>
              <m:ctrlPr>
                <w:rPr>
                  <w:rFonts w:ascii="Cambria Math" w:hAnsi="Cambria Math" w:cstheme="majorHAnsi"/>
                  <w:lang w:val="es-ES"/>
                </w:rPr>
              </m:ctrlPr>
            </m:radPr>
            <m:deg/>
            <m:e>
              <m:r>
                <w:rPr>
                  <w:rFonts w:ascii="Cambria Math" w:hAnsi="Cambria Math" w:cstheme="majorHAnsi"/>
                  <w:lang w:val="es-ES"/>
                </w:rPr>
                <m:t>13</m:t>
              </m:r>
            </m:e>
          </m:rad>
        </m:oMath>
      </m:oMathPara>
    </w:p>
    <w:p w14:paraId="21D289C7" w14:textId="77777777" w:rsidR="002519E5" w:rsidRPr="00DE3F60" w:rsidRDefault="002519E5" w:rsidP="00DE3F60">
      <w:pPr>
        <w:pStyle w:val="Formula"/>
        <w:spacing w:before="120" w:after="240" w:line="240" w:lineRule="auto"/>
        <w:jc w:val="both"/>
        <w:rPr>
          <w:rFonts w:asciiTheme="majorHAnsi" w:hAnsiTheme="majorHAnsi" w:cstheme="majorHAnsi"/>
          <w:lang w:val="es-ES"/>
        </w:rPr>
      </w:pPr>
      <m:oMathPara>
        <m:oMathParaPr>
          <m:jc m:val="center"/>
        </m:oMathParaPr>
        <m:oMath>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R</m:t>
              </m:r>
            </m:e>
            <m:sub>
              <m:r>
                <w:rPr>
                  <w:rFonts w:ascii="Cambria Math" w:hAnsi="Cambria Math" w:cstheme="majorHAnsi"/>
                  <w:lang w:val="es-ES"/>
                </w:rPr>
                <m:t>1</m:t>
              </m:r>
            </m:sub>
          </m:sSub>
          <m:r>
            <m:rPr>
              <m:sty m:val="p"/>
            </m:rPr>
            <w:rPr>
              <w:rFonts w:ascii="Cambria Math" w:hAnsi="Cambria Math" w:cstheme="majorHAnsi"/>
              <w:lang w:val="es-ES"/>
            </w:rPr>
            <m:t>∥=</m:t>
          </m:r>
          <m:rad>
            <m:radPr>
              <m:degHide m:val="1"/>
              <m:ctrlPr>
                <w:rPr>
                  <w:rFonts w:ascii="Cambria Math" w:hAnsi="Cambria Math" w:cstheme="majorHAnsi"/>
                  <w:lang w:val="es-ES"/>
                </w:rPr>
              </m:ctrlPr>
            </m:radPr>
            <m:deg/>
            <m:e>
              <m:sSup>
                <m:sSupPr>
                  <m:ctrlPr>
                    <w:rPr>
                      <w:rFonts w:ascii="Cambria Math" w:hAnsi="Cambria Math" w:cstheme="majorHAnsi"/>
                      <w:lang w:val="es-ES"/>
                    </w:rPr>
                  </m:ctrlPr>
                </m:sSupPr>
                <m:e>
                  <m:r>
                    <w:rPr>
                      <w:rFonts w:ascii="Cambria Math" w:hAnsi="Cambria Math" w:cstheme="majorHAnsi"/>
                      <w:lang w:val="es-ES"/>
                    </w:rPr>
                    <m:t>0</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2</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2</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1</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2</m:t>
                  </m:r>
                </m:e>
                <m:sup>
                  <m:r>
                    <w:rPr>
                      <w:rFonts w:ascii="Cambria Math" w:hAnsi="Cambria Math" w:cstheme="majorHAnsi"/>
                      <w:lang w:val="es-ES"/>
                    </w:rPr>
                    <m:t>2</m:t>
                  </m:r>
                </m:sup>
              </m:sSup>
            </m:e>
          </m:rad>
          <m:r>
            <m:rPr>
              <m:sty m:val="p"/>
            </m:rPr>
            <w:rPr>
              <w:rFonts w:ascii="Cambria Math" w:hAnsi="Cambria Math" w:cstheme="majorHAnsi"/>
              <w:lang w:val="es-ES"/>
            </w:rPr>
            <m:t>=</m:t>
          </m:r>
          <m:rad>
            <m:radPr>
              <m:degHide m:val="1"/>
              <m:ctrlPr>
                <w:rPr>
                  <w:rFonts w:ascii="Cambria Math" w:hAnsi="Cambria Math" w:cstheme="majorHAnsi"/>
                  <w:lang w:val="es-ES"/>
                </w:rPr>
              </m:ctrlPr>
            </m:radPr>
            <m:deg/>
            <m:e>
              <m:r>
                <w:rPr>
                  <w:rFonts w:ascii="Cambria Math" w:hAnsi="Cambria Math" w:cstheme="majorHAnsi"/>
                  <w:lang w:val="es-ES"/>
                </w:rPr>
                <m:t>13</m:t>
              </m:r>
            </m:e>
          </m:rad>
        </m:oMath>
      </m:oMathPara>
    </w:p>
    <w:p w14:paraId="24FC59AE" w14:textId="77777777" w:rsidR="002519E5" w:rsidRPr="00DE3F60" w:rsidRDefault="002519E5" w:rsidP="00DE3F60">
      <w:pPr>
        <w:pStyle w:val="Formula"/>
        <w:spacing w:before="120" w:after="240" w:line="240" w:lineRule="auto"/>
        <w:jc w:val="both"/>
        <w:rPr>
          <w:rFonts w:asciiTheme="majorHAnsi" w:hAnsiTheme="majorHAnsi" w:cstheme="majorHAnsi"/>
          <w:lang w:val="es-ES"/>
        </w:rPr>
      </w:pPr>
      <m:oMathPara>
        <m:oMathParaPr>
          <m:jc m:val="center"/>
        </m:oMathParaPr>
        <m:oMath>
          <m:r>
            <m:rPr>
              <m:sty m:val="p"/>
            </m:rPr>
            <w:rPr>
              <w:rFonts w:ascii="Cambria Math" w:hAnsi="Cambria Math" w:cstheme="majorHAnsi"/>
              <w:lang w:val="es-ES"/>
            </w:rPr>
            <m:t>cos</m:t>
          </m:r>
          <m:d>
            <m:dPr>
              <m:ctrlPr>
                <w:rPr>
                  <w:rFonts w:ascii="Cambria Math" w:hAnsi="Cambria Math" w:cstheme="majorHAnsi"/>
                  <w:lang w:val="es-ES"/>
                </w:rPr>
              </m:ctrlPr>
            </m:dPr>
            <m:e>
              <m:r>
                <w:rPr>
                  <w:rFonts w:ascii="Cambria Math" w:hAnsi="Cambria Math" w:cstheme="majorHAnsi"/>
                  <w:lang w:val="es-ES"/>
                </w:rPr>
                <m:t>P</m:t>
              </m:r>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R</m:t>
                  </m:r>
                </m:e>
                <m:sub>
                  <m:r>
                    <w:rPr>
                      <w:rFonts w:ascii="Cambria Math" w:hAnsi="Cambria Math" w:cstheme="majorHAnsi"/>
                      <w:lang w:val="es-ES"/>
                    </w:rPr>
                    <m:t>1</m:t>
                  </m:r>
                </m:sub>
              </m:sSub>
            </m:e>
          </m:d>
          <m:r>
            <m:rPr>
              <m:sty m:val="p"/>
            </m:rPr>
            <w:rPr>
              <w:rFonts w:ascii="Cambria Math" w:hAnsi="Cambria Math" w:cstheme="majorHAnsi"/>
              <w:lang w:val="es-ES"/>
            </w:rPr>
            <m:t>=</m:t>
          </m:r>
          <m:f>
            <m:fPr>
              <m:ctrlPr>
                <w:rPr>
                  <w:rFonts w:ascii="Cambria Math" w:hAnsi="Cambria Math" w:cstheme="majorHAnsi"/>
                  <w:lang w:val="es-ES"/>
                </w:rPr>
              </m:ctrlPr>
            </m:fPr>
            <m:num>
              <m:r>
                <w:rPr>
                  <w:rFonts w:ascii="Cambria Math" w:hAnsi="Cambria Math" w:cstheme="majorHAnsi"/>
                  <w:lang w:val="es-ES"/>
                </w:rPr>
                <m:t>12</m:t>
              </m:r>
            </m:num>
            <m:den>
              <m:rad>
                <m:radPr>
                  <m:degHide m:val="1"/>
                  <m:ctrlPr>
                    <w:rPr>
                      <w:rFonts w:ascii="Cambria Math" w:hAnsi="Cambria Math" w:cstheme="majorHAnsi"/>
                      <w:lang w:val="es-ES"/>
                    </w:rPr>
                  </m:ctrlPr>
                </m:radPr>
                <m:deg/>
                <m:e>
                  <m:r>
                    <w:rPr>
                      <w:rFonts w:ascii="Cambria Math" w:hAnsi="Cambria Math" w:cstheme="majorHAnsi"/>
                      <w:lang w:val="es-ES"/>
                    </w:rPr>
                    <m:t>13</m:t>
                  </m:r>
                </m:e>
              </m:rad>
              <m:r>
                <m:rPr>
                  <m:sty m:val="p"/>
                </m:rPr>
                <w:rPr>
                  <w:rFonts w:ascii="Cambria Math" w:hAnsi="Cambria Math" w:cstheme="majorHAnsi"/>
                  <w:lang w:val="es-ES"/>
                </w:rPr>
                <m:t>⋅</m:t>
              </m:r>
              <m:rad>
                <m:radPr>
                  <m:degHide m:val="1"/>
                  <m:ctrlPr>
                    <w:rPr>
                      <w:rFonts w:ascii="Cambria Math" w:hAnsi="Cambria Math" w:cstheme="majorHAnsi"/>
                      <w:lang w:val="es-ES"/>
                    </w:rPr>
                  </m:ctrlPr>
                </m:radPr>
                <m:deg/>
                <m:e>
                  <m:r>
                    <w:rPr>
                      <w:rFonts w:ascii="Cambria Math" w:hAnsi="Cambria Math" w:cstheme="majorHAnsi"/>
                      <w:lang w:val="es-ES"/>
                    </w:rPr>
                    <m:t>13</m:t>
                  </m:r>
                </m:e>
              </m:rad>
            </m:den>
          </m:f>
          <m:r>
            <m:rPr>
              <m:sty m:val="p"/>
            </m:rPr>
            <w:rPr>
              <w:rFonts w:ascii="Cambria Math" w:hAnsi="Cambria Math" w:cstheme="majorHAnsi"/>
              <w:lang w:val="es-ES"/>
            </w:rPr>
            <m:t>=</m:t>
          </m:r>
          <m:f>
            <m:fPr>
              <m:ctrlPr>
                <w:rPr>
                  <w:rFonts w:ascii="Cambria Math" w:hAnsi="Cambria Math" w:cstheme="majorHAnsi"/>
                  <w:lang w:val="es-ES"/>
                </w:rPr>
              </m:ctrlPr>
            </m:fPr>
            <m:num>
              <m:r>
                <w:rPr>
                  <w:rFonts w:ascii="Cambria Math" w:hAnsi="Cambria Math" w:cstheme="majorHAnsi"/>
                  <w:lang w:val="es-ES"/>
                </w:rPr>
                <m:t>12</m:t>
              </m:r>
            </m:num>
            <m:den>
              <m:r>
                <w:rPr>
                  <w:rFonts w:ascii="Cambria Math" w:hAnsi="Cambria Math" w:cstheme="majorHAnsi"/>
                  <w:lang w:val="es-ES"/>
                </w:rPr>
                <m:t>13</m:t>
              </m:r>
            </m:den>
          </m:f>
          <m:r>
            <m:rPr>
              <m:sty m:val="p"/>
            </m:rPr>
            <w:rPr>
              <w:rFonts w:ascii="Cambria Math" w:hAnsi="Cambria Math" w:cstheme="majorHAnsi"/>
              <w:lang w:val="es-ES"/>
            </w:rPr>
            <m:t>=</m:t>
          </m:r>
          <m:r>
            <w:rPr>
              <w:rFonts w:ascii="Cambria Math" w:hAnsi="Cambria Math" w:cstheme="majorHAnsi"/>
              <w:lang w:val="es-ES"/>
            </w:rPr>
            <m:t>0</m:t>
          </m:r>
          <m:r>
            <m:rPr>
              <m:sty m:val="p"/>
            </m:rPr>
            <w:rPr>
              <w:rFonts w:ascii="Cambria Math" w:hAnsi="Cambria Math" w:cstheme="majorHAnsi"/>
              <w:lang w:val="es-ES"/>
            </w:rPr>
            <m:t>,</m:t>
          </m:r>
          <m:r>
            <w:rPr>
              <w:rFonts w:ascii="Cambria Math" w:hAnsi="Cambria Math" w:cstheme="majorHAnsi"/>
              <w:lang w:val="es-ES"/>
            </w:rPr>
            <m:t>923</m:t>
          </m:r>
        </m:oMath>
      </m:oMathPara>
    </w:p>
    <w:p w14:paraId="2B60FF7D" w14:textId="77777777" w:rsidR="002519E5" w:rsidRDefault="002519E5" w:rsidP="00DE3F60">
      <w:pPr>
        <w:spacing w:before="120" w:after="240" w:line="240" w:lineRule="auto"/>
        <w:jc w:val="both"/>
        <w:rPr>
          <w:rFonts w:asciiTheme="majorHAnsi" w:hAnsiTheme="majorHAnsi" w:cstheme="majorHAnsi"/>
          <w:lang w:val="es-ES"/>
        </w:rPr>
      </w:pPr>
    </w:p>
    <w:p w14:paraId="74C42F2E" w14:textId="3ED5CE88"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Comparación con R2:</w:t>
      </w:r>
    </w:p>
    <w:p w14:paraId="4D9132B9" w14:textId="77777777" w:rsidR="002519E5" w:rsidRPr="00DE3F60" w:rsidRDefault="002519E5" w:rsidP="00DE3F60">
      <w:pPr>
        <w:pStyle w:val="Formula"/>
        <w:spacing w:before="120" w:after="240" w:line="240" w:lineRule="auto"/>
        <w:jc w:val="both"/>
        <w:rPr>
          <w:rFonts w:asciiTheme="majorHAnsi" w:hAnsiTheme="majorHAnsi" w:cstheme="majorHAnsi"/>
          <w:lang w:val="es-ES"/>
        </w:rPr>
      </w:pPr>
      <m:oMathPara>
        <m:oMathParaPr>
          <m:jc m:val="center"/>
        </m:oMathParaPr>
        <m:oMath>
          <m:r>
            <w:rPr>
              <w:rFonts w:ascii="Cambria Math" w:hAnsi="Cambria Math" w:cstheme="majorHAnsi"/>
              <w:lang w:val="es-ES"/>
            </w:rPr>
            <m:t>P</m:t>
          </m:r>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R</m:t>
              </m:r>
            </m:e>
            <m:sub>
              <m:r>
                <w:rPr>
                  <w:rFonts w:ascii="Cambria Math" w:hAnsi="Cambria Math" w:cstheme="majorHAnsi"/>
                  <w:lang w:val="es-ES"/>
                </w:rPr>
                <m:t>2</m:t>
              </m:r>
            </m:sub>
          </m:sSub>
          <m:r>
            <m:rPr>
              <m:sty m:val="p"/>
            </m:rPr>
            <w:rPr>
              <w:rFonts w:ascii="Cambria Math" w:hAnsi="Cambria Math" w:cstheme="majorHAnsi"/>
              <w:lang w:val="es-ES"/>
            </w:rPr>
            <m:t>=</m:t>
          </m:r>
          <m:d>
            <m:dPr>
              <m:ctrlPr>
                <w:rPr>
                  <w:rFonts w:ascii="Cambria Math" w:hAnsi="Cambria Math" w:cstheme="majorHAnsi"/>
                  <w:lang w:val="es-ES"/>
                </w:rPr>
              </m:ctrlPr>
            </m:dPr>
            <m:e>
              <m:r>
                <w:rPr>
                  <w:rFonts w:ascii="Cambria Math" w:hAnsi="Cambria Math" w:cstheme="majorHAnsi"/>
                  <w:lang w:val="es-ES"/>
                </w:rPr>
                <m:t>0</m:t>
              </m:r>
              <m:r>
                <m:rPr>
                  <m:sty m:val="p"/>
                </m:rPr>
                <w:rPr>
                  <w:rFonts w:ascii="Cambria Math" w:hAnsi="Cambria Math" w:cstheme="majorHAnsi"/>
                  <w:lang w:val="es-ES"/>
                </w:rPr>
                <m:t>⋅</m:t>
              </m:r>
              <m:r>
                <w:rPr>
                  <w:rFonts w:ascii="Cambria Math" w:hAnsi="Cambria Math" w:cstheme="majorHAnsi"/>
                  <w:lang w:val="es-ES"/>
                </w:rPr>
                <m:t>1</m:t>
              </m:r>
            </m:e>
          </m:d>
          <m:r>
            <m:rPr>
              <m:sty m:val="p"/>
            </m:rPr>
            <w:rPr>
              <w:rFonts w:ascii="Cambria Math" w:hAnsi="Cambria Math" w:cstheme="majorHAnsi"/>
              <w:lang w:val="es-ES"/>
            </w:rPr>
            <m:t>+</m:t>
          </m:r>
          <m:d>
            <m:dPr>
              <m:ctrlPr>
                <w:rPr>
                  <w:rFonts w:ascii="Cambria Math" w:hAnsi="Cambria Math" w:cstheme="majorHAnsi"/>
                  <w:lang w:val="es-ES"/>
                </w:rPr>
              </m:ctrlPr>
            </m:dPr>
            <m:e>
              <m:r>
                <w:rPr>
                  <w:rFonts w:ascii="Cambria Math" w:hAnsi="Cambria Math" w:cstheme="majorHAnsi"/>
                  <w:lang w:val="es-ES"/>
                </w:rPr>
                <m:t>2</m:t>
              </m:r>
              <m:r>
                <m:rPr>
                  <m:sty m:val="p"/>
                </m:rPr>
                <w:rPr>
                  <w:rFonts w:ascii="Cambria Math" w:hAnsi="Cambria Math" w:cstheme="majorHAnsi"/>
                  <w:lang w:val="es-ES"/>
                </w:rPr>
                <m:t>⋅</m:t>
              </m:r>
              <m:r>
                <w:rPr>
                  <w:rFonts w:ascii="Cambria Math" w:hAnsi="Cambria Math" w:cstheme="majorHAnsi"/>
                  <w:lang w:val="es-ES"/>
                </w:rPr>
                <m:t>2</m:t>
              </m:r>
            </m:e>
          </m:d>
          <m:r>
            <m:rPr>
              <m:sty m:val="p"/>
            </m:rPr>
            <w:rPr>
              <w:rFonts w:ascii="Cambria Math" w:hAnsi="Cambria Math" w:cstheme="majorHAnsi"/>
              <w:lang w:val="es-ES"/>
            </w:rPr>
            <m:t>+</m:t>
          </m:r>
          <m:d>
            <m:dPr>
              <m:ctrlPr>
                <w:rPr>
                  <w:rFonts w:ascii="Cambria Math" w:hAnsi="Cambria Math" w:cstheme="majorHAnsi"/>
                  <w:lang w:val="es-ES"/>
                </w:rPr>
              </m:ctrlPr>
            </m:dPr>
            <m:e>
              <m:r>
                <w:rPr>
                  <w:rFonts w:ascii="Cambria Math" w:hAnsi="Cambria Math" w:cstheme="majorHAnsi"/>
                  <w:lang w:val="es-ES"/>
                </w:rPr>
                <m:t>2</m:t>
              </m:r>
              <m:r>
                <m:rPr>
                  <m:sty m:val="p"/>
                </m:rPr>
                <w:rPr>
                  <w:rFonts w:ascii="Cambria Math" w:hAnsi="Cambria Math" w:cstheme="majorHAnsi"/>
                  <w:lang w:val="es-ES"/>
                </w:rPr>
                <m:t>⋅</m:t>
              </m:r>
              <m:r>
                <w:rPr>
                  <w:rFonts w:ascii="Cambria Math" w:hAnsi="Cambria Math" w:cstheme="majorHAnsi"/>
                  <w:lang w:val="es-ES"/>
                </w:rPr>
                <m:t>2</m:t>
              </m:r>
            </m:e>
          </m:d>
          <m:r>
            <m:rPr>
              <m:sty m:val="p"/>
            </m:rPr>
            <w:rPr>
              <w:rFonts w:ascii="Cambria Math" w:hAnsi="Cambria Math" w:cstheme="majorHAnsi"/>
              <w:lang w:val="es-ES"/>
            </w:rPr>
            <m:t>+</m:t>
          </m:r>
          <m:d>
            <m:dPr>
              <m:ctrlPr>
                <w:rPr>
                  <w:rFonts w:ascii="Cambria Math" w:hAnsi="Cambria Math" w:cstheme="majorHAnsi"/>
                  <w:lang w:val="es-ES"/>
                </w:rPr>
              </m:ctrlPr>
            </m:dPr>
            <m:e>
              <m:r>
                <w:rPr>
                  <w:rFonts w:ascii="Cambria Math" w:hAnsi="Cambria Math" w:cstheme="majorHAnsi"/>
                  <w:lang w:val="es-ES"/>
                </w:rPr>
                <m:t>2</m:t>
              </m:r>
              <m:r>
                <m:rPr>
                  <m:sty m:val="p"/>
                </m:rPr>
                <w:rPr>
                  <w:rFonts w:ascii="Cambria Math" w:hAnsi="Cambria Math" w:cstheme="majorHAnsi"/>
                  <w:lang w:val="es-ES"/>
                </w:rPr>
                <m:t>⋅</m:t>
              </m:r>
              <m:r>
                <w:rPr>
                  <w:rFonts w:ascii="Cambria Math" w:hAnsi="Cambria Math" w:cstheme="majorHAnsi"/>
                  <w:lang w:val="es-ES"/>
                </w:rPr>
                <m:t>2</m:t>
              </m:r>
            </m:e>
          </m:d>
          <m:r>
            <m:rPr>
              <m:sty m:val="p"/>
            </m:rPr>
            <w:rPr>
              <w:rFonts w:ascii="Cambria Math" w:hAnsi="Cambria Math" w:cstheme="majorHAnsi"/>
              <w:lang w:val="es-ES"/>
            </w:rPr>
            <m:t>+</m:t>
          </m:r>
          <m:d>
            <m:dPr>
              <m:ctrlPr>
                <w:rPr>
                  <w:rFonts w:ascii="Cambria Math" w:hAnsi="Cambria Math" w:cstheme="majorHAnsi"/>
                  <w:lang w:val="es-ES"/>
                </w:rPr>
              </m:ctrlPr>
            </m:dPr>
            <m:e>
              <m:r>
                <w:rPr>
                  <w:rFonts w:ascii="Cambria Math" w:hAnsi="Cambria Math" w:cstheme="majorHAnsi"/>
                  <w:lang w:val="es-ES"/>
                </w:rPr>
                <m:t>1</m:t>
              </m:r>
              <m:r>
                <m:rPr>
                  <m:sty m:val="p"/>
                </m:rPr>
                <w:rPr>
                  <w:rFonts w:ascii="Cambria Math" w:hAnsi="Cambria Math" w:cstheme="majorHAnsi"/>
                  <w:lang w:val="es-ES"/>
                </w:rPr>
                <m:t>⋅</m:t>
              </m:r>
              <m:r>
                <w:rPr>
                  <w:rFonts w:ascii="Cambria Math" w:hAnsi="Cambria Math" w:cstheme="majorHAnsi"/>
                  <w:lang w:val="es-ES"/>
                </w:rPr>
                <m:t>0</m:t>
              </m:r>
            </m:e>
          </m:d>
          <m:r>
            <m:rPr>
              <m:sty m:val="p"/>
            </m:rPr>
            <w:rPr>
              <w:rFonts w:ascii="Cambria Math" w:hAnsi="Cambria Math" w:cstheme="majorHAnsi"/>
              <w:lang w:val="es-ES"/>
            </w:rPr>
            <m:t>=</m:t>
          </m:r>
          <m:r>
            <w:rPr>
              <w:rFonts w:ascii="Cambria Math" w:hAnsi="Cambria Math" w:cstheme="majorHAnsi"/>
              <w:lang w:val="es-ES"/>
            </w:rPr>
            <m:t>12</m:t>
          </m:r>
        </m:oMath>
      </m:oMathPara>
    </w:p>
    <w:p w14:paraId="5653C044" w14:textId="77777777" w:rsidR="002519E5" w:rsidRPr="00DE3F60" w:rsidRDefault="002519E5" w:rsidP="00DE3F60">
      <w:pPr>
        <w:pStyle w:val="Formula"/>
        <w:spacing w:before="120" w:after="240" w:line="240" w:lineRule="auto"/>
        <w:jc w:val="both"/>
        <w:rPr>
          <w:rFonts w:asciiTheme="majorHAnsi" w:hAnsiTheme="majorHAnsi" w:cstheme="majorHAnsi"/>
          <w:lang w:val="es-ES"/>
        </w:rPr>
      </w:pPr>
      <m:oMathPara>
        <m:oMathParaPr>
          <m:jc m:val="center"/>
        </m:oMathParaPr>
        <m:oMath>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R</m:t>
              </m:r>
            </m:e>
            <m:sub>
              <m:r>
                <w:rPr>
                  <w:rFonts w:ascii="Cambria Math" w:hAnsi="Cambria Math" w:cstheme="majorHAnsi"/>
                  <w:lang w:val="es-ES"/>
                </w:rPr>
                <m:t>2</m:t>
              </m:r>
            </m:sub>
          </m:sSub>
          <m:r>
            <m:rPr>
              <m:sty m:val="p"/>
            </m:rPr>
            <w:rPr>
              <w:rFonts w:ascii="Cambria Math" w:hAnsi="Cambria Math" w:cstheme="majorHAnsi"/>
              <w:lang w:val="es-ES"/>
            </w:rPr>
            <m:t>∥=</m:t>
          </m:r>
          <m:rad>
            <m:radPr>
              <m:degHide m:val="1"/>
              <m:ctrlPr>
                <w:rPr>
                  <w:rFonts w:ascii="Cambria Math" w:hAnsi="Cambria Math" w:cstheme="majorHAnsi"/>
                  <w:lang w:val="es-ES"/>
                </w:rPr>
              </m:ctrlPr>
            </m:radPr>
            <m:deg/>
            <m:e>
              <m:sSup>
                <m:sSupPr>
                  <m:ctrlPr>
                    <w:rPr>
                      <w:rFonts w:ascii="Cambria Math" w:hAnsi="Cambria Math" w:cstheme="majorHAnsi"/>
                      <w:lang w:val="es-ES"/>
                    </w:rPr>
                  </m:ctrlPr>
                </m:sSupPr>
                <m:e>
                  <m:r>
                    <w:rPr>
                      <w:rFonts w:ascii="Cambria Math" w:hAnsi="Cambria Math" w:cstheme="majorHAnsi"/>
                      <w:lang w:val="es-ES"/>
                    </w:rPr>
                    <m:t>1</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2</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2</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2</m:t>
                  </m:r>
                </m:e>
                <m:sup>
                  <m:r>
                    <w:rPr>
                      <w:rFonts w:ascii="Cambria Math" w:hAnsi="Cambria Math" w:cstheme="majorHAnsi"/>
                      <w:lang w:val="es-ES"/>
                    </w:rPr>
                    <m:t>2</m:t>
                  </m:r>
                </m:sup>
              </m:sSup>
              <m:r>
                <m:rPr>
                  <m:sty m:val="p"/>
                </m:rPr>
                <w:rPr>
                  <w:rFonts w:ascii="Cambria Math" w:hAnsi="Cambria Math" w:cstheme="majorHAnsi"/>
                  <w:lang w:val="es-ES"/>
                </w:rPr>
                <m:t>+</m:t>
              </m:r>
              <m:sSup>
                <m:sSupPr>
                  <m:ctrlPr>
                    <w:rPr>
                      <w:rFonts w:ascii="Cambria Math" w:hAnsi="Cambria Math" w:cstheme="majorHAnsi"/>
                      <w:lang w:val="es-ES"/>
                    </w:rPr>
                  </m:ctrlPr>
                </m:sSupPr>
                <m:e>
                  <m:r>
                    <w:rPr>
                      <w:rFonts w:ascii="Cambria Math" w:hAnsi="Cambria Math" w:cstheme="majorHAnsi"/>
                      <w:lang w:val="es-ES"/>
                    </w:rPr>
                    <m:t>0</m:t>
                  </m:r>
                </m:e>
                <m:sup>
                  <m:r>
                    <w:rPr>
                      <w:rFonts w:ascii="Cambria Math" w:hAnsi="Cambria Math" w:cstheme="majorHAnsi"/>
                      <w:lang w:val="es-ES"/>
                    </w:rPr>
                    <m:t>2</m:t>
                  </m:r>
                </m:sup>
              </m:sSup>
            </m:e>
          </m:rad>
          <m:r>
            <m:rPr>
              <m:sty m:val="p"/>
            </m:rPr>
            <w:rPr>
              <w:rFonts w:ascii="Cambria Math" w:hAnsi="Cambria Math" w:cstheme="majorHAnsi"/>
              <w:lang w:val="es-ES"/>
            </w:rPr>
            <m:t>=</m:t>
          </m:r>
          <m:rad>
            <m:radPr>
              <m:degHide m:val="1"/>
              <m:ctrlPr>
                <w:rPr>
                  <w:rFonts w:ascii="Cambria Math" w:hAnsi="Cambria Math" w:cstheme="majorHAnsi"/>
                  <w:lang w:val="es-ES"/>
                </w:rPr>
              </m:ctrlPr>
            </m:radPr>
            <m:deg/>
            <m:e>
              <m:r>
                <w:rPr>
                  <w:rFonts w:ascii="Cambria Math" w:hAnsi="Cambria Math" w:cstheme="majorHAnsi"/>
                  <w:lang w:val="es-ES"/>
                </w:rPr>
                <m:t>13</m:t>
              </m:r>
            </m:e>
          </m:rad>
        </m:oMath>
      </m:oMathPara>
    </w:p>
    <w:p w14:paraId="6603E178" w14:textId="77777777" w:rsidR="002519E5" w:rsidRPr="00DE3F60" w:rsidRDefault="002519E5" w:rsidP="00DE3F60">
      <w:pPr>
        <w:pStyle w:val="Formula"/>
        <w:spacing w:before="120" w:after="240" w:line="240" w:lineRule="auto"/>
        <w:jc w:val="both"/>
        <w:rPr>
          <w:rFonts w:asciiTheme="majorHAnsi" w:hAnsiTheme="majorHAnsi" w:cstheme="majorHAnsi"/>
          <w:lang w:val="es-ES"/>
        </w:rPr>
      </w:pPr>
      <m:oMathPara>
        <m:oMathParaPr>
          <m:jc m:val="center"/>
        </m:oMathParaPr>
        <m:oMath>
          <m:r>
            <m:rPr>
              <m:sty m:val="p"/>
            </m:rPr>
            <w:rPr>
              <w:rFonts w:ascii="Cambria Math" w:hAnsi="Cambria Math" w:cstheme="majorHAnsi"/>
              <w:lang w:val="es-ES"/>
            </w:rPr>
            <m:t>cos</m:t>
          </m:r>
          <m:d>
            <m:dPr>
              <m:ctrlPr>
                <w:rPr>
                  <w:rFonts w:ascii="Cambria Math" w:hAnsi="Cambria Math" w:cstheme="majorHAnsi"/>
                  <w:lang w:val="es-ES"/>
                </w:rPr>
              </m:ctrlPr>
            </m:dPr>
            <m:e>
              <m:r>
                <w:rPr>
                  <w:rFonts w:ascii="Cambria Math" w:hAnsi="Cambria Math" w:cstheme="majorHAnsi"/>
                  <w:lang w:val="es-ES"/>
                </w:rPr>
                <m:t>P</m:t>
              </m:r>
              <m:r>
                <m:rPr>
                  <m:sty m:val="p"/>
                </m:rPr>
                <w:rPr>
                  <w:rFonts w:ascii="Cambria Math" w:hAnsi="Cambria Math" w:cstheme="majorHAnsi"/>
                  <w:lang w:val="es-ES"/>
                </w:rPr>
                <m:t>,</m:t>
              </m:r>
              <m:sSub>
                <m:sSubPr>
                  <m:ctrlPr>
                    <w:rPr>
                      <w:rFonts w:ascii="Cambria Math" w:hAnsi="Cambria Math" w:cstheme="majorHAnsi"/>
                      <w:lang w:val="es-ES"/>
                    </w:rPr>
                  </m:ctrlPr>
                </m:sSubPr>
                <m:e>
                  <m:r>
                    <w:rPr>
                      <w:rFonts w:ascii="Cambria Math" w:hAnsi="Cambria Math" w:cstheme="majorHAnsi"/>
                      <w:lang w:val="es-ES"/>
                    </w:rPr>
                    <m:t>R</m:t>
                  </m:r>
                </m:e>
                <m:sub>
                  <m:r>
                    <w:rPr>
                      <w:rFonts w:ascii="Cambria Math" w:hAnsi="Cambria Math" w:cstheme="majorHAnsi"/>
                      <w:lang w:val="es-ES"/>
                    </w:rPr>
                    <m:t>2</m:t>
                  </m:r>
                </m:sub>
              </m:sSub>
            </m:e>
          </m:d>
          <m:r>
            <m:rPr>
              <m:sty m:val="p"/>
            </m:rPr>
            <w:rPr>
              <w:rFonts w:ascii="Cambria Math" w:hAnsi="Cambria Math" w:cstheme="majorHAnsi"/>
              <w:lang w:val="es-ES"/>
            </w:rPr>
            <m:t>=</m:t>
          </m:r>
          <m:f>
            <m:fPr>
              <m:ctrlPr>
                <w:rPr>
                  <w:rFonts w:ascii="Cambria Math" w:hAnsi="Cambria Math" w:cstheme="majorHAnsi"/>
                  <w:lang w:val="es-ES"/>
                </w:rPr>
              </m:ctrlPr>
            </m:fPr>
            <m:num>
              <m:r>
                <w:rPr>
                  <w:rFonts w:ascii="Cambria Math" w:hAnsi="Cambria Math" w:cstheme="majorHAnsi"/>
                  <w:lang w:val="es-ES"/>
                </w:rPr>
                <m:t>12</m:t>
              </m:r>
            </m:num>
            <m:den>
              <m:rad>
                <m:radPr>
                  <m:degHide m:val="1"/>
                  <m:ctrlPr>
                    <w:rPr>
                      <w:rFonts w:ascii="Cambria Math" w:hAnsi="Cambria Math" w:cstheme="majorHAnsi"/>
                      <w:lang w:val="es-ES"/>
                    </w:rPr>
                  </m:ctrlPr>
                </m:radPr>
                <m:deg/>
                <m:e>
                  <m:r>
                    <w:rPr>
                      <w:rFonts w:ascii="Cambria Math" w:hAnsi="Cambria Math" w:cstheme="majorHAnsi"/>
                      <w:lang w:val="es-ES"/>
                    </w:rPr>
                    <m:t>13</m:t>
                  </m:r>
                </m:e>
              </m:rad>
              <m:r>
                <m:rPr>
                  <m:sty m:val="p"/>
                </m:rPr>
                <w:rPr>
                  <w:rFonts w:ascii="Cambria Math" w:hAnsi="Cambria Math" w:cstheme="majorHAnsi"/>
                  <w:lang w:val="es-ES"/>
                </w:rPr>
                <m:t>⋅</m:t>
              </m:r>
              <m:rad>
                <m:radPr>
                  <m:degHide m:val="1"/>
                  <m:ctrlPr>
                    <w:rPr>
                      <w:rFonts w:ascii="Cambria Math" w:hAnsi="Cambria Math" w:cstheme="majorHAnsi"/>
                      <w:lang w:val="es-ES"/>
                    </w:rPr>
                  </m:ctrlPr>
                </m:radPr>
                <m:deg/>
                <m:e>
                  <m:r>
                    <w:rPr>
                      <w:rFonts w:ascii="Cambria Math" w:hAnsi="Cambria Math" w:cstheme="majorHAnsi"/>
                      <w:lang w:val="es-ES"/>
                    </w:rPr>
                    <m:t>13</m:t>
                  </m:r>
                </m:e>
              </m:rad>
            </m:den>
          </m:f>
          <m:r>
            <m:rPr>
              <m:sty m:val="p"/>
            </m:rPr>
            <w:rPr>
              <w:rFonts w:ascii="Cambria Math" w:hAnsi="Cambria Math" w:cstheme="majorHAnsi"/>
              <w:lang w:val="es-ES"/>
            </w:rPr>
            <m:t>=</m:t>
          </m:r>
          <m:f>
            <m:fPr>
              <m:ctrlPr>
                <w:rPr>
                  <w:rFonts w:ascii="Cambria Math" w:hAnsi="Cambria Math" w:cstheme="majorHAnsi"/>
                  <w:lang w:val="es-ES"/>
                </w:rPr>
              </m:ctrlPr>
            </m:fPr>
            <m:num>
              <m:r>
                <w:rPr>
                  <w:rFonts w:ascii="Cambria Math" w:hAnsi="Cambria Math" w:cstheme="majorHAnsi"/>
                  <w:lang w:val="es-ES"/>
                </w:rPr>
                <m:t>12</m:t>
              </m:r>
            </m:num>
            <m:den>
              <m:r>
                <w:rPr>
                  <w:rFonts w:ascii="Cambria Math" w:hAnsi="Cambria Math" w:cstheme="majorHAnsi"/>
                  <w:lang w:val="es-ES"/>
                </w:rPr>
                <m:t>13</m:t>
              </m:r>
            </m:den>
          </m:f>
          <m:r>
            <m:rPr>
              <m:sty m:val="p"/>
            </m:rPr>
            <w:rPr>
              <w:rFonts w:ascii="Cambria Math" w:hAnsi="Cambria Math" w:cstheme="majorHAnsi"/>
              <w:lang w:val="es-ES"/>
            </w:rPr>
            <m:t>=</m:t>
          </m:r>
          <m:r>
            <w:rPr>
              <w:rFonts w:ascii="Cambria Math" w:hAnsi="Cambria Math" w:cstheme="majorHAnsi"/>
              <w:lang w:val="es-ES"/>
            </w:rPr>
            <m:t>0</m:t>
          </m:r>
          <m:r>
            <m:rPr>
              <m:sty m:val="p"/>
            </m:rPr>
            <w:rPr>
              <w:rFonts w:ascii="Cambria Math" w:hAnsi="Cambria Math" w:cstheme="majorHAnsi"/>
              <w:lang w:val="es-ES"/>
            </w:rPr>
            <m:t>,</m:t>
          </m:r>
          <m:r>
            <w:rPr>
              <w:rFonts w:ascii="Cambria Math" w:hAnsi="Cambria Math" w:cstheme="majorHAnsi"/>
              <w:lang w:val="es-ES"/>
            </w:rPr>
            <m:t>923</m:t>
          </m:r>
        </m:oMath>
      </m:oMathPara>
    </w:p>
    <w:p w14:paraId="7F3F770B" w14:textId="3CD6BC3E"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 xml:space="preserve">En este ejemplo, ambos patrones arrojan la misma similitud. Esto indica que el resultado matemático debe completarse con una revisión cualitativa: puede ser necesario revisar pesos, factores críticos, posición jerárquica o criterios de desempate. </w:t>
      </w:r>
    </w:p>
    <w:p w14:paraId="40C6D86F" w14:textId="77777777" w:rsidR="00103DD6" w:rsidRPr="00DE3F60" w:rsidRDefault="0020195E" w:rsidP="00DE3F60">
      <w:pPr>
        <w:pStyle w:val="Ttulo2"/>
        <w:spacing w:before="120" w:after="240" w:line="240" w:lineRule="auto"/>
        <w:jc w:val="both"/>
        <w:rPr>
          <w:rFonts w:cstheme="majorHAnsi"/>
          <w:lang w:val="es-ES"/>
        </w:rPr>
      </w:pPr>
      <w:bookmarkStart w:id="25" w:name="_Toc231894288"/>
      <w:r w:rsidRPr="00DE3F60">
        <w:rPr>
          <w:rFonts w:cstheme="majorHAnsi"/>
          <w:lang w:val="es-ES"/>
        </w:rPr>
        <w:t>7.6. Criterios de desempate técnico</w:t>
      </w:r>
      <w:bookmarkEnd w:id="25"/>
    </w:p>
    <w:p w14:paraId="2769E27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Cuando dos o más patrones presentan similitudes muy próximas, la recomendación no debe resolverse de forma automática. Deben aplicarse criterios de desempate previamente definidos, entre ellos:</w:t>
      </w:r>
    </w:p>
    <w:p w14:paraId="24225F74"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presencia de funciones de mando efectivo;</w:t>
      </w:r>
    </w:p>
    <w:p w14:paraId="55B4A5A7"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responsabilidad sobre informes, propuestas o decisiones con impacto externo o económico;</w:t>
      </w:r>
    </w:p>
    <w:p w14:paraId="0E43E092"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autonomía técnica real del puesto;</w:t>
      </w:r>
    </w:p>
    <w:p w14:paraId="5D0AFFE7"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especialización exigida para el desempeño;</w:t>
      </w:r>
    </w:p>
    <w:p w14:paraId="0A0829F9"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complejidad funcional y territorial del servicio;</w:t>
      </w:r>
    </w:p>
    <w:p w14:paraId="763EDBE4"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coherencia con otros puestos equivalentes de la RPT;</w:t>
      </w:r>
    </w:p>
    <w:p w14:paraId="6486C0FF"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respeto del intervalo legal del grupo o subgrupo.</w:t>
      </w:r>
    </w:p>
    <w:p w14:paraId="20A6EA8E" w14:textId="77777777" w:rsidR="00103DD6" w:rsidRPr="00DE3F60" w:rsidRDefault="0020195E" w:rsidP="00DE3F60">
      <w:pPr>
        <w:pStyle w:val="Ttulo1"/>
        <w:spacing w:before="120" w:after="240" w:line="240" w:lineRule="auto"/>
        <w:jc w:val="both"/>
        <w:rPr>
          <w:rFonts w:cstheme="majorHAnsi"/>
          <w:lang w:val="es-ES"/>
        </w:rPr>
      </w:pPr>
      <w:bookmarkStart w:id="26" w:name="_Toc231894289"/>
      <w:r w:rsidRPr="00DE3F60">
        <w:rPr>
          <w:rFonts w:cstheme="majorHAnsi"/>
          <w:lang w:val="es-ES"/>
        </w:rPr>
        <w:t>8. Comparación mediante similitud de coseno</w:t>
      </w:r>
      <w:bookmarkEnd w:id="26"/>
    </w:p>
    <w:p w14:paraId="3E80FCFD"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herramienta calcula la similitud del puesto analizado con todos los puestos patrón disponibles. El resultado no es un único dato aislado, sino un ranking de proximidad funcional.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8"/>
        <w:gridCol w:w="1701"/>
        <w:gridCol w:w="1701"/>
        <w:gridCol w:w="3402"/>
      </w:tblGrid>
      <w:tr w:rsidR="00103DD6" w:rsidRPr="00DE3F60" w14:paraId="3D17B9E9" w14:textId="77777777">
        <w:trPr>
          <w:jc w:val="center"/>
        </w:trPr>
        <w:tc>
          <w:tcPr>
            <w:tcW w:w="2268" w:type="dxa"/>
            <w:shd w:val="clear" w:color="auto" w:fill="1F4E79"/>
            <w:vAlign w:val="center"/>
          </w:tcPr>
          <w:p w14:paraId="7576409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Patrón comparado</w:t>
            </w:r>
          </w:p>
        </w:tc>
        <w:tc>
          <w:tcPr>
            <w:tcW w:w="1701" w:type="dxa"/>
            <w:shd w:val="clear" w:color="auto" w:fill="1F4E79"/>
            <w:vAlign w:val="center"/>
          </w:tcPr>
          <w:p w14:paraId="5499A48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Nivel CD del patrón</w:t>
            </w:r>
          </w:p>
        </w:tc>
        <w:tc>
          <w:tcPr>
            <w:tcW w:w="1701" w:type="dxa"/>
            <w:shd w:val="clear" w:color="auto" w:fill="1F4E79"/>
            <w:vAlign w:val="center"/>
          </w:tcPr>
          <w:p w14:paraId="254A5CB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Similitud coseno</w:t>
            </w:r>
          </w:p>
        </w:tc>
        <w:tc>
          <w:tcPr>
            <w:tcW w:w="3402" w:type="dxa"/>
            <w:shd w:val="clear" w:color="auto" w:fill="1F4E79"/>
            <w:vAlign w:val="center"/>
          </w:tcPr>
          <w:p w14:paraId="30D3816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Lectura técnica</w:t>
            </w:r>
          </w:p>
        </w:tc>
      </w:tr>
      <w:tr w:rsidR="00103DD6" w:rsidRPr="00DE3F60" w14:paraId="7A0DED64" w14:textId="77777777">
        <w:trPr>
          <w:jc w:val="center"/>
        </w:trPr>
        <w:tc>
          <w:tcPr>
            <w:tcW w:w="2268" w:type="dxa"/>
            <w:vAlign w:val="center"/>
          </w:tcPr>
          <w:p w14:paraId="5243FEA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Patrón A</w:t>
            </w:r>
          </w:p>
        </w:tc>
        <w:tc>
          <w:tcPr>
            <w:tcW w:w="1701" w:type="dxa"/>
            <w:vAlign w:val="center"/>
          </w:tcPr>
          <w:p w14:paraId="158D32C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20</w:t>
            </w:r>
          </w:p>
        </w:tc>
        <w:tc>
          <w:tcPr>
            <w:tcW w:w="1701" w:type="dxa"/>
            <w:vAlign w:val="center"/>
          </w:tcPr>
          <w:p w14:paraId="64E285B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0,71</w:t>
            </w:r>
          </w:p>
        </w:tc>
        <w:tc>
          <w:tcPr>
            <w:tcW w:w="3402" w:type="dxa"/>
            <w:vAlign w:val="center"/>
          </w:tcPr>
          <w:p w14:paraId="612F990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Proximidad moderada.</w:t>
            </w:r>
          </w:p>
        </w:tc>
      </w:tr>
      <w:tr w:rsidR="00103DD6" w:rsidRPr="00DE3F60" w14:paraId="544F333A" w14:textId="77777777">
        <w:trPr>
          <w:jc w:val="center"/>
        </w:trPr>
        <w:tc>
          <w:tcPr>
            <w:tcW w:w="2268" w:type="dxa"/>
            <w:vAlign w:val="center"/>
          </w:tcPr>
          <w:p w14:paraId="0359055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Patrón B</w:t>
            </w:r>
          </w:p>
        </w:tc>
        <w:tc>
          <w:tcPr>
            <w:tcW w:w="1701" w:type="dxa"/>
            <w:vAlign w:val="center"/>
          </w:tcPr>
          <w:p w14:paraId="092EF01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21</w:t>
            </w:r>
          </w:p>
        </w:tc>
        <w:tc>
          <w:tcPr>
            <w:tcW w:w="1701" w:type="dxa"/>
            <w:vAlign w:val="center"/>
          </w:tcPr>
          <w:p w14:paraId="68BD642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0,88</w:t>
            </w:r>
          </w:p>
        </w:tc>
        <w:tc>
          <w:tcPr>
            <w:tcW w:w="3402" w:type="dxa"/>
            <w:vAlign w:val="center"/>
          </w:tcPr>
          <w:p w14:paraId="44B7A55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Proximidad alta.</w:t>
            </w:r>
          </w:p>
        </w:tc>
      </w:tr>
      <w:tr w:rsidR="00103DD6" w:rsidRPr="00DE3F60" w14:paraId="43B3CAF9" w14:textId="77777777">
        <w:trPr>
          <w:jc w:val="center"/>
        </w:trPr>
        <w:tc>
          <w:tcPr>
            <w:tcW w:w="2268" w:type="dxa"/>
            <w:vAlign w:val="center"/>
          </w:tcPr>
          <w:p w14:paraId="7D6D277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Patrón C</w:t>
            </w:r>
          </w:p>
        </w:tc>
        <w:tc>
          <w:tcPr>
            <w:tcW w:w="1701" w:type="dxa"/>
            <w:vAlign w:val="center"/>
          </w:tcPr>
          <w:p w14:paraId="5F90C41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22</w:t>
            </w:r>
          </w:p>
        </w:tc>
        <w:tc>
          <w:tcPr>
            <w:tcW w:w="1701" w:type="dxa"/>
            <w:vAlign w:val="center"/>
          </w:tcPr>
          <w:p w14:paraId="4FBEC27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0,91</w:t>
            </w:r>
          </w:p>
        </w:tc>
        <w:tc>
          <w:tcPr>
            <w:tcW w:w="3402" w:type="dxa"/>
            <w:vAlign w:val="center"/>
          </w:tcPr>
          <w:p w14:paraId="6437974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Proximidad muy alta.</w:t>
            </w:r>
          </w:p>
        </w:tc>
      </w:tr>
      <w:tr w:rsidR="00103DD6" w:rsidRPr="00DE3F60" w14:paraId="312ACE36" w14:textId="77777777">
        <w:trPr>
          <w:jc w:val="center"/>
        </w:trPr>
        <w:tc>
          <w:tcPr>
            <w:tcW w:w="2268" w:type="dxa"/>
            <w:vAlign w:val="center"/>
          </w:tcPr>
          <w:p w14:paraId="637E8B2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Patrón D</w:t>
            </w:r>
          </w:p>
        </w:tc>
        <w:tc>
          <w:tcPr>
            <w:tcW w:w="1701" w:type="dxa"/>
            <w:vAlign w:val="center"/>
          </w:tcPr>
          <w:p w14:paraId="08ADF33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24</w:t>
            </w:r>
          </w:p>
        </w:tc>
        <w:tc>
          <w:tcPr>
            <w:tcW w:w="1701" w:type="dxa"/>
            <w:vAlign w:val="center"/>
          </w:tcPr>
          <w:p w14:paraId="14589C3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0,62</w:t>
            </w:r>
          </w:p>
        </w:tc>
        <w:tc>
          <w:tcPr>
            <w:tcW w:w="3402" w:type="dxa"/>
            <w:vAlign w:val="center"/>
          </w:tcPr>
          <w:p w14:paraId="266CA60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Proximidad baja o insuficiente.</w:t>
            </w:r>
          </w:p>
        </w:tc>
      </w:tr>
    </w:tbl>
    <w:p w14:paraId="5235BBC4" w14:textId="77777777" w:rsidR="00103DD6" w:rsidRPr="00DE3F60" w:rsidRDefault="00103DD6" w:rsidP="00DE3F60">
      <w:pPr>
        <w:spacing w:before="120" w:after="240" w:line="240" w:lineRule="auto"/>
        <w:jc w:val="both"/>
        <w:rPr>
          <w:rFonts w:asciiTheme="majorHAnsi" w:hAnsiTheme="majorHAnsi" w:cstheme="majorHAnsi"/>
          <w:lang w:val="es-ES"/>
        </w:rPr>
      </w:pPr>
    </w:p>
    <w:p w14:paraId="7271395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En este caso, la herramienta no dice simplemente “subir” o “no subir”. Lo que indica es que el puesto analizado se aproxima más al patrón C que al resto. A partir de ahí debe comprobarse si esa proximidad es coherente con las funciones reales, los factores CD, el grupo de clasificación y el conjunto de puestos comparables.</w:t>
      </w:r>
    </w:p>
    <w:p w14:paraId="7CB201CA" w14:textId="77777777" w:rsidR="00103DD6" w:rsidRPr="00DE3F60" w:rsidRDefault="0020195E" w:rsidP="00DE3F60">
      <w:pPr>
        <w:pStyle w:val="Ttulo1"/>
        <w:spacing w:before="120" w:after="240" w:line="240" w:lineRule="auto"/>
        <w:jc w:val="both"/>
        <w:rPr>
          <w:rFonts w:cstheme="majorHAnsi"/>
          <w:lang w:val="es-ES"/>
        </w:rPr>
      </w:pPr>
      <w:bookmarkStart w:id="27" w:name="_Toc231894290"/>
      <w:r w:rsidRPr="00DE3F60">
        <w:rPr>
          <w:rFonts w:cstheme="majorHAnsi"/>
          <w:lang w:val="es-ES"/>
        </w:rPr>
        <w:t>9. Interpretación de resultados</w:t>
      </w:r>
      <w:bookmarkEnd w:id="2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8"/>
        <w:gridCol w:w="3402"/>
        <w:gridCol w:w="3402"/>
      </w:tblGrid>
      <w:tr w:rsidR="00103DD6" w:rsidRPr="00DE3F60" w14:paraId="31D934AC" w14:textId="77777777">
        <w:trPr>
          <w:jc w:val="center"/>
        </w:trPr>
        <w:tc>
          <w:tcPr>
            <w:tcW w:w="2268" w:type="dxa"/>
            <w:shd w:val="clear" w:color="auto" w:fill="1F4E79"/>
            <w:vAlign w:val="center"/>
          </w:tcPr>
          <w:p w14:paraId="53FBA95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Resultado</w:t>
            </w:r>
          </w:p>
        </w:tc>
        <w:tc>
          <w:tcPr>
            <w:tcW w:w="3402" w:type="dxa"/>
            <w:shd w:val="clear" w:color="auto" w:fill="1F4E79"/>
            <w:vAlign w:val="center"/>
          </w:tcPr>
          <w:p w14:paraId="789BDA9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Interpretación</w:t>
            </w:r>
          </w:p>
        </w:tc>
        <w:tc>
          <w:tcPr>
            <w:tcW w:w="3402" w:type="dxa"/>
            <w:shd w:val="clear" w:color="auto" w:fill="1F4E79"/>
            <w:vAlign w:val="center"/>
          </w:tcPr>
          <w:p w14:paraId="0E1E0CA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Actuación recomendada</w:t>
            </w:r>
          </w:p>
        </w:tc>
      </w:tr>
      <w:tr w:rsidR="00103DD6" w:rsidRPr="00DE3F60" w14:paraId="145B38E5" w14:textId="77777777">
        <w:trPr>
          <w:jc w:val="center"/>
        </w:trPr>
        <w:tc>
          <w:tcPr>
            <w:tcW w:w="2268" w:type="dxa"/>
            <w:vAlign w:val="center"/>
          </w:tcPr>
          <w:p w14:paraId="74C66C9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Coherencia con el CD actual</w:t>
            </w:r>
          </w:p>
        </w:tc>
        <w:tc>
          <w:tcPr>
            <w:tcW w:w="3402" w:type="dxa"/>
            <w:vAlign w:val="center"/>
          </w:tcPr>
          <w:p w14:paraId="7B3FFED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El patrón más próximo coincide con el nivel actual o con una banda equivalente.</w:t>
            </w:r>
          </w:p>
        </w:tc>
        <w:tc>
          <w:tcPr>
            <w:tcW w:w="3402" w:type="dxa"/>
            <w:vAlign w:val="center"/>
          </w:tcPr>
          <w:p w14:paraId="611F99C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Mantener nivel salvo que existan otros elementos cualitativos relevantes.</w:t>
            </w:r>
          </w:p>
        </w:tc>
      </w:tr>
      <w:tr w:rsidR="00103DD6" w:rsidRPr="00DE3F60" w14:paraId="022C9EDF" w14:textId="77777777">
        <w:trPr>
          <w:jc w:val="center"/>
        </w:trPr>
        <w:tc>
          <w:tcPr>
            <w:tcW w:w="2268" w:type="dxa"/>
            <w:vAlign w:val="center"/>
          </w:tcPr>
          <w:p w14:paraId="0AA2554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 xml:space="preserve">Posible </w:t>
            </w:r>
            <w:proofErr w:type="spellStart"/>
            <w:r w:rsidRPr="00DE3F60">
              <w:rPr>
                <w:rFonts w:asciiTheme="majorHAnsi" w:hAnsiTheme="majorHAnsi" w:cstheme="majorHAnsi"/>
                <w:sz w:val="17"/>
                <w:lang w:val="es-ES"/>
              </w:rPr>
              <w:t>infraclasificación</w:t>
            </w:r>
            <w:proofErr w:type="spellEnd"/>
          </w:p>
        </w:tc>
        <w:tc>
          <w:tcPr>
            <w:tcW w:w="3402" w:type="dxa"/>
            <w:vAlign w:val="center"/>
          </w:tcPr>
          <w:p w14:paraId="10AD4A9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El puesto se aproxima de forma consistente a patrones de nivel superior.</w:t>
            </w:r>
          </w:p>
        </w:tc>
        <w:tc>
          <w:tcPr>
            <w:tcW w:w="3402" w:type="dxa"/>
            <w:vAlign w:val="center"/>
          </w:tcPr>
          <w:p w14:paraId="63139AF5"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Revisar funciones, factores, equivalencias y efectos sobre puestos similares.</w:t>
            </w:r>
          </w:p>
        </w:tc>
      </w:tr>
      <w:tr w:rsidR="00103DD6" w:rsidRPr="00DE3F60" w14:paraId="08BCC956" w14:textId="77777777">
        <w:trPr>
          <w:jc w:val="center"/>
        </w:trPr>
        <w:tc>
          <w:tcPr>
            <w:tcW w:w="2268" w:type="dxa"/>
            <w:vAlign w:val="center"/>
          </w:tcPr>
          <w:p w14:paraId="04D779C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 xml:space="preserve">Posible </w:t>
            </w:r>
            <w:proofErr w:type="spellStart"/>
            <w:r w:rsidRPr="00DE3F60">
              <w:rPr>
                <w:rFonts w:asciiTheme="majorHAnsi" w:hAnsiTheme="majorHAnsi" w:cstheme="majorHAnsi"/>
                <w:sz w:val="17"/>
                <w:lang w:val="es-ES"/>
              </w:rPr>
              <w:t>sobreclasificación</w:t>
            </w:r>
            <w:proofErr w:type="spellEnd"/>
          </w:p>
        </w:tc>
        <w:tc>
          <w:tcPr>
            <w:tcW w:w="3402" w:type="dxa"/>
            <w:vAlign w:val="center"/>
          </w:tcPr>
          <w:p w14:paraId="5967739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El puesto se aproxima a patrones de nivel inferior.</w:t>
            </w:r>
          </w:p>
        </w:tc>
        <w:tc>
          <w:tcPr>
            <w:tcW w:w="3402" w:type="dxa"/>
            <w:vAlign w:val="center"/>
          </w:tcPr>
          <w:p w14:paraId="70C9CCA5"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Analizar la causa y valorar coherencia estructural, sin automatismos reductores.</w:t>
            </w:r>
          </w:p>
        </w:tc>
      </w:tr>
      <w:tr w:rsidR="00103DD6" w:rsidRPr="00DE3F60" w14:paraId="1E5829E2" w14:textId="77777777">
        <w:trPr>
          <w:jc w:val="center"/>
        </w:trPr>
        <w:tc>
          <w:tcPr>
            <w:tcW w:w="2268" w:type="dxa"/>
            <w:vAlign w:val="center"/>
          </w:tcPr>
          <w:p w14:paraId="4D84913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Resultado ambiguo</w:t>
            </w:r>
          </w:p>
        </w:tc>
        <w:tc>
          <w:tcPr>
            <w:tcW w:w="3402" w:type="dxa"/>
            <w:vAlign w:val="center"/>
          </w:tcPr>
          <w:p w14:paraId="71C4459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La similitud se reparte entre varios patrones próximos.</w:t>
            </w:r>
          </w:p>
        </w:tc>
        <w:tc>
          <w:tcPr>
            <w:tcW w:w="3402" w:type="dxa"/>
            <w:vAlign w:val="center"/>
          </w:tcPr>
          <w:p w14:paraId="11AFBFA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Aplicar revisión cualitativa y criterios de desempate.</w:t>
            </w:r>
          </w:p>
        </w:tc>
      </w:tr>
      <w:tr w:rsidR="00103DD6" w:rsidRPr="00DE3F60" w14:paraId="6FED01A2" w14:textId="77777777">
        <w:trPr>
          <w:jc w:val="center"/>
        </w:trPr>
        <w:tc>
          <w:tcPr>
            <w:tcW w:w="2268" w:type="dxa"/>
            <w:vAlign w:val="center"/>
          </w:tcPr>
          <w:p w14:paraId="374B902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Problema de patrón</w:t>
            </w:r>
          </w:p>
        </w:tc>
        <w:tc>
          <w:tcPr>
            <w:tcW w:w="3402" w:type="dxa"/>
            <w:vAlign w:val="center"/>
          </w:tcPr>
          <w:p w14:paraId="68E5115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Varios resultados incoherentes apuntan a un patrón mal definido.</w:t>
            </w:r>
          </w:p>
        </w:tc>
        <w:tc>
          <w:tcPr>
            <w:tcW w:w="3402" w:type="dxa"/>
            <w:vAlign w:val="center"/>
          </w:tcPr>
          <w:p w14:paraId="36D6F7C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Revisar el puesto patrón antes de adoptar conclusiones.</w:t>
            </w:r>
          </w:p>
        </w:tc>
      </w:tr>
    </w:tbl>
    <w:p w14:paraId="72648A5A" w14:textId="77777777" w:rsidR="00103DD6" w:rsidRPr="00DE3F60" w:rsidRDefault="00103DD6" w:rsidP="00DE3F60">
      <w:pPr>
        <w:spacing w:before="120" w:after="240" w:line="240" w:lineRule="auto"/>
        <w:jc w:val="both"/>
        <w:rPr>
          <w:rFonts w:asciiTheme="majorHAnsi" w:hAnsiTheme="majorHAnsi" w:cstheme="majorHAnsi"/>
          <w:lang w:val="es-ES"/>
        </w:rPr>
      </w:pPr>
    </w:p>
    <w:p w14:paraId="161C8B1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interpretación debe diferenciar claramente tres planos: resultado matemático, juicio técnico y decisión administrativa. Confundirlos sería metodológicamente incorrecto.</w:t>
      </w:r>
    </w:p>
    <w:p w14:paraId="6011D171" w14:textId="77777777" w:rsidR="00103DD6" w:rsidRPr="00DE3F60" w:rsidRDefault="0020195E" w:rsidP="00DE3F60">
      <w:pPr>
        <w:pStyle w:val="Ttulo1"/>
        <w:spacing w:before="120" w:after="240" w:line="240" w:lineRule="auto"/>
        <w:jc w:val="both"/>
        <w:rPr>
          <w:rFonts w:cstheme="majorHAnsi"/>
          <w:lang w:val="es-ES"/>
        </w:rPr>
      </w:pPr>
      <w:bookmarkStart w:id="28" w:name="_Toc231894291"/>
      <w:r w:rsidRPr="00DE3F60">
        <w:rPr>
          <w:rFonts w:cstheme="majorHAnsi"/>
          <w:lang w:val="es-ES"/>
        </w:rPr>
        <w:t>10. Validación de criterios</w:t>
      </w:r>
      <w:bookmarkEnd w:id="28"/>
    </w:p>
    <w:p w14:paraId="269CCA3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validación de criterios es una fase imprescindible. Antes de emitir conclusiones sobre qué puestos deberían modificar su complemento de destino, debe comprobarse que el modelo representa adecuadamente la realidad funcional.</w:t>
      </w:r>
    </w:p>
    <w:p w14:paraId="6805BA73" w14:textId="77777777" w:rsidR="00103DD6" w:rsidRPr="00DE3F60" w:rsidRDefault="0020195E" w:rsidP="00DE3F60">
      <w:pPr>
        <w:pStyle w:val="Listaconnmero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Revisión del diccionario de funciones, compuesto por 49 verbos de acción y funciones asociadas.</w:t>
      </w:r>
    </w:p>
    <w:p w14:paraId="3ECEC942" w14:textId="77777777" w:rsidR="00103DD6" w:rsidRPr="00DE3F60" w:rsidRDefault="0020195E" w:rsidP="00DE3F60">
      <w:pPr>
        <w:pStyle w:val="Listaconnmero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Revisión de la correspondencia entre verbos, funciones asociadas y factores técnicos del RD 861/1986.</w:t>
      </w:r>
    </w:p>
    <w:p w14:paraId="1E0BD001" w14:textId="77777777" w:rsidR="00103DD6" w:rsidRPr="00DE3F60" w:rsidRDefault="0020195E" w:rsidP="00DE3F60">
      <w:pPr>
        <w:pStyle w:val="Listaconnmero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Revisión de los pesos técnicos asignados.</w:t>
      </w:r>
    </w:p>
    <w:p w14:paraId="463786D6" w14:textId="77777777" w:rsidR="00103DD6" w:rsidRPr="00DE3F60" w:rsidRDefault="0020195E" w:rsidP="00DE3F60">
      <w:pPr>
        <w:pStyle w:val="Listaconnmero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Revisión de los puestos patrón y de su nivel de CD asociado.</w:t>
      </w:r>
    </w:p>
    <w:p w14:paraId="5B3C9CBA" w14:textId="77777777" w:rsidR="00103DD6" w:rsidRPr="00DE3F60" w:rsidRDefault="0020195E" w:rsidP="00DE3F60">
      <w:pPr>
        <w:pStyle w:val="Listaconnmero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Comprobación de la coherencia entre puestos funcionalmente equivalentes.</w:t>
      </w:r>
    </w:p>
    <w:p w14:paraId="3F55755F" w14:textId="77777777" w:rsidR="00103DD6" w:rsidRPr="00DE3F60" w:rsidRDefault="0020195E" w:rsidP="00DE3F60">
      <w:pPr>
        <w:pStyle w:val="Listaconnmero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Detección de puestos barrados, obsoletos o históricamente mal alineados.</w:t>
      </w:r>
    </w:p>
    <w:p w14:paraId="4C848345" w14:textId="77777777" w:rsidR="00103DD6" w:rsidRPr="00DE3F60" w:rsidRDefault="0020195E" w:rsidP="00DE3F60">
      <w:pPr>
        <w:pStyle w:val="Listaconnmero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Identificación de efectos arrastre sobre puestos similares.</w:t>
      </w:r>
    </w:p>
    <w:p w14:paraId="12ACCC08" w14:textId="77777777" w:rsidR="00103DD6" w:rsidRPr="00DE3F60" w:rsidRDefault="0020195E" w:rsidP="00DE3F60">
      <w:pPr>
        <w:pStyle w:val="Listaconnmero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Comprobación de intervalos legales por grupo/subgrupo.</w:t>
      </w:r>
    </w:p>
    <w:p w14:paraId="0A1BF9D8" w14:textId="77777777" w:rsidR="00103DD6" w:rsidRPr="00DE3F60" w:rsidRDefault="0020195E" w:rsidP="00DE3F60">
      <w:pPr>
        <w:pStyle w:val="Listaconnmero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Valoración del impacto organizativo, jurídico y presupuestario de las eventuales propuestas.</w:t>
      </w:r>
    </w:p>
    <w:p w14:paraId="6E4C8A0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validación no debe orientarse a que el modelo produzca un resultado deseado, sino a comprobar que los criterios son correctos. Si se cambian criterios, el cambio debe documentarse y aplicarse de forma general a todos los puestos afectados por el mismo supuesto.</w:t>
      </w:r>
    </w:p>
    <w:p w14:paraId="09579E4A" w14:textId="77777777" w:rsidR="00103DD6" w:rsidRPr="00DE3F60" w:rsidRDefault="0020195E" w:rsidP="00DE3F60">
      <w:pPr>
        <w:pStyle w:val="Ttulo1"/>
        <w:spacing w:before="120" w:after="240" w:line="240" w:lineRule="auto"/>
        <w:jc w:val="both"/>
        <w:rPr>
          <w:rFonts w:cstheme="majorHAnsi"/>
          <w:lang w:val="es-ES"/>
        </w:rPr>
      </w:pPr>
      <w:bookmarkStart w:id="29" w:name="_Toc231894292"/>
      <w:r w:rsidRPr="00DE3F60">
        <w:rPr>
          <w:rFonts w:cstheme="majorHAnsi"/>
          <w:lang w:val="es-ES"/>
        </w:rPr>
        <w:t>11. Uso de la herramienta en el procedimiento administrativo</w:t>
      </w:r>
      <w:bookmarkEnd w:id="29"/>
    </w:p>
    <w:p w14:paraId="0160207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herramienta es un instrumento técnico de apoyo. Sus resultados pueden incorporarse al expediente como elemento de motivación, pero no sustituyen la tramitación administrativa que corresponda.</w:t>
      </w:r>
    </w:p>
    <w:p w14:paraId="5FCAA68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Una eventual modificación del nivel de complemento de destino deberá articularse, en su caso, mediante modificación de la Relación de Puestos de Trabajo, con los informes técnicos, jurídicos, económicos y organizativos que resulten exigibles, así como con la aprobación por el órgano competente.</w:t>
      </w:r>
    </w:p>
    <w:p w14:paraId="7C62C04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El resultado de la herramienta puede servir para justificar técnicamente una propuesta, pero no convierte dicha propuesta en automática. La decisión administrativa requiere motivación, competencia, procedimiento y control de legalidad.</w:t>
      </w:r>
    </w:p>
    <w:p w14:paraId="7377ADDF" w14:textId="77777777" w:rsidR="00103DD6" w:rsidRPr="00DE3F60" w:rsidRDefault="0020195E" w:rsidP="00DE3F60">
      <w:pPr>
        <w:pStyle w:val="Ttulo1"/>
        <w:spacing w:before="120" w:after="240" w:line="240" w:lineRule="auto"/>
        <w:jc w:val="both"/>
        <w:rPr>
          <w:rFonts w:cstheme="majorHAnsi"/>
          <w:lang w:val="es-ES"/>
        </w:rPr>
      </w:pPr>
      <w:bookmarkStart w:id="30" w:name="_Toc231894293"/>
      <w:r w:rsidRPr="00DE3F60">
        <w:rPr>
          <w:rFonts w:cstheme="majorHAnsi"/>
          <w:lang w:val="es-ES"/>
        </w:rPr>
        <w:t>12. Límites y garantías</w:t>
      </w:r>
      <w:bookmarkEnd w:id="3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5669"/>
      </w:tblGrid>
      <w:tr w:rsidR="00103DD6" w:rsidRPr="00DE3F60" w14:paraId="5F049945" w14:textId="77777777">
        <w:trPr>
          <w:jc w:val="center"/>
        </w:trPr>
        <w:tc>
          <w:tcPr>
            <w:tcW w:w="2835" w:type="dxa"/>
            <w:shd w:val="clear" w:color="auto" w:fill="1F4E79"/>
            <w:vAlign w:val="center"/>
          </w:tcPr>
          <w:p w14:paraId="51563FD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Límite o garantía</w:t>
            </w:r>
          </w:p>
        </w:tc>
        <w:tc>
          <w:tcPr>
            <w:tcW w:w="5669" w:type="dxa"/>
            <w:shd w:val="clear" w:color="auto" w:fill="1F4E79"/>
            <w:vAlign w:val="center"/>
          </w:tcPr>
          <w:p w14:paraId="74DD0B3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Contenido</w:t>
            </w:r>
          </w:p>
        </w:tc>
      </w:tr>
      <w:tr w:rsidR="00103DD6" w:rsidRPr="00DE3F60" w14:paraId="78292EB7" w14:textId="77777777">
        <w:trPr>
          <w:jc w:val="center"/>
        </w:trPr>
        <w:tc>
          <w:tcPr>
            <w:tcW w:w="2835" w:type="dxa"/>
            <w:vAlign w:val="center"/>
          </w:tcPr>
          <w:p w14:paraId="4E78C6C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No automatismo</w:t>
            </w:r>
          </w:p>
        </w:tc>
        <w:tc>
          <w:tcPr>
            <w:tcW w:w="5669" w:type="dxa"/>
            <w:vAlign w:val="center"/>
          </w:tcPr>
          <w:p w14:paraId="0A6FA568"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La herramienta no decide ni modifica la RPT.</w:t>
            </w:r>
          </w:p>
        </w:tc>
      </w:tr>
      <w:tr w:rsidR="00103DD6" w:rsidRPr="00DE3F60" w14:paraId="04FCAFAB" w14:textId="77777777">
        <w:trPr>
          <w:jc w:val="center"/>
        </w:trPr>
        <w:tc>
          <w:tcPr>
            <w:tcW w:w="2835" w:type="dxa"/>
            <w:vAlign w:val="center"/>
          </w:tcPr>
          <w:p w14:paraId="5EF21B9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No personalización</w:t>
            </w:r>
          </w:p>
        </w:tc>
        <w:tc>
          <w:tcPr>
            <w:tcW w:w="5669" w:type="dxa"/>
            <w:vAlign w:val="center"/>
          </w:tcPr>
          <w:p w14:paraId="0918518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El análisis se refiere al puesto, no a la persona ocupante.</w:t>
            </w:r>
          </w:p>
        </w:tc>
      </w:tr>
      <w:tr w:rsidR="00103DD6" w:rsidRPr="00DE3F60" w14:paraId="38FDC0E8" w14:textId="77777777">
        <w:trPr>
          <w:jc w:val="center"/>
        </w:trPr>
        <w:tc>
          <w:tcPr>
            <w:tcW w:w="2835" w:type="dxa"/>
            <w:vAlign w:val="center"/>
          </w:tcPr>
          <w:p w14:paraId="6CEBDDC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No resultado predeterminado</w:t>
            </w:r>
          </w:p>
        </w:tc>
        <w:tc>
          <w:tcPr>
            <w:tcW w:w="5669" w:type="dxa"/>
            <w:vAlign w:val="center"/>
          </w:tcPr>
          <w:p w14:paraId="2FA71C8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No deben alterarse parámetros para que coincidan con una conclusión previa.</w:t>
            </w:r>
          </w:p>
        </w:tc>
      </w:tr>
      <w:tr w:rsidR="00103DD6" w:rsidRPr="00DE3F60" w14:paraId="26F3F5C4" w14:textId="77777777">
        <w:trPr>
          <w:jc w:val="center"/>
        </w:trPr>
        <w:tc>
          <w:tcPr>
            <w:tcW w:w="2835" w:type="dxa"/>
            <w:vAlign w:val="center"/>
          </w:tcPr>
          <w:p w14:paraId="79DE4CA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Aplicación general</w:t>
            </w:r>
          </w:p>
        </w:tc>
        <w:tc>
          <w:tcPr>
            <w:tcW w:w="5669" w:type="dxa"/>
            <w:vAlign w:val="center"/>
          </w:tcPr>
          <w:p w14:paraId="602FDB1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Los criterios modificados se aplican a todos los puestos equivalentes.</w:t>
            </w:r>
          </w:p>
        </w:tc>
      </w:tr>
      <w:tr w:rsidR="00103DD6" w:rsidRPr="00DE3F60" w14:paraId="73A346C7" w14:textId="77777777">
        <w:trPr>
          <w:jc w:val="center"/>
        </w:trPr>
        <w:tc>
          <w:tcPr>
            <w:tcW w:w="2835" w:type="dxa"/>
            <w:vAlign w:val="center"/>
          </w:tcPr>
          <w:p w14:paraId="78282AD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Control jurídico</w:t>
            </w:r>
          </w:p>
        </w:tc>
        <w:tc>
          <w:tcPr>
            <w:tcW w:w="5669" w:type="dxa"/>
            <w:vAlign w:val="center"/>
          </w:tcPr>
          <w:p w14:paraId="380003E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Toda recomendación debe respetar los intervalos legales y el procedimiento aplicable.</w:t>
            </w:r>
          </w:p>
        </w:tc>
      </w:tr>
      <w:tr w:rsidR="00103DD6" w:rsidRPr="00DE3F60" w14:paraId="7DEEC71F" w14:textId="77777777">
        <w:trPr>
          <w:jc w:val="center"/>
        </w:trPr>
        <w:tc>
          <w:tcPr>
            <w:tcW w:w="2835" w:type="dxa"/>
            <w:vAlign w:val="center"/>
          </w:tcPr>
          <w:p w14:paraId="59DF3C8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Control organizativo</w:t>
            </w:r>
          </w:p>
        </w:tc>
        <w:tc>
          <w:tcPr>
            <w:tcW w:w="5669" w:type="dxa"/>
            <w:vAlign w:val="center"/>
          </w:tcPr>
          <w:p w14:paraId="6421C0D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Debe verificarse el impacto sobre la estructura general de puestos.</w:t>
            </w:r>
          </w:p>
        </w:tc>
      </w:tr>
      <w:tr w:rsidR="00103DD6" w:rsidRPr="00DE3F60" w14:paraId="29D2A326" w14:textId="77777777">
        <w:trPr>
          <w:jc w:val="center"/>
        </w:trPr>
        <w:tc>
          <w:tcPr>
            <w:tcW w:w="2835" w:type="dxa"/>
            <w:vAlign w:val="center"/>
          </w:tcPr>
          <w:p w14:paraId="4C59EF1D"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Control presupuestario</w:t>
            </w:r>
          </w:p>
        </w:tc>
        <w:tc>
          <w:tcPr>
            <w:tcW w:w="5669" w:type="dxa"/>
            <w:vAlign w:val="center"/>
          </w:tcPr>
          <w:p w14:paraId="3137194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Las modificaciones con efecto económico requieren valoración presupuestaria.</w:t>
            </w:r>
          </w:p>
        </w:tc>
      </w:tr>
      <w:tr w:rsidR="00103DD6" w:rsidRPr="00DE3F60" w14:paraId="30891A3A" w14:textId="77777777">
        <w:trPr>
          <w:jc w:val="center"/>
        </w:trPr>
        <w:tc>
          <w:tcPr>
            <w:tcW w:w="2835" w:type="dxa"/>
            <w:vAlign w:val="center"/>
          </w:tcPr>
          <w:p w14:paraId="10C9AC2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Trazabilidad</w:t>
            </w:r>
          </w:p>
        </w:tc>
        <w:tc>
          <w:tcPr>
            <w:tcW w:w="5669" w:type="dxa"/>
            <w:vAlign w:val="center"/>
          </w:tcPr>
          <w:p w14:paraId="23DEAC6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Debe conservarse la conexión entre datos de entrada, cálculo y resultado.</w:t>
            </w:r>
          </w:p>
        </w:tc>
      </w:tr>
    </w:tbl>
    <w:p w14:paraId="0270E74B" w14:textId="77777777" w:rsidR="00350B48" w:rsidRPr="00DE3F60" w:rsidRDefault="00350B48" w:rsidP="00DE3F60">
      <w:pPr>
        <w:spacing w:before="120" w:after="240" w:line="240" w:lineRule="auto"/>
        <w:jc w:val="both"/>
        <w:rPr>
          <w:rFonts w:asciiTheme="majorHAnsi" w:hAnsiTheme="majorHAnsi" w:cstheme="majorHAnsi"/>
          <w:lang w:val="es-ES"/>
        </w:rPr>
      </w:pPr>
    </w:p>
    <w:p w14:paraId="5D0037B4" w14:textId="77777777" w:rsidR="00103DD6" w:rsidRPr="00DE3F60" w:rsidRDefault="0020195E" w:rsidP="00DE3F60">
      <w:pPr>
        <w:pStyle w:val="Ttulo1"/>
        <w:spacing w:before="120" w:after="240" w:line="240" w:lineRule="auto"/>
        <w:jc w:val="both"/>
        <w:rPr>
          <w:rFonts w:cstheme="majorHAnsi"/>
          <w:lang w:val="es-ES"/>
        </w:rPr>
      </w:pPr>
      <w:bookmarkStart w:id="31" w:name="_Toc231894294"/>
      <w:r w:rsidRPr="00DE3F60">
        <w:rPr>
          <w:rFonts w:cstheme="majorHAnsi"/>
          <w:lang w:val="es-ES"/>
        </w:rPr>
        <w:t>13. Fases operativas recomendadas</w:t>
      </w:r>
      <w:bookmarkEnd w:id="3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34"/>
        <w:gridCol w:w="2835"/>
        <w:gridCol w:w="5102"/>
      </w:tblGrid>
      <w:tr w:rsidR="00103DD6" w:rsidRPr="00DE3F60" w14:paraId="52ABFAB7" w14:textId="77777777">
        <w:trPr>
          <w:jc w:val="center"/>
        </w:trPr>
        <w:tc>
          <w:tcPr>
            <w:tcW w:w="1134" w:type="dxa"/>
            <w:shd w:val="clear" w:color="auto" w:fill="1F4E79"/>
            <w:vAlign w:val="center"/>
          </w:tcPr>
          <w:p w14:paraId="6C65EBD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Fase</w:t>
            </w:r>
          </w:p>
        </w:tc>
        <w:tc>
          <w:tcPr>
            <w:tcW w:w="2835" w:type="dxa"/>
            <w:shd w:val="clear" w:color="auto" w:fill="1F4E79"/>
            <w:vAlign w:val="center"/>
          </w:tcPr>
          <w:p w14:paraId="1D14EC0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Denominación</w:t>
            </w:r>
          </w:p>
        </w:tc>
        <w:tc>
          <w:tcPr>
            <w:tcW w:w="5102" w:type="dxa"/>
            <w:shd w:val="clear" w:color="auto" w:fill="1F4E79"/>
            <w:vAlign w:val="center"/>
          </w:tcPr>
          <w:p w14:paraId="46AF6B1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Contenido</w:t>
            </w:r>
          </w:p>
        </w:tc>
      </w:tr>
      <w:tr w:rsidR="00103DD6" w:rsidRPr="00DE3F60" w14:paraId="530460C7" w14:textId="77777777">
        <w:trPr>
          <w:jc w:val="center"/>
        </w:trPr>
        <w:tc>
          <w:tcPr>
            <w:tcW w:w="1134" w:type="dxa"/>
            <w:vAlign w:val="center"/>
          </w:tcPr>
          <w:p w14:paraId="2ABE228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w:t>
            </w:r>
          </w:p>
        </w:tc>
        <w:tc>
          <w:tcPr>
            <w:tcW w:w="2835" w:type="dxa"/>
            <w:vAlign w:val="center"/>
          </w:tcPr>
          <w:p w14:paraId="5B3EC1D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Presentación del modelo</w:t>
            </w:r>
          </w:p>
        </w:tc>
        <w:tc>
          <w:tcPr>
            <w:tcW w:w="5102" w:type="dxa"/>
            <w:vAlign w:val="center"/>
          </w:tcPr>
          <w:p w14:paraId="11A0706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Exposición del fundamento conceptual, jurídico y técnico-matemático de la herramienta.</w:t>
            </w:r>
          </w:p>
        </w:tc>
      </w:tr>
      <w:tr w:rsidR="00103DD6" w:rsidRPr="00DE3F60" w14:paraId="305D57AD" w14:textId="77777777">
        <w:trPr>
          <w:jc w:val="center"/>
        </w:trPr>
        <w:tc>
          <w:tcPr>
            <w:tcW w:w="1134" w:type="dxa"/>
            <w:vAlign w:val="center"/>
          </w:tcPr>
          <w:p w14:paraId="6A0191D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w:t>
            </w:r>
          </w:p>
        </w:tc>
        <w:tc>
          <w:tcPr>
            <w:tcW w:w="2835" w:type="dxa"/>
            <w:vAlign w:val="center"/>
          </w:tcPr>
          <w:p w14:paraId="59443C3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Validación de criterios</w:t>
            </w:r>
          </w:p>
        </w:tc>
        <w:tc>
          <w:tcPr>
            <w:tcW w:w="5102" w:type="dxa"/>
            <w:vAlign w:val="center"/>
          </w:tcPr>
          <w:p w14:paraId="29C61D4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Revisión de verbos, factores, pesos, puestos patrón e intervalos legales.</w:t>
            </w:r>
          </w:p>
        </w:tc>
      </w:tr>
      <w:tr w:rsidR="00103DD6" w:rsidRPr="00DE3F60" w14:paraId="51F6805A" w14:textId="77777777">
        <w:trPr>
          <w:jc w:val="center"/>
        </w:trPr>
        <w:tc>
          <w:tcPr>
            <w:tcW w:w="1134" w:type="dxa"/>
            <w:vAlign w:val="center"/>
          </w:tcPr>
          <w:p w14:paraId="07F9548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3</w:t>
            </w:r>
          </w:p>
        </w:tc>
        <w:tc>
          <w:tcPr>
            <w:tcW w:w="2835" w:type="dxa"/>
            <w:vAlign w:val="center"/>
          </w:tcPr>
          <w:p w14:paraId="032B856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Análisis de coherencia interna</w:t>
            </w:r>
          </w:p>
        </w:tc>
        <w:tc>
          <w:tcPr>
            <w:tcW w:w="5102" w:type="dxa"/>
            <w:vAlign w:val="center"/>
          </w:tcPr>
          <w:p w14:paraId="37A8634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Aplicación al conjunto de puestos para detectar desviaciones, equivalencias y efectos arrastre.</w:t>
            </w:r>
          </w:p>
        </w:tc>
      </w:tr>
      <w:tr w:rsidR="00103DD6" w:rsidRPr="00DE3F60" w14:paraId="584AAC7F" w14:textId="77777777">
        <w:trPr>
          <w:jc w:val="center"/>
        </w:trPr>
        <w:tc>
          <w:tcPr>
            <w:tcW w:w="1134" w:type="dxa"/>
            <w:vAlign w:val="center"/>
          </w:tcPr>
          <w:p w14:paraId="78A6E57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4</w:t>
            </w:r>
          </w:p>
        </w:tc>
        <w:tc>
          <w:tcPr>
            <w:tcW w:w="2835" w:type="dxa"/>
            <w:vAlign w:val="center"/>
          </w:tcPr>
          <w:p w14:paraId="35BD1DB5"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Revisión cualitativa</w:t>
            </w:r>
          </w:p>
        </w:tc>
        <w:tc>
          <w:tcPr>
            <w:tcW w:w="5102" w:type="dxa"/>
            <w:vAlign w:val="center"/>
          </w:tcPr>
          <w:p w14:paraId="332973C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Análisis técnico de los puestos con desviaciones relevantes o resultados ambiguos.</w:t>
            </w:r>
          </w:p>
        </w:tc>
      </w:tr>
      <w:tr w:rsidR="00103DD6" w:rsidRPr="00DE3F60" w14:paraId="12E9BC53" w14:textId="77777777">
        <w:trPr>
          <w:jc w:val="center"/>
        </w:trPr>
        <w:tc>
          <w:tcPr>
            <w:tcW w:w="1134" w:type="dxa"/>
            <w:vAlign w:val="center"/>
          </w:tcPr>
          <w:p w14:paraId="43C867DE"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5</w:t>
            </w:r>
          </w:p>
        </w:tc>
        <w:tc>
          <w:tcPr>
            <w:tcW w:w="2835" w:type="dxa"/>
            <w:vAlign w:val="center"/>
          </w:tcPr>
          <w:p w14:paraId="7A45806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Informe técnico de resultados</w:t>
            </w:r>
          </w:p>
        </w:tc>
        <w:tc>
          <w:tcPr>
            <w:tcW w:w="5102" w:type="dxa"/>
            <w:vAlign w:val="center"/>
          </w:tcPr>
          <w:p w14:paraId="575C81B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Formulación de conclusiones, motivación y, en su caso, propuestas.</w:t>
            </w:r>
          </w:p>
        </w:tc>
      </w:tr>
      <w:tr w:rsidR="00103DD6" w:rsidRPr="00DE3F60" w14:paraId="00160A23" w14:textId="77777777">
        <w:trPr>
          <w:jc w:val="center"/>
        </w:trPr>
        <w:tc>
          <w:tcPr>
            <w:tcW w:w="1134" w:type="dxa"/>
            <w:vAlign w:val="center"/>
          </w:tcPr>
          <w:p w14:paraId="2BEA8A6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6</w:t>
            </w:r>
          </w:p>
        </w:tc>
        <w:tc>
          <w:tcPr>
            <w:tcW w:w="2835" w:type="dxa"/>
            <w:vAlign w:val="center"/>
          </w:tcPr>
          <w:p w14:paraId="5FCB76FD"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Tramitación administrativa</w:t>
            </w:r>
          </w:p>
        </w:tc>
        <w:tc>
          <w:tcPr>
            <w:tcW w:w="5102" w:type="dxa"/>
            <w:vAlign w:val="center"/>
          </w:tcPr>
          <w:p w14:paraId="1BA0BA41"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Incorporación al expediente de modificación de RPT si procede.</w:t>
            </w:r>
          </w:p>
        </w:tc>
      </w:tr>
    </w:tbl>
    <w:p w14:paraId="688F8EDE" w14:textId="77777777" w:rsidR="00103DD6" w:rsidRPr="00DE3F60" w:rsidRDefault="00103DD6" w:rsidP="00DE3F60">
      <w:pPr>
        <w:spacing w:before="120" w:after="240" w:line="240" w:lineRule="auto"/>
        <w:jc w:val="both"/>
        <w:rPr>
          <w:rFonts w:asciiTheme="majorHAnsi" w:hAnsiTheme="majorHAnsi" w:cstheme="majorHAnsi"/>
          <w:lang w:val="es-ES"/>
        </w:rPr>
      </w:pPr>
    </w:p>
    <w:p w14:paraId="6668D6A7" w14:textId="77777777" w:rsidR="00103DD6" w:rsidRPr="00DE3F60" w:rsidRDefault="0020195E" w:rsidP="00DE3F60">
      <w:pPr>
        <w:pStyle w:val="Ttulo1"/>
        <w:spacing w:before="120" w:after="240" w:line="240" w:lineRule="auto"/>
        <w:jc w:val="both"/>
        <w:rPr>
          <w:rFonts w:cstheme="majorHAnsi"/>
          <w:lang w:val="es-ES"/>
        </w:rPr>
      </w:pPr>
      <w:bookmarkStart w:id="32" w:name="_Toc231894295"/>
      <w:r w:rsidRPr="00DE3F60">
        <w:rPr>
          <w:rFonts w:cstheme="majorHAnsi"/>
          <w:lang w:val="es-ES"/>
        </w:rPr>
        <w:t>14. Conclusión</w:t>
      </w:r>
      <w:bookmarkEnd w:id="32"/>
    </w:p>
    <w:p w14:paraId="5EFFC3B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herramienta de evaluación técnica permite representar de forma estructurada el contenido funcional de los puestos y compararlo con puestos patrón previamente definidos. Su valor reside en ordenar el análisis, hacerlo transparente y reducir el riesgo de decisiones arbitrarias o inconexas.</w:t>
      </w:r>
    </w:p>
    <w:p w14:paraId="150552A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La parte crítica del modelo no es únicamente el cálculo de similitud de coseno, sino todo lo que ocurre antes: la definición del diccionario de funciones, la selección de verbos de acción, la formulación de funciones asociadas, la asignación de pesos, la construcción de los dos subespacios vectoriales y la configuración de los puestos patrón.</w:t>
      </w:r>
    </w:p>
    <w:p w14:paraId="083F8E9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Por ello, cualquier resultado debe entenderse como una recomendación técnica sometida a validación. La modificación del complemento de destino solo será defendible cuando se apoye en criterios objetivos, homogéneos, trazables y compatibles con el marco jurídico aplicable.</w:t>
      </w:r>
    </w:p>
    <w:p w14:paraId="094E98E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br w:type="page"/>
      </w:r>
    </w:p>
    <w:p w14:paraId="274D2339" w14:textId="77777777" w:rsidR="00103DD6" w:rsidRPr="00DE3F60" w:rsidRDefault="0020195E" w:rsidP="00DE3F60">
      <w:pPr>
        <w:pStyle w:val="Ttulo1"/>
        <w:spacing w:before="120" w:after="240" w:line="240" w:lineRule="auto"/>
        <w:jc w:val="both"/>
        <w:rPr>
          <w:rFonts w:cstheme="majorHAnsi"/>
          <w:lang w:val="es-ES"/>
        </w:rPr>
      </w:pPr>
      <w:bookmarkStart w:id="33" w:name="_Toc231894296"/>
      <w:r w:rsidRPr="00DE3F60">
        <w:rPr>
          <w:rFonts w:cstheme="majorHAnsi"/>
          <w:lang w:val="es-ES"/>
        </w:rPr>
        <w:t>Anexo I. Esquema sintético de cálculo</w:t>
      </w:r>
      <w:bookmarkEnd w:id="3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26"/>
        <w:gridCol w:w="4394"/>
        <w:gridCol w:w="4042"/>
      </w:tblGrid>
      <w:tr w:rsidR="00103DD6" w:rsidRPr="00DE3F60" w14:paraId="001745B5" w14:textId="77777777" w:rsidTr="00350B48">
        <w:trPr>
          <w:jc w:val="center"/>
        </w:trPr>
        <w:tc>
          <w:tcPr>
            <w:tcW w:w="1526" w:type="dxa"/>
            <w:shd w:val="clear" w:color="auto" w:fill="1F4E79"/>
            <w:vAlign w:val="center"/>
          </w:tcPr>
          <w:p w14:paraId="554D0FDB" w14:textId="77777777" w:rsidR="00103DD6" w:rsidRPr="00350B48" w:rsidRDefault="0020195E" w:rsidP="00DE3F60">
            <w:pPr>
              <w:spacing w:before="120" w:after="240" w:line="240" w:lineRule="auto"/>
              <w:jc w:val="both"/>
              <w:rPr>
                <w:rFonts w:asciiTheme="majorHAnsi" w:hAnsiTheme="majorHAnsi" w:cstheme="majorHAnsi"/>
                <w:color w:val="F2F2F2" w:themeColor="background1" w:themeShade="F2"/>
                <w:lang w:val="es-ES"/>
              </w:rPr>
            </w:pPr>
            <w:r w:rsidRPr="00350B48">
              <w:rPr>
                <w:rFonts w:asciiTheme="majorHAnsi" w:hAnsiTheme="majorHAnsi" w:cstheme="majorHAnsi"/>
                <w:color w:val="F2F2F2" w:themeColor="background1" w:themeShade="F2"/>
                <w:lang w:val="es-ES"/>
              </w:rPr>
              <w:t>Paso</w:t>
            </w:r>
          </w:p>
        </w:tc>
        <w:tc>
          <w:tcPr>
            <w:tcW w:w="4394" w:type="dxa"/>
            <w:shd w:val="clear" w:color="auto" w:fill="1F4E79"/>
            <w:vAlign w:val="center"/>
          </w:tcPr>
          <w:p w14:paraId="08662FB6" w14:textId="77777777" w:rsidR="00103DD6" w:rsidRPr="00350B48" w:rsidRDefault="0020195E" w:rsidP="00DE3F60">
            <w:pPr>
              <w:spacing w:before="120" w:after="240" w:line="240" w:lineRule="auto"/>
              <w:jc w:val="both"/>
              <w:rPr>
                <w:rFonts w:asciiTheme="majorHAnsi" w:hAnsiTheme="majorHAnsi" w:cstheme="majorHAnsi"/>
                <w:color w:val="F2F2F2" w:themeColor="background1" w:themeShade="F2"/>
                <w:lang w:val="es-ES"/>
              </w:rPr>
            </w:pPr>
            <w:r w:rsidRPr="00350B48">
              <w:rPr>
                <w:rFonts w:asciiTheme="majorHAnsi" w:hAnsiTheme="majorHAnsi" w:cstheme="majorHAnsi"/>
                <w:color w:val="F2F2F2" w:themeColor="background1" w:themeShade="F2"/>
                <w:lang w:val="es-ES"/>
              </w:rPr>
              <w:t>Operación</w:t>
            </w:r>
          </w:p>
        </w:tc>
        <w:tc>
          <w:tcPr>
            <w:tcW w:w="4042" w:type="dxa"/>
            <w:shd w:val="clear" w:color="auto" w:fill="1F4E79"/>
            <w:vAlign w:val="center"/>
          </w:tcPr>
          <w:p w14:paraId="534102DA" w14:textId="77777777" w:rsidR="00103DD6" w:rsidRPr="00350B48" w:rsidRDefault="0020195E" w:rsidP="00DE3F60">
            <w:pPr>
              <w:spacing w:before="120" w:after="240" w:line="240" w:lineRule="auto"/>
              <w:jc w:val="both"/>
              <w:rPr>
                <w:rFonts w:asciiTheme="majorHAnsi" w:hAnsiTheme="majorHAnsi" w:cstheme="majorHAnsi"/>
                <w:color w:val="F2F2F2" w:themeColor="background1" w:themeShade="F2"/>
                <w:lang w:val="es-ES"/>
              </w:rPr>
            </w:pPr>
            <w:r w:rsidRPr="00350B48">
              <w:rPr>
                <w:rFonts w:asciiTheme="majorHAnsi" w:hAnsiTheme="majorHAnsi" w:cstheme="majorHAnsi"/>
                <w:color w:val="F2F2F2" w:themeColor="background1" w:themeShade="F2"/>
                <w:lang w:val="es-ES"/>
              </w:rPr>
              <w:t>Resultado</w:t>
            </w:r>
          </w:p>
        </w:tc>
      </w:tr>
      <w:tr w:rsidR="00103DD6" w:rsidRPr="00DE3F60" w14:paraId="1B42244D" w14:textId="77777777" w:rsidTr="00350B48">
        <w:trPr>
          <w:jc w:val="center"/>
        </w:trPr>
        <w:tc>
          <w:tcPr>
            <w:tcW w:w="1526" w:type="dxa"/>
            <w:vAlign w:val="center"/>
          </w:tcPr>
          <w:p w14:paraId="17D9E26F"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1</w:t>
            </w:r>
          </w:p>
        </w:tc>
        <w:tc>
          <w:tcPr>
            <w:tcW w:w="4394" w:type="dxa"/>
            <w:vAlign w:val="center"/>
          </w:tcPr>
          <w:p w14:paraId="1CD08037"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Identificar el puesto de trabajo y sus restricciones jurídicas.</w:t>
            </w:r>
          </w:p>
        </w:tc>
        <w:tc>
          <w:tcPr>
            <w:tcW w:w="4042" w:type="dxa"/>
            <w:vAlign w:val="center"/>
          </w:tcPr>
          <w:p w14:paraId="05D36E7B"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Objeto de análisis delimitado.</w:t>
            </w:r>
          </w:p>
        </w:tc>
      </w:tr>
      <w:tr w:rsidR="00103DD6" w:rsidRPr="00DE3F60" w14:paraId="1C6AD0F3" w14:textId="77777777" w:rsidTr="00350B48">
        <w:trPr>
          <w:jc w:val="center"/>
        </w:trPr>
        <w:tc>
          <w:tcPr>
            <w:tcW w:w="1526" w:type="dxa"/>
            <w:vAlign w:val="center"/>
          </w:tcPr>
          <w:p w14:paraId="5377599D"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2</w:t>
            </w:r>
          </w:p>
        </w:tc>
        <w:tc>
          <w:tcPr>
            <w:tcW w:w="4394" w:type="dxa"/>
            <w:vAlign w:val="center"/>
          </w:tcPr>
          <w:p w14:paraId="24B5CC5B"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Aplicar el diccionario de funciones compuesto por 49 verbos de acción.</w:t>
            </w:r>
          </w:p>
        </w:tc>
        <w:tc>
          <w:tcPr>
            <w:tcW w:w="4042" w:type="dxa"/>
            <w:vAlign w:val="center"/>
          </w:tcPr>
          <w:p w14:paraId="6D6D7D3F"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Verbos aplicables al puesto.</w:t>
            </w:r>
          </w:p>
        </w:tc>
      </w:tr>
      <w:tr w:rsidR="00103DD6" w:rsidRPr="00DE3F60" w14:paraId="225549AA" w14:textId="77777777" w:rsidTr="00350B48">
        <w:trPr>
          <w:jc w:val="center"/>
        </w:trPr>
        <w:tc>
          <w:tcPr>
            <w:tcW w:w="1526" w:type="dxa"/>
            <w:vAlign w:val="center"/>
          </w:tcPr>
          <w:p w14:paraId="48DEC5E1"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3</w:t>
            </w:r>
          </w:p>
        </w:tc>
        <w:tc>
          <w:tcPr>
            <w:tcW w:w="4394" w:type="dxa"/>
            <w:vAlign w:val="center"/>
          </w:tcPr>
          <w:p w14:paraId="255A2D25"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Definir o validar las funciones asociadas a los verbos seleccionados.</w:t>
            </w:r>
          </w:p>
        </w:tc>
        <w:tc>
          <w:tcPr>
            <w:tcW w:w="4042" w:type="dxa"/>
            <w:vAlign w:val="center"/>
          </w:tcPr>
          <w:p w14:paraId="0F82A735"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Responsabilidades funcionales comparables.</w:t>
            </w:r>
          </w:p>
        </w:tc>
      </w:tr>
      <w:tr w:rsidR="00103DD6" w:rsidRPr="00DE3F60" w14:paraId="3F0A7E7A" w14:textId="77777777" w:rsidTr="00350B48">
        <w:trPr>
          <w:jc w:val="center"/>
        </w:trPr>
        <w:tc>
          <w:tcPr>
            <w:tcW w:w="1526" w:type="dxa"/>
            <w:vAlign w:val="center"/>
          </w:tcPr>
          <w:p w14:paraId="3CF7B515"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4</w:t>
            </w:r>
          </w:p>
        </w:tc>
        <w:tc>
          <w:tcPr>
            <w:tcW w:w="4394" w:type="dxa"/>
            <w:vAlign w:val="center"/>
          </w:tcPr>
          <w:p w14:paraId="05EAB48F"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Identificar factores técnicos derivados del RD 861/1986.</w:t>
            </w:r>
          </w:p>
        </w:tc>
        <w:tc>
          <w:tcPr>
            <w:tcW w:w="4042" w:type="dxa"/>
            <w:vAlign w:val="center"/>
          </w:tcPr>
          <w:p w14:paraId="181D81D5"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Especialización, responsabilidad, competencia, mando y complejidad.</w:t>
            </w:r>
          </w:p>
        </w:tc>
      </w:tr>
      <w:tr w:rsidR="00103DD6" w:rsidRPr="00DE3F60" w14:paraId="2895FB68" w14:textId="77777777" w:rsidTr="00350B48">
        <w:trPr>
          <w:jc w:val="center"/>
        </w:trPr>
        <w:tc>
          <w:tcPr>
            <w:tcW w:w="1526" w:type="dxa"/>
            <w:vAlign w:val="center"/>
          </w:tcPr>
          <w:p w14:paraId="10A2EDB5"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5</w:t>
            </w:r>
          </w:p>
        </w:tc>
        <w:tc>
          <w:tcPr>
            <w:tcW w:w="4394" w:type="dxa"/>
            <w:vAlign w:val="center"/>
          </w:tcPr>
          <w:p w14:paraId="5585F4FF"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Codificar presencia o intensidad.</w:t>
            </w:r>
          </w:p>
        </w:tc>
        <w:tc>
          <w:tcPr>
            <w:tcW w:w="4042" w:type="dxa"/>
            <w:vAlign w:val="center"/>
          </w:tcPr>
          <w:p w14:paraId="0F14B5FA"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Valores x</w:t>
            </w:r>
            <w:r w:rsidRPr="00350B48">
              <w:rPr>
                <w:rFonts w:asciiTheme="majorHAnsi" w:hAnsiTheme="majorHAnsi" w:cstheme="majorHAnsi"/>
                <w:sz w:val="20"/>
                <w:szCs w:val="20"/>
                <w:lang w:val="es-ES"/>
              </w:rPr>
              <w:t>ᵢ</w:t>
            </w:r>
            <w:r w:rsidRPr="00350B48">
              <w:rPr>
                <w:rFonts w:asciiTheme="majorHAnsi" w:hAnsiTheme="majorHAnsi" w:cstheme="majorHAnsi"/>
                <w:sz w:val="20"/>
                <w:szCs w:val="20"/>
                <w:lang w:val="es-ES"/>
              </w:rPr>
              <w:t>.</w:t>
            </w:r>
          </w:p>
        </w:tc>
      </w:tr>
      <w:tr w:rsidR="00103DD6" w:rsidRPr="00DE3F60" w14:paraId="54F9DC14" w14:textId="77777777" w:rsidTr="00350B48">
        <w:trPr>
          <w:jc w:val="center"/>
        </w:trPr>
        <w:tc>
          <w:tcPr>
            <w:tcW w:w="1526" w:type="dxa"/>
            <w:vAlign w:val="center"/>
          </w:tcPr>
          <w:p w14:paraId="1CDA987B"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6</w:t>
            </w:r>
          </w:p>
        </w:tc>
        <w:tc>
          <w:tcPr>
            <w:tcW w:w="4394" w:type="dxa"/>
            <w:vAlign w:val="center"/>
          </w:tcPr>
          <w:p w14:paraId="0918560B"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Aplicar pesos técnicos.</w:t>
            </w:r>
          </w:p>
        </w:tc>
        <w:tc>
          <w:tcPr>
            <w:tcW w:w="4042" w:type="dxa"/>
            <w:vAlign w:val="center"/>
          </w:tcPr>
          <w:p w14:paraId="05A98FAF"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Valores a</w:t>
            </w:r>
            <w:r w:rsidRPr="00350B48">
              <w:rPr>
                <w:rFonts w:asciiTheme="majorHAnsi" w:hAnsiTheme="majorHAnsi" w:cstheme="majorHAnsi"/>
                <w:sz w:val="20"/>
                <w:szCs w:val="20"/>
                <w:lang w:val="es-ES"/>
              </w:rPr>
              <w:t>ᵢ</w:t>
            </w:r>
            <w:r w:rsidRPr="00350B48">
              <w:rPr>
                <w:rFonts w:asciiTheme="majorHAnsi" w:hAnsiTheme="majorHAnsi" w:cstheme="majorHAnsi"/>
                <w:sz w:val="20"/>
                <w:szCs w:val="20"/>
                <w:lang w:val="es-ES"/>
              </w:rPr>
              <w:t xml:space="preserve"> = x</w:t>
            </w:r>
            <w:r w:rsidRPr="00350B48">
              <w:rPr>
                <w:rFonts w:asciiTheme="majorHAnsi" w:hAnsiTheme="majorHAnsi" w:cstheme="majorHAnsi"/>
                <w:sz w:val="20"/>
                <w:szCs w:val="20"/>
                <w:lang w:val="es-ES"/>
              </w:rPr>
              <w:t>ᵢ</w:t>
            </w:r>
            <w:r w:rsidRPr="00350B48">
              <w:rPr>
                <w:rFonts w:asciiTheme="majorHAnsi" w:hAnsiTheme="majorHAnsi" w:cstheme="majorHAnsi"/>
                <w:sz w:val="20"/>
                <w:szCs w:val="20"/>
                <w:lang w:val="es-ES"/>
              </w:rPr>
              <w:t xml:space="preserve"> × w</w:t>
            </w:r>
            <w:r w:rsidRPr="00350B48">
              <w:rPr>
                <w:rFonts w:asciiTheme="majorHAnsi" w:hAnsiTheme="majorHAnsi" w:cstheme="majorHAnsi"/>
                <w:sz w:val="20"/>
                <w:szCs w:val="20"/>
                <w:lang w:val="es-ES"/>
              </w:rPr>
              <w:t>ᵢ</w:t>
            </w:r>
            <w:r w:rsidRPr="00350B48">
              <w:rPr>
                <w:rFonts w:asciiTheme="majorHAnsi" w:hAnsiTheme="majorHAnsi" w:cstheme="majorHAnsi"/>
                <w:sz w:val="20"/>
                <w:szCs w:val="20"/>
                <w:lang w:val="es-ES"/>
              </w:rPr>
              <w:t>.</w:t>
            </w:r>
          </w:p>
        </w:tc>
      </w:tr>
      <w:tr w:rsidR="00103DD6" w:rsidRPr="00DE3F60" w14:paraId="6A4CDDC1" w14:textId="77777777" w:rsidTr="00350B48">
        <w:trPr>
          <w:jc w:val="center"/>
        </w:trPr>
        <w:tc>
          <w:tcPr>
            <w:tcW w:w="1526" w:type="dxa"/>
            <w:vAlign w:val="center"/>
          </w:tcPr>
          <w:p w14:paraId="107CCB41"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7</w:t>
            </w:r>
          </w:p>
        </w:tc>
        <w:tc>
          <w:tcPr>
            <w:tcW w:w="4394" w:type="dxa"/>
            <w:vAlign w:val="center"/>
          </w:tcPr>
          <w:p w14:paraId="1E8E23E1"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Construir el subespacio funcional.</w:t>
            </w:r>
          </w:p>
        </w:tc>
        <w:tc>
          <w:tcPr>
            <w:tcW w:w="4042" w:type="dxa"/>
            <w:vAlign w:val="center"/>
          </w:tcPr>
          <w:p w14:paraId="4E03291B"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Vector V</w:t>
            </w:r>
            <w:r w:rsidRPr="00350B48">
              <w:rPr>
                <w:rFonts w:asciiTheme="majorHAnsi" w:hAnsiTheme="majorHAnsi" w:cstheme="majorHAnsi"/>
                <w:sz w:val="20"/>
                <w:szCs w:val="20"/>
                <w:lang w:val="es-ES"/>
              </w:rPr>
              <w:t>ᶠ</w:t>
            </w:r>
            <w:r w:rsidRPr="00350B48">
              <w:rPr>
                <w:rFonts w:asciiTheme="majorHAnsi" w:hAnsiTheme="majorHAnsi" w:cstheme="majorHAnsi"/>
                <w:sz w:val="20"/>
                <w:szCs w:val="20"/>
                <w:lang w:val="es-ES"/>
              </w:rPr>
              <w:t>ₚ</w:t>
            </w:r>
            <w:r w:rsidRPr="00350B48">
              <w:rPr>
                <w:rFonts w:asciiTheme="majorHAnsi" w:hAnsiTheme="majorHAnsi" w:cstheme="majorHAnsi"/>
                <w:sz w:val="20"/>
                <w:szCs w:val="20"/>
                <w:lang w:val="es-ES"/>
              </w:rPr>
              <w:t>.</w:t>
            </w:r>
          </w:p>
        </w:tc>
      </w:tr>
      <w:tr w:rsidR="00103DD6" w:rsidRPr="00DE3F60" w14:paraId="20851151" w14:textId="77777777" w:rsidTr="00350B48">
        <w:trPr>
          <w:jc w:val="center"/>
        </w:trPr>
        <w:tc>
          <w:tcPr>
            <w:tcW w:w="1526" w:type="dxa"/>
            <w:vAlign w:val="center"/>
          </w:tcPr>
          <w:p w14:paraId="21E41300"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8</w:t>
            </w:r>
          </w:p>
        </w:tc>
        <w:tc>
          <w:tcPr>
            <w:tcW w:w="4394" w:type="dxa"/>
            <w:vAlign w:val="center"/>
          </w:tcPr>
          <w:p w14:paraId="45B9B154"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Construir el subespacio de factores técnicos.</w:t>
            </w:r>
          </w:p>
        </w:tc>
        <w:tc>
          <w:tcPr>
            <w:tcW w:w="4042" w:type="dxa"/>
            <w:vAlign w:val="center"/>
          </w:tcPr>
          <w:p w14:paraId="7FD4C48B"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Vector V</w:t>
            </w:r>
            <w:r w:rsidRPr="00350B48">
              <w:rPr>
                <w:rFonts w:asciiTheme="majorHAnsi" w:hAnsiTheme="majorHAnsi" w:cstheme="majorHAnsi"/>
                <w:sz w:val="20"/>
                <w:szCs w:val="20"/>
                <w:lang w:val="es-ES"/>
              </w:rPr>
              <w:t>ᵗ</w:t>
            </w:r>
            <w:r w:rsidRPr="00350B48">
              <w:rPr>
                <w:rFonts w:asciiTheme="majorHAnsi" w:hAnsiTheme="majorHAnsi" w:cstheme="majorHAnsi"/>
                <w:sz w:val="20"/>
                <w:szCs w:val="20"/>
                <w:lang w:val="es-ES"/>
              </w:rPr>
              <w:t>ₚ</w:t>
            </w:r>
            <w:r w:rsidRPr="00350B48">
              <w:rPr>
                <w:rFonts w:asciiTheme="majorHAnsi" w:hAnsiTheme="majorHAnsi" w:cstheme="majorHAnsi"/>
                <w:sz w:val="20"/>
                <w:szCs w:val="20"/>
                <w:lang w:val="es-ES"/>
              </w:rPr>
              <w:t>.</w:t>
            </w:r>
          </w:p>
        </w:tc>
      </w:tr>
      <w:tr w:rsidR="00103DD6" w:rsidRPr="00DE3F60" w14:paraId="6C29CDAC" w14:textId="77777777" w:rsidTr="00350B48">
        <w:trPr>
          <w:jc w:val="center"/>
        </w:trPr>
        <w:tc>
          <w:tcPr>
            <w:tcW w:w="1526" w:type="dxa"/>
            <w:vAlign w:val="center"/>
          </w:tcPr>
          <w:p w14:paraId="2BF61DFA"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9</w:t>
            </w:r>
          </w:p>
        </w:tc>
        <w:tc>
          <w:tcPr>
            <w:tcW w:w="4394" w:type="dxa"/>
            <w:vAlign w:val="center"/>
          </w:tcPr>
          <w:p w14:paraId="1BE8D996"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Comparar con puestos patrón mediante similitud de coseno.</w:t>
            </w:r>
          </w:p>
        </w:tc>
        <w:tc>
          <w:tcPr>
            <w:tcW w:w="4042" w:type="dxa"/>
            <w:vAlign w:val="center"/>
          </w:tcPr>
          <w:p w14:paraId="4EF01A32"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Ranking de proximidad funcional y técnica.</w:t>
            </w:r>
          </w:p>
        </w:tc>
      </w:tr>
      <w:tr w:rsidR="00103DD6" w:rsidRPr="00DE3F60" w14:paraId="4A6843A3" w14:textId="77777777" w:rsidTr="00350B48">
        <w:trPr>
          <w:jc w:val="center"/>
        </w:trPr>
        <w:tc>
          <w:tcPr>
            <w:tcW w:w="1526" w:type="dxa"/>
            <w:vAlign w:val="center"/>
          </w:tcPr>
          <w:p w14:paraId="1AC433B3"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10</w:t>
            </w:r>
          </w:p>
        </w:tc>
        <w:tc>
          <w:tcPr>
            <w:tcW w:w="4394" w:type="dxa"/>
            <w:vAlign w:val="center"/>
          </w:tcPr>
          <w:p w14:paraId="74002960"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Aplicar criterios de desempate y revisión cualitativa.</w:t>
            </w:r>
          </w:p>
        </w:tc>
        <w:tc>
          <w:tcPr>
            <w:tcW w:w="4042" w:type="dxa"/>
            <w:vAlign w:val="center"/>
          </w:tcPr>
          <w:p w14:paraId="45402F6D"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Recomendación técnica depurada.</w:t>
            </w:r>
          </w:p>
        </w:tc>
      </w:tr>
      <w:tr w:rsidR="00103DD6" w:rsidRPr="00DE3F60" w14:paraId="423B120A" w14:textId="77777777" w:rsidTr="00350B48">
        <w:trPr>
          <w:jc w:val="center"/>
        </w:trPr>
        <w:tc>
          <w:tcPr>
            <w:tcW w:w="1526" w:type="dxa"/>
            <w:vAlign w:val="center"/>
          </w:tcPr>
          <w:p w14:paraId="1CF7924B"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11</w:t>
            </w:r>
          </w:p>
        </w:tc>
        <w:tc>
          <w:tcPr>
            <w:tcW w:w="4394" w:type="dxa"/>
            <w:vAlign w:val="center"/>
          </w:tcPr>
          <w:p w14:paraId="60B4050F"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Comprobar intervalos legales de CD.</w:t>
            </w:r>
          </w:p>
        </w:tc>
        <w:tc>
          <w:tcPr>
            <w:tcW w:w="4042" w:type="dxa"/>
            <w:vAlign w:val="center"/>
          </w:tcPr>
          <w:p w14:paraId="75330B07"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Control normativo del resultado.</w:t>
            </w:r>
          </w:p>
        </w:tc>
      </w:tr>
      <w:tr w:rsidR="00103DD6" w:rsidRPr="00DE3F60" w14:paraId="63BB7992" w14:textId="77777777" w:rsidTr="00350B48">
        <w:trPr>
          <w:jc w:val="center"/>
        </w:trPr>
        <w:tc>
          <w:tcPr>
            <w:tcW w:w="1526" w:type="dxa"/>
          </w:tcPr>
          <w:p w14:paraId="6F2FE544"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12</w:t>
            </w:r>
          </w:p>
        </w:tc>
        <w:tc>
          <w:tcPr>
            <w:tcW w:w="4394" w:type="dxa"/>
          </w:tcPr>
          <w:p w14:paraId="1B7B6787"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Emitir recomendación motivada.</w:t>
            </w:r>
          </w:p>
        </w:tc>
        <w:tc>
          <w:tcPr>
            <w:tcW w:w="4042" w:type="dxa"/>
          </w:tcPr>
          <w:p w14:paraId="683F6967" w14:textId="77777777" w:rsidR="00103DD6" w:rsidRPr="00350B48" w:rsidRDefault="0020195E" w:rsidP="00DE3F60">
            <w:pPr>
              <w:spacing w:before="120" w:after="240" w:line="240" w:lineRule="auto"/>
              <w:jc w:val="both"/>
              <w:rPr>
                <w:rFonts w:asciiTheme="majorHAnsi" w:hAnsiTheme="majorHAnsi" w:cstheme="majorHAnsi"/>
                <w:sz w:val="20"/>
                <w:szCs w:val="20"/>
                <w:lang w:val="es-ES"/>
              </w:rPr>
            </w:pPr>
            <w:r w:rsidRPr="00350B48">
              <w:rPr>
                <w:rFonts w:asciiTheme="majorHAnsi" w:hAnsiTheme="majorHAnsi" w:cstheme="majorHAnsi"/>
                <w:sz w:val="20"/>
                <w:szCs w:val="20"/>
                <w:lang w:val="es-ES"/>
              </w:rPr>
              <w:t>Propuesta técnica no automática.</w:t>
            </w:r>
          </w:p>
        </w:tc>
      </w:tr>
    </w:tbl>
    <w:p w14:paraId="2A33B81F" w14:textId="77777777" w:rsidR="00103DD6" w:rsidRDefault="00103DD6" w:rsidP="00DE3F60">
      <w:pPr>
        <w:spacing w:before="120" w:after="240" w:line="240" w:lineRule="auto"/>
        <w:jc w:val="both"/>
        <w:rPr>
          <w:rFonts w:asciiTheme="majorHAnsi" w:hAnsiTheme="majorHAnsi" w:cstheme="majorHAnsi"/>
          <w:lang w:val="es-ES"/>
        </w:rPr>
      </w:pPr>
    </w:p>
    <w:p w14:paraId="1EFF12EC" w14:textId="77777777" w:rsidR="00350B48" w:rsidRDefault="00350B48" w:rsidP="00DE3F60">
      <w:pPr>
        <w:spacing w:before="120" w:after="240" w:line="240" w:lineRule="auto"/>
        <w:jc w:val="both"/>
        <w:rPr>
          <w:rFonts w:asciiTheme="majorHAnsi" w:hAnsiTheme="majorHAnsi" w:cstheme="majorHAnsi"/>
          <w:lang w:val="es-ES"/>
        </w:rPr>
      </w:pPr>
    </w:p>
    <w:p w14:paraId="36D347EC" w14:textId="77777777" w:rsidR="00350B48" w:rsidRDefault="00350B48" w:rsidP="00DE3F60">
      <w:pPr>
        <w:spacing w:before="120" w:after="240" w:line="240" w:lineRule="auto"/>
        <w:jc w:val="both"/>
        <w:rPr>
          <w:rFonts w:asciiTheme="majorHAnsi" w:hAnsiTheme="majorHAnsi" w:cstheme="majorHAnsi"/>
          <w:lang w:val="es-ES"/>
        </w:rPr>
      </w:pPr>
    </w:p>
    <w:p w14:paraId="2772D139" w14:textId="77777777" w:rsidR="00350B48" w:rsidRDefault="00350B48" w:rsidP="00DE3F60">
      <w:pPr>
        <w:spacing w:before="120" w:after="240" w:line="240" w:lineRule="auto"/>
        <w:jc w:val="both"/>
        <w:rPr>
          <w:rFonts w:asciiTheme="majorHAnsi" w:hAnsiTheme="majorHAnsi" w:cstheme="majorHAnsi"/>
          <w:lang w:val="es-ES"/>
        </w:rPr>
      </w:pPr>
    </w:p>
    <w:p w14:paraId="29AAFCCD" w14:textId="77777777" w:rsidR="00350B48" w:rsidRDefault="00350B48" w:rsidP="00DE3F60">
      <w:pPr>
        <w:spacing w:before="120" w:after="240" w:line="240" w:lineRule="auto"/>
        <w:jc w:val="both"/>
        <w:rPr>
          <w:rFonts w:asciiTheme="majorHAnsi" w:hAnsiTheme="majorHAnsi" w:cstheme="majorHAnsi"/>
          <w:lang w:val="es-ES"/>
        </w:rPr>
      </w:pPr>
    </w:p>
    <w:p w14:paraId="69951B0C" w14:textId="77777777" w:rsidR="00350B48" w:rsidRPr="00DE3F60" w:rsidRDefault="00350B48" w:rsidP="00DE3F60">
      <w:pPr>
        <w:spacing w:before="120" w:after="240" w:line="240" w:lineRule="auto"/>
        <w:jc w:val="both"/>
        <w:rPr>
          <w:rFonts w:asciiTheme="majorHAnsi" w:hAnsiTheme="majorHAnsi" w:cstheme="majorHAnsi"/>
          <w:lang w:val="es-ES"/>
        </w:rPr>
      </w:pPr>
    </w:p>
    <w:p w14:paraId="1D2B4E30" w14:textId="77777777" w:rsidR="00103DD6" w:rsidRPr="00DE3F60" w:rsidRDefault="0020195E" w:rsidP="00DE3F60">
      <w:pPr>
        <w:pStyle w:val="Ttulo1"/>
        <w:spacing w:before="120" w:after="240" w:line="240" w:lineRule="auto"/>
        <w:jc w:val="both"/>
        <w:rPr>
          <w:rFonts w:cstheme="majorHAnsi"/>
          <w:lang w:val="es-ES"/>
        </w:rPr>
      </w:pPr>
      <w:bookmarkStart w:id="34" w:name="_Toc231894297"/>
      <w:r w:rsidRPr="00DE3F60">
        <w:rPr>
          <w:rFonts w:cstheme="majorHAnsi"/>
          <w:lang w:val="es-ES"/>
        </w:rPr>
        <w:t>Anexo II. Intervalos de niveles de complemento de destino</w:t>
      </w:r>
      <w:bookmarkEnd w:id="34"/>
    </w:p>
    <w:p w14:paraId="2163418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Conforme a la disposición transitoria sexta del Real Decreto-ley 6/2023, los intervalos de niveles por grupo o subgrupo son los siguientes: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2268"/>
        <w:gridCol w:w="2268"/>
      </w:tblGrid>
      <w:tr w:rsidR="00103DD6" w:rsidRPr="00DE3F60" w14:paraId="58987614" w14:textId="77777777">
        <w:trPr>
          <w:jc w:val="center"/>
        </w:trPr>
        <w:tc>
          <w:tcPr>
            <w:tcW w:w="2835" w:type="dxa"/>
            <w:shd w:val="clear" w:color="auto" w:fill="1F4E79"/>
            <w:vAlign w:val="center"/>
          </w:tcPr>
          <w:p w14:paraId="77D4E94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Grupo o subgrupo</w:t>
            </w:r>
          </w:p>
        </w:tc>
        <w:tc>
          <w:tcPr>
            <w:tcW w:w="2268" w:type="dxa"/>
            <w:shd w:val="clear" w:color="auto" w:fill="1F4E79"/>
            <w:vAlign w:val="center"/>
          </w:tcPr>
          <w:p w14:paraId="3E06F6F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Nivel mínimo</w:t>
            </w:r>
          </w:p>
        </w:tc>
        <w:tc>
          <w:tcPr>
            <w:tcW w:w="2268" w:type="dxa"/>
            <w:shd w:val="clear" w:color="auto" w:fill="1F4E79"/>
            <w:vAlign w:val="center"/>
          </w:tcPr>
          <w:p w14:paraId="2C3DC41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b/>
                <w:color w:val="FFFFFF"/>
                <w:sz w:val="18"/>
                <w:lang w:val="es-ES"/>
              </w:rPr>
              <w:t>Nivel máximo</w:t>
            </w:r>
          </w:p>
        </w:tc>
      </w:tr>
      <w:tr w:rsidR="00103DD6" w:rsidRPr="00DE3F60" w14:paraId="20DD4286" w14:textId="77777777">
        <w:trPr>
          <w:jc w:val="center"/>
        </w:trPr>
        <w:tc>
          <w:tcPr>
            <w:tcW w:w="2835" w:type="dxa"/>
            <w:vAlign w:val="center"/>
          </w:tcPr>
          <w:p w14:paraId="6BF6C14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A1</w:t>
            </w:r>
          </w:p>
        </w:tc>
        <w:tc>
          <w:tcPr>
            <w:tcW w:w="2268" w:type="dxa"/>
            <w:vAlign w:val="center"/>
          </w:tcPr>
          <w:p w14:paraId="746246E4"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24</w:t>
            </w:r>
          </w:p>
        </w:tc>
        <w:tc>
          <w:tcPr>
            <w:tcW w:w="2268" w:type="dxa"/>
            <w:vAlign w:val="center"/>
          </w:tcPr>
          <w:p w14:paraId="7946815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30</w:t>
            </w:r>
          </w:p>
        </w:tc>
      </w:tr>
      <w:tr w:rsidR="00103DD6" w:rsidRPr="00DE3F60" w14:paraId="333C128C" w14:textId="77777777">
        <w:trPr>
          <w:jc w:val="center"/>
        </w:trPr>
        <w:tc>
          <w:tcPr>
            <w:tcW w:w="2835" w:type="dxa"/>
            <w:vAlign w:val="center"/>
          </w:tcPr>
          <w:p w14:paraId="634DC6A6"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A2</w:t>
            </w:r>
          </w:p>
        </w:tc>
        <w:tc>
          <w:tcPr>
            <w:tcW w:w="2268" w:type="dxa"/>
            <w:vAlign w:val="center"/>
          </w:tcPr>
          <w:p w14:paraId="39CAC272"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20</w:t>
            </w:r>
          </w:p>
        </w:tc>
        <w:tc>
          <w:tcPr>
            <w:tcW w:w="2268" w:type="dxa"/>
            <w:vAlign w:val="center"/>
          </w:tcPr>
          <w:p w14:paraId="329257B9"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26</w:t>
            </w:r>
          </w:p>
        </w:tc>
      </w:tr>
      <w:tr w:rsidR="00103DD6" w:rsidRPr="00DE3F60" w14:paraId="11E7FA27" w14:textId="77777777">
        <w:trPr>
          <w:jc w:val="center"/>
        </w:trPr>
        <w:tc>
          <w:tcPr>
            <w:tcW w:w="2835" w:type="dxa"/>
            <w:vAlign w:val="center"/>
          </w:tcPr>
          <w:p w14:paraId="22A0637F"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B</w:t>
            </w:r>
          </w:p>
        </w:tc>
        <w:tc>
          <w:tcPr>
            <w:tcW w:w="2268" w:type="dxa"/>
            <w:vAlign w:val="center"/>
          </w:tcPr>
          <w:p w14:paraId="7E15C26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18</w:t>
            </w:r>
          </w:p>
        </w:tc>
        <w:tc>
          <w:tcPr>
            <w:tcW w:w="2268" w:type="dxa"/>
            <w:vAlign w:val="center"/>
          </w:tcPr>
          <w:p w14:paraId="23D0876C"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24</w:t>
            </w:r>
          </w:p>
        </w:tc>
      </w:tr>
      <w:tr w:rsidR="00103DD6" w:rsidRPr="00DE3F60" w14:paraId="7D5D4189" w14:textId="77777777">
        <w:trPr>
          <w:jc w:val="center"/>
        </w:trPr>
        <w:tc>
          <w:tcPr>
            <w:tcW w:w="2835" w:type="dxa"/>
            <w:vAlign w:val="center"/>
          </w:tcPr>
          <w:p w14:paraId="0B745B53"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C1</w:t>
            </w:r>
          </w:p>
        </w:tc>
        <w:tc>
          <w:tcPr>
            <w:tcW w:w="2268" w:type="dxa"/>
            <w:vAlign w:val="center"/>
          </w:tcPr>
          <w:p w14:paraId="09E038A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16</w:t>
            </w:r>
          </w:p>
        </w:tc>
        <w:tc>
          <w:tcPr>
            <w:tcW w:w="2268" w:type="dxa"/>
            <w:vAlign w:val="center"/>
          </w:tcPr>
          <w:p w14:paraId="79E911D0"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22</w:t>
            </w:r>
          </w:p>
        </w:tc>
      </w:tr>
      <w:tr w:rsidR="00103DD6" w:rsidRPr="00DE3F60" w14:paraId="4D91704A" w14:textId="77777777">
        <w:trPr>
          <w:jc w:val="center"/>
        </w:trPr>
        <w:tc>
          <w:tcPr>
            <w:tcW w:w="2835" w:type="dxa"/>
            <w:vAlign w:val="center"/>
          </w:tcPr>
          <w:p w14:paraId="7DA8110A"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C2</w:t>
            </w:r>
          </w:p>
        </w:tc>
        <w:tc>
          <w:tcPr>
            <w:tcW w:w="2268" w:type="dxa"/>
            <w:vAlign w:val="center"/>
          </w:tcPr>
          <w:p w14:paraId="33A2989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14</w:t>
            </w:r>
          </w:p>
        </w:tc>
        <w:tc>
          <w:tcPr>
            <w:tcW w:w="2268" w:type="dxa"/>
            <w:vAlign w:val="center"/>
          </w:tcPr>
          <w:p w14:paraId="7FC54267"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sz w:val="17"/>
                <w:lang w:val="es-ES"/>
              </w:rPr>
              <w:t>18</w:t>
            </w:r>
          </w:p>
        </w:tc>
      </w:tr>
    </w:tbl>
    <w:p w14:paraId="5F8D9EEC" w14:textId="77777777" w:rsidR="00103DD6" w:rsidRPr="00DE3F60" w:rsidRDefault="00103DD6" w:rsidP="00DE3F60">
      <w:pPr>
        <w:spacing w:before="120" w:after="240" w:line="240" w:lineRule="auto"/>
        <w:jc w:val="both"/>
        <w:rPr>
          <w:rFonts w:asciiTheme="majorHAnsi" w:hAnsiTheme="majorHAnsi" w:cstheme="majorHAnsi"/>
          <w:lang w:val="es-ES"/>
        </w:rPr>
      </w:pPr>
    </w:p>
    <w:p w14:paraId="5716ADFB" w14:textId="77777777" w:rsidR="00103DD6" w:rsidRPr="00DE3F60" w:rsidRDefault="0020195E" w:rsidP="00DE3F60">
      <w:pPr>
        <w:spacing w:before="120" w:after="240" w:line="240" w:lineRule="auto"/>
        <w:jc w:val="both"/>
        <w:rPr>
          <w:rFonts w:asciiTheme="majorHAnsi" w:hAnsiTheme="majorHAnsi" w:cstheme="majorHAnsi"/>
          <w:lang w:val="es-ES"/>
        </w:rPr>
      </w:pPr>
      <w:r w:rsidRPr="00DE3F60">
        <w:rPr>
          <w:rFonts w:asciiTheme="majorHAnsi" w:hAnsiTheme="majorHAnsi" w:cstheme="majorHAnsi"/>
          <w:lang w:val="es-ES"/>
        </w:rPr>
        <w:t>Estos intervalos actúan como control normativo del modelo: ningún resultado técnico debe interpretarse al margen del grupo o subgrupo de clasificación del puesto.</w:t>
      </w:r>
    </w:p>
    <w:p w14:paraId="1C1D65C1" w14:textId="77777777" w:rsidR="00103DD6" w:rsidRPr="00DE3F60" w:rsidRDefault="0020195E" w:rsidP="00DE3F60">
      <w:pPr>
        <w:pStyle w:val="Ttulo1"/>
        <w:spacing w:before="120" w:after="240" w:line="240" w:lineRule="auto"/>
        <w:jc w:val="both"/>
        <w:rPr>
          <w:rFonts w:cstheme="majorHAnsi"/>
          <w:lang w:val="es-ES"/>
        </w:rPr>
      </w:pPr>
      <w:bookmarkStart w:id="35" w:name="_Toc231894298"/>
      <w:r w:rsidRPr="00DE3F60">
        <w:rPr>
          <w:rFonts w:cstheme="majorHAnsi"/>
          <w:lang w:val="es-ES"/>
        </w:rPr>
        <w:t>Referencias normativas principales</w:t>
      </w:r>
      <w:bookmarkEnd w:id="35"/>
    </w:p>
    <w:p w14:paraId="4B2AC3E0"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Ley 30/1984, de 2 de agosto, de medidas para la reforma de la Función Pública.</w:t>
      </w:r>
    </w:p>
    <w:p w14:paraId="42A95685"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Ley 7/1985, de 2 de abril, reguladora de las Bases del Régimen Local.</w:t>
      </w:r>
    </w:p>
    <w:p w14:paraId="7569069A"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Real Decreto Legislativo 781/1986, de 18 de abril, por el que se aprueba el texto refundido de las disposiciones legales vigentes en materia de Régimen Local.</w:t>
      </w:r>
    </w:p>
    <w:p w14:paraId="592F3D6D" w14:textId="77777777" w:rsidR="00103DD6"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Real Decreto 861/1986, de 25 de abril, por el que se establece el régimen de las retribuciones de los funcionarios de Administración Local.</w:t>
      </w:r>
    </w:p>
    <w:p w14:paraId="454D23E2" w14:textId="77777777" w:rsidR="00350B48" w:rsidRPr="00DE3F60" w:rsidRDefault="00350B48" w:rsidP="00350B48">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Real Decreto Legislativo 5/2015, de 30 de octubre, por el que se aprueba el texto refundido de la Ley del Estatuto Básico del Empleado Público.</w:t>
      </w:r>
    </w:p>
    <w:p w14:paraId="6154FCCD" w14:textId="77777777" w:rsidR="00350B48" w:rsidRPr="00350B48" w:rsidRDefault="00350B48" w:rsidP="00350B48">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Ley 4/2021, de 16 de abril, de la Generalitat, de la Función Pública Valenciana.</w:t>
      </w:r>
    </w:p>
    <w:p w14:paraId="045465A1" w14:textId="77777777" w:rsidR="00103DD6" w:rsidRPr="00DE3F60" w:rsidRDefault="0020195E" w:rsidP="00DE3F60">
      <w:pPr>
        <w:pStyle w:val="Listaconvietas"/>
        <w:spacing w:before="120" w:after="240" w:line="240" w:lineRule="auto"/>
        <w:contextualSpacing w:val="0"/>
        <w:jc w:val="both"/>
        <w:rPr>
          <w:rFonts w:asciiTheme="majorHAnsi" w:hAnsiTheme="majorHAnsi" w:cstheme="majorHAnsi"/>
          <w:lang w:val="es-ES"/>
        </w:rPr>
      </w:pPr>
      <w:r w:rsidRPr="00DE3F60">
        <w:rPr>
          <w:rFonts w:asciiTheme="majorHAnsi" w:hAnsiTheme="majorHAnsi" w:cstheme="majorHAnsi"/>
          <w:lang w:val="es-ES"/>
        </w:rPr>
        <w:t>Real Decreto-ley 6/2023, de 19 de diciembre, disposición transitoria sexta.</w:t>
      </w:r>
    </w:p>
    <w:sectPr w:rsidR="00103DD6" w:rsidRPr="00DE3F60" w:rsidSect="0097762F">
      <w:headerReference w:type="default" r:id="rId9"/>
      <w:footerReference w:type="default" r:id="rId10"/>
      <w:pgSz w:w="12240" w:h="15840"/>
      <w:pgMar w:top="867"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66902" w14:textId="77777777" w:rsidR="0020195E" w:rsidRDefault="0020195E">
      <w:pPr>
        <w:spacing w:after="0" w:line="240" w:lineRule="auto"/>
      </w:pPr>
      <w:r>
        <w:separator/>
      </w:r>
    </w:p>
  </w:endnote>
  <w:endnote w:type="continuationSeparator" w:id="0">
    <w:p w14:paraId="149FC3FF" w14:textId="77777777" w:rsidR="0020195E" w:rsidRDefault="0020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1F9F" w14:textId="77777777" w:rsidR="0097762F" w:rsidRPr="00332486" w:rsidRDefault="0097762F" w:rsidP="0097762F">
    <w:pPr>
      <w:jc w:val="center"/>
      <w:rPr>
        <w:rFonts w:asciiTheme="majorHAnsi" w:hAnsiTheme="majorHAnsi" w:cstheme="majorHAnsi"/>
        <w:sz w:val="14"/>
        <w:szCs w:val="14"/>
      </w:rPr>
    </w:pPr>
    <w:r w:rsidRPr="00332486">
      <w:rPr>
        <w:rFonts w:asciiTheme="majorHAnsi" w:hAnsiTheme="majorHAnsi" w:cstheme="majorHAnsi"/>
        <w:b/>
        <w:sz w:val="14"/>
        <w:szCs w:val="14"/>
      </w:rPr>
      <w:t xml:space="preserve">Ayuntamiento de Elche, </w:t>
    </w:r>
    <w:proofErr w:type="spellStart"/>
    <w:r w:rsidRPr="00332486">
      <w:rPr>
        <w:rFonts w:asciiTheme="majorHAnsi" w:hAnsiTheme="majorHAnsi" w:cstheme="majorHAnsi"/>
        <w:b/>
        <w:sz w:val="14"/>
        <w:szCs w:val="14"/>
      </w:rPr>
      <w:t>Planificación</w:t>
    </w:r>
    <w:proofErr w:type="spellEnd"/>
    <w:r w:rsidRPr="00332486">
      <w:rPr>
        <w:rFonts w:asciiTheme="majorHAnsi" w:hAnsiTheme="majorHAnsi" w:cstheme="majorHAnsi"/>
        <w:b/>
        <w:sz w:val="14"/>
        <w:szCs w:val="14"/>
      </w:rPr>
      <w:t xml:space="preserve"> de RRHH.</w:t>
    </w:r>
    <w:r w:rsidRPr="00332486">
      <w:rPr>
        <w:rFonts w:asciiTheme="majorHAnsi" w:hAnsiTheme="majorHAnsi" w:cstheme="majorHAnsi"/>
        <w:sz w:val="14"/>
        <w:szCs w:val="14"/>
      </w:rPr>
      <w:t xml:space="preserve"> C/</w:t>
    </w:r>
    <w:proofErr w:type="spellStart"/>
    <w:r w:rsidRPr="00332486">
      <w:rPr>
        <w:rFonts w:asciiTheme="majorHAnsi" w:hAnsiTheme="majorHAnsi" w:cstheme="majorHAnsi"/>
        <w:sz w:val="14"/>
        <w:szCs w:val="14"/>
      </w:rPr>
      <w:t>Ánimes</w:t>
    </w:r>
    <w:proofErr w:type="spellEnd"/>
    <w:r w:rsidRPr="00332486">
      <w:rPr>
        <w:rFonts w:asciiTheme="majorHAnsi" w:hAnsiTheme="majorHAnsi" w:cstheme="majorHAnsi"/>
        <w:sz w:val="14"/>
        <w:szCs w:val="14"/>
      </w:rPr>
      <w:t xml:space="preserve">, 4- 03202 </w:t>
    </w:r>
    <w:proofErr w:type="spellStart"/>
    <w:r w:rsidRPr="00332486">
      <w:rPr>
        <w:rFonts w:asciiTheme="majorHAnsi" w:hAnsiTheme="majorHAnsi" w:cstheme="majorHAnsi"/>
        <w:sz w:val="14"/>
        <w:szCs w:val="14"/>
      </w:rPr>
      <w:t>Elx</w:t>
    </w:r>
    <w:proofErr w:type="spellEnd"/>
    <w:r w:rsidRPr="00332486">
      <w:rPr>
        <w:rFonts w:asciiTheme="majorHAnsi" w:hAnsiTheme="majorHAnsi" w:cstheme="majorHAnsi"/>
        <w:sz w:val="14"/>
        <w:szCs w:val="14"/>
      </w:rPr>
      <w:t>. Tel. 96 665 8169</w:t>
    </w:r>
  </w:p>
  <w:p w14:paraId="542BB6D1" w14:textId="229073BA" w:rsidR="00103DD6" w:rsidRPr="0097762F" w:rsidRDefault="0097762F" w:rsidP="0097762F">
    <w:pPr>
      <w:pBdr>
        <w:top w:val="nil"/>
        <w:left w:val="nil"/>
        <w:bottom w:val="nil"/>
        <w:right w:val="nil"/>
        <w:between w:val="nil"/>
      </w:pBdr>
      <w:tabs>
        <w:tab w:val="center" w:pos="4252"/>
        <w:tab w:val="right" w:pos="8504"/>
      </w:tabs>
      <w:spacing w:line="240" w:lineRule="auto"/>
      <w:ind w:hanging="2"/>
      <w:jc w:val="center"/>
      <w:rPr>
        <w:color w:val="000000"/>
        <w:sz w:val="16"/>
        <w:szCs w:val="16"/>
      </w:rPr>
    </w:pPr>
    <w:r>
      <w:rPr>
        <w:rFonts w:ascii="Calibri" w:eastAsia="Calibri" w:hAnsi="Calibri" w:cs="Calibri"/>
        <w:color w:val="000000"/>
        <w:sz w:val="16"/>
        <w:szCs w:val="16"/>
      </w:rPr>
      <w:t xml:space="preserve">Página </w:t>
    </w: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PAGE</w:instrText>
    </w:r>
    <w:r>
      <w:rPr>
        <w:rFonts w:ascii="Calibri" w:eastAsia="Calibri" w:hAnsi="Calibri" w:cs="Calibri"/>
        <w:color w:val="000000"/>
        <w:sz w:val="16"/>
        <w:szCs w:val="16"/>
      </w:rPr>
      <w:fldChar w:fldCharType="separate"/>
    </w:r>
    <w:r>
      <w:rPr>
        <w:rFonts w:ascii="Calibri" w:eastAsia="Calibri" w:hAnsi="Calibri" w:cs="Calibri"/>
        <w:color w:val="000000"/>
        <w:sz w:val="16"/>
        <w:szCs w:val="16"/>
      </w:rPr>
      <w:t>1</w:t>
    </w:r>
    <w:r>
      <w:rPr>
        <w:rFonts w:ascii="Calibri" w:eastAsia="Calibri" w:hAnsi="Calibri" w:cs="Calibri"/>
        <w:color w:val="000000"/>
        <w:sz w:val="16"/>
        <w:szCs w:val="16"/>
      </w:rPr>
      <w:fldChar w:fldCharType="end"/>
    </w:r>
    <w:r>
      <w:rPr>
        <w:rFonts w:ascii="Calibri" w:eastAsia="Calibri" w:hAnsi="Calibri" w:cs="Calibri"/>
        <w:color w:val="000000"/>
        <w:sz w:val="16"/>
        <w:szCs w:val="16"/>
      </w:rPr>
      <w:t xml:space="preserve"> de </w:t>
    </w: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NUMPAGES</w:instrText>
    </w:r>
    <w:r>
      <w:rPr>
        <w:rFonts w:ascii="Calibri" w:eastAsia="Calibri" w:hAnsi="Calibri" w:cs="Calibri"/>
        <w:color w:val="000000"/>
        <w:sz w:val="16"/>
        <w:szCs w:val="16"/>
      </w:rPr>
      <w:fldChar w:fldCharType="separate"/>
    </w:r>
    <w:r>
      <w:rPr>
        <w:rFonts w:ascii="Calibri" w:eastAsia="Calibri" w:hAnsi="Calibri" w:cs="Calibri"/>
        <w:color w:val="000000"/>
        <w:sz w:val="16"/>
        <w:szCs w:val="16"/>
      </w:rPr>
      <w:t>11</w:t>
    </w:r>
    <w:r>
      <w:rPr>
        <w:rFonts w:ascii="Calibri" w:eastAsia="Calibri" w:hAnsi="Calibri" w:cs="Calibri"/>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6E480" w14:textId="77777777" w:rsidR="0020195E" w:rsidRDefault="0020195E">
      <w:pPr>
        <w:spacing w:after="0" w:line="240" w:lineRule="auto"/>
      </w:pPr>
      <w:r>
        <w:separator/>
      </w:r>
    </w:p>
  </w:footnote>
  <w:footnote w:type="continuationSeparator" w:id="0">
    <w:p w14:paraId="3057025D" w14:textId="77777777" w:rsidR="0020195E" w:rsidRDefault="002019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7AA5" w14:textId="0516D5A3" w:rsidR="00103DD6" w:rsidRDefault="0097762F" w:rsidP="0097762F">
    <w:pPr>
      <w:pStyle w:val="Encabezado"/>
    </w:pP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fldChar w:fldCharType="begin"/>
    </w:r>
    <w:r>
      <w:instrText xml:space="preserve"> INCLUDEPICTURE  "https://www.elche.es/corporativo/logo_castellano/LOGO-HORIZONTAL-CASTELLANO-AZUL.jpg" \* MERGEFORMATINET </w:instrText>
    </w:r>
    <w:r>
      <w:fldChar w:fldCharType="separate"/>
    </w:r>
    <w:r w:rsidR="0020195E">
      <w:fldChar w:fldCharType="begin"/>
    </w:r>
    <w:r w:rsidR="0020195E">
      <w:instrText xml:space="preserve"> </w:instrText>
    </w:r>
    <w:r w:rsidR="0020195E">
      <w:instrText>INCLUDEPICTURE  "https://www.elche.es/corporativo/logo_castellano/LOGO-HORIZONTAL-CASTELLANO-AZUL.jpg" \* MERGEFORMATINET</w:instrText>
    </w:r>
    <w:r w:rsidR="0020195E">
      <w:instrText xml:space="preserve"> </w:instrText>
    </w:r>
    <w:r w:rsidR="0020195E">
      <w:fldChar w:fldCharType="separate"/>
    </w:r>
    <w:r w:rsidR="0020195E">
      <w:pict w14:anchorId="169FA2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5pt;height:60.65pt">
          <v:imagedata r:id="rId1" r:href="rId2" croptop="19075f" cropbottom="15974f"/>
        </v:shape>
      </w:pict>
    </w:r>
    <w:r w:rsidR="0020195E">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9929549">
    <w:abstractNumId w:val="8"/>
  </w:num>
  <w:num w:numId="2" w16cid:durableId="1573005803">
    <w:abstractNumId w:val="6"/>
  </w:num>
  <w:num w:numId="3" w16cid:durableId="1624995391">
    <w:abstractNumId w:val="5"/>
  </w:num>
  <w:num w:numId="4" w16cid:durableId="961881907">
    <w:abstractNumId w:val="4"/>
  </w:num>
  <w:num w:numId="5" w16cid:durableId="121074869">
    <w:abstractNumId w:val="7"/>
  </w:num>
  <w:num w:numId="6" w16cid:durableId="285817307">
    <w:abstractNumId w:val="3"/>
  </w:num>
  <w:num w:numId="7" w16cid:durableId="1959603319">
    <w:abstractNumId w:val="2"/>
  </w:num>
  <w:num w:numId="8" w16cid:durableId="670838616">
    <w:abstractNumId w:val="1"/>
  </w:num>
  <w:num w:numId="9" w16cid:durableId="208020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95F"/>
    <w:rsid w:val="00034616"/>
    <w:rsid w:val="0004662F"/>
    <w:rsid w:val="0006063C"/>
    <w:rsid w:val="00103DD6"/>
    <w:rsid w:val="0015074B"/>
    <w:rsid w:val="0020195E"/>
    <w:rsid w:val="002519E5"/>
    <w:rsid w:val="0029639D"/>
    <w:rsid w:val="00314534"/>
    <w:rsid w:val="00326F90"/>
    <w:rsid w:val="00350B48"/>
    <w:rsid w:val="003C338D"/>
    <w:rsid w:val="004B4724"/>
    <w:rsid w:val="00510232"/>
    <w:rsid w:val="00535186"/>
    <w:rsid w:val="006D5A25"/>
    <w:rsid w:val="00914C19"/>
    <w:rsid w:val="0097762F"/>
    <w:rsid w:val="00A03C69"/>
    <w:rsid w:val="00A159F1"/>
    <w:rsid w:val="00A67537"/>
    <w:rsid w:val="00AA1D8D"/>
    <w:rsid w:val="00B47730"/>
    <w:rsid w:val="00C83CEC"/>
    <w:rsid w:val="00CB0664"/>
    <w:rsid w:val="00DA3F15"/>
    <w:rsid w:val="00DE3F60"/>
    <w:rsid w:val="00DF5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195632"/>
  <w14:defaultImageDpi w14:val="300"/>
  <w15:docId w15:val="{C07638ED-DDB8-4135-A5C0-BDE18A1A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2F5496"/>
      <w:sz w:val="24"/>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80" w:after="120"/>
      <w:jc w:val="center"/>
    </w:pPr>
    <w:rPr>
      <w:rFonts w:ascii="Consolas" w:eastAsia="Consolas" w:hAnsi="Consolas"/>
      <w:color w:val="1F4E79"/>
      <w:sz w:val="20"/>
    </w:rPr>
  </w:style>
  <w:style w:type="paragraph" w:customStyle="1" w:styleId="Note">
    <w:name w:val="Note"/>
    <w:pPr>
      <w:ind w:left="227" w:right="170"/>
    </w:pPr>
    <w:rPr>
      <w:rFonts w:ascii="Arial" w:eastAsia="Arial" w:hAnsi="Arial"/>
      <w:i/>
      <w:sz w:val="19"/>
    </w:rPr>
  </w:style>
  <w:style w:type="paragraph" w:customStyle="1" w:styleId="FormulaLaTeX">
    <w:name w:val="Formula_LaTeX"/>
    <w:basedOn w:val="Normal"/>
    <w:pPr>
      <w:spacing w:before="120"/>
      <w:jc w:val="center"/>
    </w:pPr>
    <w:rPr>
      <w:rFonts w:ascii="Consolas" w:eastAsia="Consolas" w:hAnsi="Consolas"/>
      <w:color w:val="1F1F1F"/>
      <w:sz w:val="20"/>
    </w:rPr>
  </w:style>
  <w:style w:type="paragraph" w:styleId="TDC1">
    <w:name w:val="toc 1"/>
    <w:basedOn w:val="Normal"/>
    <w:next w:val="Normal"/>
    <w:autoRedefine/>
    <w:uiPriority w:val="39"/>
    <w:unhideWhenUsed/>
    <w:rsid w:val="00DE3F60"/>
    <w:pPr>
      <w:spacing w:after="100"/>
    </w:pPr>
  </w:style>
  <w:style w:type="paragraph" w:styleId="TDC2">
    <w:name w:val="toc 2"/>
    <w:basedOn w:val="Normal"/>
    <w:next w:val="Normal"/>
    <w:autoRedefine/>
    <w:uiPriority w:val="39"/>
    <w:unhideWhenUsed/>
    <w:rsid w:val="00DE3F60"/>
    <w:pPr>
      <w:spacing w:after="100"/>
      <w:ind w:left="210"/>
    </w:pPr>
  </w:style>
  <w:style w:type="character" w:styleId="Hipervnculo">
    <w:name w:val="Hyperlink"/>
    <w:basedOn w:val="Fuentedeprrafopredeter"/>
    <w:uiPriority w:val="99"/>
    <w:unhideWhenUsed/>
    <w:rsid w:val="00DE3F60"/>
    <w:rPr>
      <w:color w:val="0000FF" w:themeColor="hyperlink"/>
      <w:u w:val="single"/>
    </w:rPr>
  </w:style>
  <w:style w:type="character" w:styleId="Textodelmarcadordeposicin">
    <w:name w:val="Placeholder Text"/>
    <w:basedOn w:val="Fuentedeprrafopredeter"/>
    <w:uiPriority w:val="99"/>
    <w:semiHidden/>
    <w:rsid w:val="00C83CE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https://www.elche.es/corporativo/logo_castellano/LOGO-HORIZONTAL-CASTELLANO-AZUL.jpg"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22</Pages>
  <Words>6634</Words>
  <Characters>36488</Characters>
  <Application>Microsoft Office Word</Application>
  <DocSecurity>0</DocSecurity>
  <Lines>304</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Instrucción técnica sobre la metodología de análisis para la revisión del nivel de complemento de destino</dc:title>
  <dc:subject>Complemento de destino, RPT, vectorización, similitud de coseno</dc:subject>
  <dc:creator>Servicio de Recursos Humanos - Ayuntamiento de Elche</dc:creator>
  <cp:keywords/>
  <dc:description>Documento de trabajo técnico</dc:description>
  <cp:lastModifiedBy>Eduardo Quesada Molina</cp:lastModifiedBy>
  <cp:revision>20</cp:revision>
  <dcterms:created xsi:type="dcterms:W3CDTF">2013-12-23T23:15:00Z</dcterms:created>
  <dcterms:modified xsi:type="dcterms:W3CDTF">2026-06-10T07:53:00Z</dcterms:modified>
  <cp:category/>
</cp:coreProperties>
</file>