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 Mejor Masa de Pizza para Marcelo</w:t>
      </w:r>
    </w:p>
    <w:p>
      <w:pPr>
        <w:pStyle w:val="Subtitle"/>
      </w:pPr>
      <w:r>
        <w:t xml:space="preserve">Uso de Quarto + Typst para reportes científicos</w:t>
      </w:r>
    </w:p>
    <w:p>
      <w:pPr>
        <w:pStyle w:val="Author"/>
      </w:pPr>
      <w:r>
        <w:t xml:space="preserve">Miguel Equihua</w:t>
      </w:r>
    </w:p>
    <w:p>
      <w:pPr>
        <w:pStyle w:val="Date"/>
      </w:pPr>
      <w:r>
        <w:t xml:space="preserve">lunes, 30 de junio de 2025</w:t>
      </w:r>
    </w:p>
    <w:p>
      <w:pPr>
        <w:pStyle w:val="AbstractTitle"/>
      </w:pPr>
      <w:r>
        <w:t xml:space="preserve">Resumen</w:t>
      </w:r>
    </w:p>
    <w:p>
      <w:pPr>
        <w:pStyle w:val="Abstract"/>
      </w:pPr>
      <w:r>
        <w:t xml:space="preserve">Etiam quis tortor luctus, pellentesque ante a, finibus dolor. Phasellus in nibh et magna pulvinar malesuada. Ut nisl ex, sagittis at sollicitudin et, sollicitudin id nunc. In id porta urna. Proin porta dolor dolor, vel dapibus nisi lacinia in. Pellentesque ante mauris, ornare non euismod a, fermentum ut sapien. Proin sed vehicula enim. Aliquam tortor odio, vestibulum vitae odio in, tempor molestie justo. Praesent maximus lacus nec leo maximus blandit.</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articulo-pizza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articulo-pizza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center"/>
                  </w:pPr>
                  <w:r>
                    <w:t xml:space="preserve">Male</w:t>
                  </w:r>
                </w:p>
              </w:tc>
              <w:tc>
                <w:tcPr>
                  <w:gridSpan w:val="4"/>
                </w:tcPr>
                <w:p>
                  <w:pPr>
                    <w:pStyle w:val="Compact"/>
                    <w:jc w:val="center"/>
                  </w:pPr>
                  <w:r>
                    <w:t xml:space="preserve">Female</w:t>
                  </w:r>
                </w:p>
              </w:tc>
            </w:tr>
            <w:tr>
              <w:trPr>
                <w:tblHeader w:val="on"/>
              </w:trPr>
              <w:tc>
                <w:tcPr/>
                <w:p>
                  <w:pPr>
                    <w:pStyle w:val="Compact"/>
                  </w:pP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r>
            <w:tr>
              <w:tc>
                <w:tcPr/>
                <w:p>
                  <w:pPr>
                    <w:pStyle w:val="Compact"/>
                    <w:jc w:val="center"/>
                  </w:pPr>
                  <w:r>
                    <w:t xml:space="preserve">Adelie</w:t>
                  </w:r>
                </w:p>
              </w:tc>
              <w:tc>
                <w:tcPr/>
                <w:p>
                  <w:pPr>
                    <w:pStyle w:val="Compact"/>
                    <w:jc w:val="center"/>
                  </w:pPr>
                  <w:r>
                    <w:t xml:space="preserve">40.39</w:t>
                  </w:r>
                </w:p>
              </w:tc>
              <w:tc>
                <w:tcPr/>
                <w:p>
                  <w:pPr>
                    <w:pStyle w:val="Compact"/>
                    <w:jc w:val="center"/>
                  </w:pPr>
                  <w:r>
                    <w:t xml:space="preserve">19.07</w:t>
                  </w:r>
                </w:p>
              </w:tc>
              <w:tc>
                <w:tcPr/>
                <w:p>
                  <w:pPr>
                    <w:pStyle w:val="Compact"/>
                    <w:jc w:val="center"/>
                  </w:pPr>
                  <w:r>
                    <w:t xml:space="preserve">192.4</w:t>
                  </w:r>
                </w:p>
              </w:tc>
              <w:tc>
                <w:tcPr/>
                <w:p>
                  <w:pPr>
                    <w:pStyle w:val="Compact"/>
                    <w:jc w:val="center"/>
                  </w:pPr>
                  <w:r>
                    <w:t xml:space="preserve">4043</w:t>
                  </w:r>
                </w:p>
              </w:tc>
              <w:tc>
                <w:tcPr/>
                <w:p>
                  <w:pPr>
                    <w:pStyle w:val="Compact"/>
                    <w:jc w:val="center"/>
                  </w:pPr>
                  <w:r>
                    <w:t xml:space="preserve">37.26</w:t>
                  </w:r>
                </w:p>
              </w:tc>
              <w:tc>
                <w:tcPr/>
                <w:p>
                  <w:pPr>
                    <w:pStyle w:val="Compact"/>
                    <w:jc w:val="center"/>
                  </w:pPr>
                  <w:r>
                    <w:t xml:space="preserve">17.62</w:t>
                  </w:r>
                </w:p>
              </w:tc>
              <w:tc>
                <w:tcPr/>
                <w:p>
                  <w:pPr>
                    <w:pStyle w:val="Compact"/>
                    <w:jc w:val="center"/>
                  </w:pPr>
                  <w:r>
                    <w:t xml:space="preserve">187.8</w:t>
                  </w:r>
                </w:p>
              </w:tc>
              <w:tc>
                <w:tcPr/>
                <w:p>
                  <w:pPr>
                    <w:pStyle w:val="Compact"/>
                    <w:jc w:val="center"/>
                  </w:pPr>
                  <w:r>
                    <w:t xml:space="preserve">3369</w:t>
                  </w:r>
                </w:p>
              </w:tc>
            </w:tr>
            <w:tr>
              <w:tc>
                <w:tcPr/>
                <w:p>
                  <w:pPr>
                    <w:pStyle w:val="Compact"/>
                    <w:jc w:val="center"/>
                  </w:pPr>
                  <w:r>
                    <w:t xml:space="preserve">Gentoo</w:t>
                  </w:r>
                </w:p>
              </w:tc>
              <w:tc>
                <w:tcPr/>
                <w:p>
                  <w:pPr>
                    <w:pStyle w:val="Compact"/>
                    <w:jc w:val="center"/>
                  </w:pPr>
                  <w:r>
                    <w:t xml:space="preserve">49.47</w:t>
                  </w:r>
                </w:p>
              </w:tc>
              <w:tc>
                <w:tcPr/>
                <w:p>
                  <w:pPr>
                    <w:pStyle w:val="Compact"/>
                    <w:jc w:val="center"/>
                  </w:pPr>
                  <w:r>
                    <w:t xml:space="preserve">15.72</w:t>
                  </w:r>
                </w:p>
              </w:tc>
              <w:tc>
                <w:tcPr/>
                <w:p>
                  <w:pPr>
                    <w:pStyle w:val="Compact"/>
                    <w:jc w:val="center"/>
                  </w:pPr>
                  <w:r>
                    <w:t xml:space="preserve">221.5</w:t>
                  </w:r>
                </w:p>
              </w:tc>
              <w:tc>
                <w:tcPr/>
                <w:p>
                  <w:pPr>
                    <w:pStyle w:val="Compact"/>
                    <w:jc w:val="center"/>
                  </w:pPr>
                  <w:r>
                    <w:t xml:space="preserve">5485</w:t>
                  </w:r>
                </w:p>
              </w:tc>
              <w:tc>
                <w:tcPr/>
                <w:p>
                  <w:pPr>
                    <w:pStyle w:val="Compact"/>
                    <w:jc w:val="center"/>
                  </w:pPr>
                  <w:r>
                    <w:t xml:space="preserve">45.56</w:t>
                  </w:r>
                </w:p>
              </w:tc>
              <w:tc>
                <w:tcPr/>
                <w:p>
                  <w:pPr>
                    <w:pStyle w:val="Compact"/>
                    <w:jc w:val="center"/>
                  </w:pPr>
                  <w:r>
                    <w:t xml:space="preserve">14.24</w:t>
                  </w:r>
                </w:p>
              </w:tc>
              <w:tc>
                <w:tcPr/>
                <w:p>
                  <w:pPr>
                    <w:pStyle w:val="Compact"/>
                    <w:jc w:val="center"/>
                  </w:pPr>
                  <w:r>
                    <w:t xml:space="preserve">212.7</w:t>
                  </w:r>
                </w:p>
              </w:tc>
              <w:tc>
                <w:tcPr/>
                <w:p>
                  <w:pPr>
                    <w:pStyle w:val="Compact"/>
                    <w:jc w:val="center"/>
                  </w:pPr>
                  <w:r>
                    <w:t xml:space="preserve">4680</w:t>
                  </w:r>
                </w:p>
              </w:tc>
            </w:tr>
            <w:tr>
              <w:tc>
                <w:tcPr/>
                <w:p>
                  <w:pPr>
                    <w:pStyle w:val="Compact"/>
                    <w:jc w:val="center"/>
                  </w:pPr>
                  <w:r>
                    <w:t xml:space="preserve">Chinstrap</w:t>
                  </w:r>
                </w:p>
              </w:tc>
              <w:tc>
                <w:tcPr/>
                <w:p>
                  <w:pPr>
                    <w:pStyle w:val="Compact"/>
                    <w:jc w:val="center"/>
                  </w:pPr>
                  <w:r>
                    <w:t xml:space="preserve">51.09</w:t>
                  </w:r>
                </w:p>
              </w:tc>
              <w:tc>
                <w:tcPr/>
                <w:p>
                  <w:pPr>
                    <w:pStyle w:val="Compact"/>
                    <w:jc w:val="center"/>
                  </w:pPr>
                  <w:r>
                    <w:t xml:space="preserve">19.25</w:t>
                  </w:r>
                </w:p>
              </w:tc>
              <w:tc>
                <w:tcPr/>
                <w:p>
                  <w:pPr>
                    <w:pStyle w:val="Compact"/>
                    <w:jc w:val="center"/>
                  </w:pPr>
                  <w:r>
                    <w:t xml:space="preserve">199.9</w:t>
                  </w:r>
                </w:p>
              </w:tc>
              <w:tc>
                <w:tcPr/>
                <w:p>
                  <w:pPr>
                    <w:pStyle w:val="Compact"/>
                    <w:jc w:val="center"/>
                  </w:pPr>
                  <w:r>
                    <w:t xml:space="preserve">3939</w:t>
                  </w:r>
                </w:p>
              </w:tc>
              <w:tc>
                <w:tcPr/>
                <w:p>
                  <w:pPr>
                    <w:pStyle w:val="Compact"/>
                    <w:jc w:val="center"/>
                  </w:pPr>
                  <w:r>
                    <w:t xml:space="preserve">46.57</w:t>
                  </w:r>
                </w:p>
              </w:tc>
              <w:tc>
                <w:tcPr/>
                <w:p>
                  <w:pPr>
                    <w:pStyle w:val="Compact"/>
                    <w:jc w:val="center"/>
                  </w:pPr>
                  <w:r>
                    <w:t xml:space="preserve">17.59</w:t>
                  </w:r>
                </w:p>
              </w:tc>
              <w:tc>
                <w:tcPr/>
                <w:p>
                  <w:pPr>
                    <w:pStyle w:val="Compact"/>
                    <w:jc w:val="center"/>
                  </w:pPr>
                  <w:r>
                    <w:t xml:space="preserve">191.7</w:t>
                  </w:r>
                </w:p>
              </w:tc>
              <w:tc>
                <w:tcPr/>
                <w:p>
                  <w:pPr>
                    <w:pStyle w:val="Compact"/>
                    <w:jc w:val="center"/>
                  </w:pPr>
                  <w:r>
                    <w:t xml:space="preserve">3527</w:t>
                  </w:r>
                </w:p>
              </w:tc>
            </w:tr>
            <w:tr>
              <w:tc>
                <w:tcPr>
                  <w:gridSpan w:val="9"/>
                </w:tcPr>
                <w:p>
                  <w:pPr>
                    <w:pStyle w:val="Compac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center"/>
                  </w:pPr>
                  <w:r>
                    <w:t xml:space="preserve">Bill Length (mm)</w:t>
                  </w:r>
                </w:p>
              </w:tc>
              <w:tc>
                <w:tcPr>
                  <w:gridSpan w:val="3"/>
                </w:tcPr>
                <w:p>
                  <w:pPr>
                    <w:pStyle w:val="Compac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center"/>
                  </w:pPr>
                  <w:r>
                    <w:t xml:space="preserve">Chinstrap</w:t>
                  </w:r>
                </w:p>
              </w:tc>
              <w:tc>
                <w:tcPr/>
                <w:p>
                  <w:pPr>
                    <w:pStyle w:val="Compact"/>
                    <w:jc w:val="center"/>
                  </w:pPr>
                  <w:r>
                    <w:t xml:space="preserve">10.042**</w:t>
                  </w:r>
                </w:p>
              </w:tc>
              <w:tc>
                <w:tcPr/>
                <w:p>
                  <w:pPr>
                    <w:pStyle w:val="Compact"/>
                    <w:jc w:val="center"/>
                  </w:pPr>
                  <w:r>
                    <w:t xml:space="preserve">10.010**</w:t>
                  </w:r>
                </w:p>
              </w:tc>
              <w:tc>
                <w:tcPr/>
                <w:p>
                  <w:pPr>
                    <w:pStyle w:val="Compact"/>
                    <w:jc w:val="center"/>
                  </w:pPr>
                  <w:r>
                    <w:t xml:space="preserve">10.037**</w:t>
                  </w:r>
                </w:p>
              </w:tc>
              <w:tc>
                <w:tcPr/>
                <w:p>
                  <w:pPr>
                    <w:pStyle w:val="Compact"/>
                    <w:jc w:val="center"/>
                  </w:pPr>
                  <w:r>
                    <w:t xml:space="preserve">32.426</w:t>
                  </w:r>
                </w:p>
              </w:tc>
              <w:tc>
                <w:tcPr/>
                <w:p>
                  <w:pPr>
                    <w:pStyle w:val="Compact"/>
                    <w:jc w:val="center"/>
                  </w:pPr>
                  <w:r>
                    <w:t xml:space="preserve">26.924</w:t>
                  </w:r>
                </w:p>
              </w:tc>
              <w:tc>
                <w:tcPr/>
                <w:p>
                  <w:pPr>
                    <w:pStyle w:val="Compact"/>
                    <w:jc w:val="center"/>
                  </w:pPr>
                  <w:r>
                    <w:t xml:space="preserve">27.229</w:t>
                  </w:r>
                </w:p>
              </w:tc>
            </w:tr>
            <w:tr>
              <w:tc>
                <w:tcPr/>
                <w:p>
                  <w:pPr>
                    <w:pStyle w:val="Compact"/>
                  </w:pPr>
                </w:p>
              </w:tc>
              <w:tc>
                <w:tcPr/>
                <w:p>
                  <w:pPr>
                    <w:pStyle w:val="Compact"/>
                    <w:jc w:val="center"/>
                  </w:pPr>
                  <w:r>
                    <w:t xml:space="preserve">(0.432)</w:t>
                  </w:r>
                </w:p>
              </w:tc>
              <w:tc>
                <w:tcPr/>
                <w:p>
                  <w:pPr>
                    <w:pStyle w:val="Compact"/>
                    <w:jc w:val="center"/>
                  </w:pPr>
                  <w:r>
                    <w:t xml:space="preserve">(0.341)</w:t>
                  </w:r>
                </w:p>
              </w:tc>
              <w:tc>
                <w:tcPr/>
                <w:p>
                  <w:pPr>
                    <w:pStyle w:val="Compact"/>
                    <w:jc w:val="center"/>
                  </w:pPr>
                  <w:r>
                    <w:t xml:space="preserve">(0.340)</w:t>
                  </w:r>
                </w:p>
              </w:tc>
              <w:tc>
                <w:tcPr/>
                <w:p>
                  <w:pPr>
                    <w:pStyle w:val="Compact"/>
                    <w:jc w:val="center"/>
                  </w:pPr>
                  <w:r>
                    <w:t xml:space="preserve">(67.512)</w:t>
                  </w:r>
                </w:p>
              </w:tc>
              <w:tc>
                <w:tcPr/>
                <w:p>
                  <w:pPr>
                    <w:pStyle w:val="Compact"/>
                    <w:jc w:val="center"/>
                  </w:pPr>
                  <w:r>
                    <w:t xml:space="preserve">(46.483)</w:t>
                  </w:r>
                </w:p>
              </w:tc>
              <w:tc>
                <w:tcPr/>
                <w:p>
                  <w:pPr>
                    <w:pStyle w:val="Compact"/>
                    <w:jc w:val="center"/>
                  </w:pPr>
                  <w:r>
                    <w:t xml:space="preserve">(46.587)</w:t>
                  </w:r>
                </w:p>
              </w:tc>
            </w:tr>
            <w:tr>
              <w:tc>
                <w:tcPr/>
                <w:p>
                  <w:pPr>
                    <w:pStyle w:val="Compact"/>
                    <w:jc w:val="center"/>
                  </w:pPr>
                  <w:r>
                    <w:t xml:space="preserve">Gentoo</w:t>
                  </w:r>
                </w:p>
              </w:tc>
              <w:tc>
                <w:tcPr/>
                <w:p>
                  <w:pPr>
                    <w:pStyle w:val="Compact"/>
                    <w:jc w:val="center"/>
                  </w:pPr>
                  <w:r>
                    <w:t xml:space="preserve">8.713**</w:t>
                  </w:r>
                </w:p>
              </w:tc>
              <w:tc>
                <w:tcPr/>
                <w:p>
                  <w:pPr>
                    <w:pStyle w:val="Compact"/>
                    <w:jc w:val="center"/>
                  </w:pPr>
                  <w:r>
                    <w:t xml:space="preserve">8.698**</w:t>
                  </w:r>
                </w:p>
              </w:tc>
              <w:tc>
                <w:tcPr/>
                <w:p>
                  <w:pPr>
                    <w:pStyle w:val="Compact"/>
                    <w:jc w:val="center"/>
                  </w:pPr>
                  <w:r>
                    <w:t xml:space="preserve">8.693**</w:t>
                  </w:r>
                </w:p>
              </w:tc>
              <w:tc>
                <w:tcPr/>
                <w:p>
                  <w:pPr>
                    <w:pStyle w:val="Compact"/>
                    <w:jc w:val="center"/>
                  </w:pPr>
                  <w:r>
                    <w:t xml:space="preserve">1375.354**</w:t>
                  </w:r>
                </w:p>
              </w:tc>
              <w:tc>
                <w:tcPr/>
                <w:p>
                  <w:pPr>
                    <w:pStyle w:val="Compact"/>
                    <w:jc w:val="center"/>
                  </w:pPr>
                  <w:r>
                    <w:t xml:space="preserve">1377.858**</w:t>
                  </w:r>
                </w:p>
              </w:tc>
              <w:tc>
                <w:tcPr/>
                <w:p>
                  <w:pPr>
                    <w:pStyle w:val="Compact"/>
                    <w:jc w:val="center"/>
                  </w:pPr>
                  <w:r>
                    <w:t xml:space="preserve">1377.813**</w:t>
                  </w:r>
                </w:p>
              </w:tc>
            </w:tr>
            <w:tr>
              <w:tc>
                <w:tcPr/>
                <w:p>
                  <w:pPr>
                    <w:pStyle w:val="Compact"/>
                  </w:pPr>
                </w:p>
              </w:tc>
              <w:tc>
                <w:tcPr/>
                <w:p>
                  <w:pPr>
                    <w:pStyle w:val="Compact"/>
                    <w:jc w:val="center"/>
                  </w:pPr>
                  <w:r>
                    <w:t xml:space="preserve">(0.360)</w:t>
                  </w:r>
                </w:p>
              </w:tc>
              <w:tc>
                <w:tcPr/>
                <w:p>
                  <w:pPr>
                    <w:pStyle w:val="Compact"/>
                    <w:jc w:val="center"/>
                  </w:pPr>
                  <w:r>
                    <w:t xml:space="preserve">(0.287)</w:t>
                  </w:r>
                </w:p>
              </w:tc>
              <w:tc>
                <w:tcPr/>
                <w:p>
                  <w:pPr>
                    <w:pStyle w:val="Compact"/>
                    <w:jc w:val="center"/>
                  </w:pPr>
                  <w:r>
                    <w:t xml:space="preserve">(0.286)</w:t>
                  </w:r>
                </w:p>
              </w:tc>
              <w:tc>
                <w:tcPr/>
                <w:p>
                  <w:pPr>
                    <w:pStyle w:val="Compact"/>
                    <w:jc w:val="center"/>
                  </w:pPr>
                  <w:r>
                    <w:t xml:space="preserve">(56.148)</w:t>
                  </w:r>
                </w:p>
              </w:tc>
              <w:tc>
                <w:tcPr/>
                <w:p>
                  <w:pPr>
                    <w:pStyle w:val="Compact"/>
                    <w:jc w:val="center"/>
                  </w:pPr>
                  <w:r>
                    <w:t xml:space="preserve">(39.104)</w:t>
                  </w:r>
                </w:p>
              </w:tc>
              <w:tc>
                <w:tcPr/>
                <w:p>
                  <w:pPr>
                    <w:pStyle w:val="Compact"/>
                    <w:jc w:val="center"/>
                  </w:pPr>
                  <w:r>
                    <w:t xml:space="preserve">(39.163)</w:t>
                  </w:r>
                </w:p>
              </w:tc>
            </w:tr>
            <w:tr>
              <w:tc>
                <w:tcPr/>
                <w:p>
                  <w:pPr>
                    <w:pStyle w:val="Compact"/>
                    <w:jc w:val="center"/>
                  </w:pPr>
                  <w:r>
                    <w:t xml:space="preserve">Male</w:t>
                  </w:r>
                </w:p>
              </w:tc>
              <w:tc>
                <w:tcPr/>
                <w:p>
                  <w:pPr>
                    <w:pStyle w:val="Compact"/>
                  </w:pPr>
                </w:p>
              </w:tc>
              <w:tc>
                <w:tcPr/>
                <w:p>
                  <w:pPr>
                    <w:pStyle w:val="Compact"/>
                    <w:jc w:val="center"/>
                  </w:pPr>
                  <w:r>
                    <w:t xml:space="preserve">3.694**</w:t>
                  </w:r>
                </w:p>
              </w:tc>
              <w:tc>
                <w:tcPr/>
                <w:p>
                  <w:pPr>
                    <w:pStyle w:val="Compact"/>
                    <w:jc w:val="center"/>
                  </w:pPr>
                  <w:r>
                    <w:t xml:space="preserve">3.694**</w:t>
                  </w:r>
                </w:p>
              </w:tc>
              <w:tc>
                <w:tcPr/>
                <w:p>
                  <w:pPr>
                    <w:pStyle w:val="Compact"/>
                  </w:pPr>
                </w:p>
              </w:tc>
              <w:tc>
                <w:tcPr/>
                <w:p>
                  <w:pPr>
                    <w:pStyle w:val="Compact"/>
                    <w:jc w:val="center"/>
                  </w:pPr>
                  <w:r>
                    <w:t xml:space="preserve">667.555**</w:t>
                  </w:r>
                </w:p>
              </w:tc>
              <w:tc>
                <w:tcPr/>
                <w:p>
                  <w:pPr>
                    <w:pStyle w:val="Compact"/>
                    <w:jc w:val="center"/>
                  </w:pPr>
                  <w:r>
                    <w:t xml:space="preserve">667.560**</w:t>
                  </w:r>
                </w:p>
              </w:tc>
            </w:tr>
            <w:tr>
              <w:tc>
                <w:tcPr/>
                <w:p>
                  <w:pPr>
                    <w:pStyle w:val="Compact"/>
                  </w:pPr>
                </w:p>
              </w:tc>
              <w:tc>
                <w:tcPr/>
                <w:p>
                  <w:pPr>
                    <w:pStyle w:val="Compact"/>
                  </w:pPr>
                </w:p>
              </w:tc>
              <w:tc>
                <w:tcPr/>
                <w:p>
                  <w:pPr>
                    <w:pStyle w:val="Compact"/>
                    <w:jc w:val="center"/>
                  </w:pPr>
                  <w:r>
                    <w:t xml:space="preserve">(0.255)</w:t>
                  </w:r>
                </w:p>
              </w:tc>
              <w:tc>
                <w:tcPr/>
                <w:p>
                  <w:pPr>
                    <w:pStyle w:val="Compact"/>
                    <w:jc w:val="center"/>
                  </w:pPr>
                  <w:r>
                    <w:t xml:space="preserve">(0.254)</w:t>
                  </w:r>
                </w:p>
              </w:tc>
              <w:tc>
                <w:tcPr/>
                <w:p>
                  <w:pPr>
                    <w:pStyle w:val="Compact"/>
                  </w:pPr>
                </w:p>
              </w:tc>
              <w:tc>
                <w:tcPr/>
                <w:p>
                  <w:pPr>
                    <w:pStyle w:val="Compact"/>
                    <w:jc w:val="center"/>
                  </w:pPr>
                  <w:r>
                    <w:t xml:space="preserve">(34.704)</w:t>
                  </w:r>
                </w:p>
              </w:tc>
              <w:tc>
                <w:tcPr/>
                <w:p>
                  <w:pPr>
                    <w:pStyle w:val="Compact"/>
                    <w:jc w:val="center"/>
                  </w:pPr>
                  <w:r>
                    <w:t xml:space="preserve">(34.755)</w:t>
                  </w:r>
                </w:p>
              </w:tc>
            </w:tr>
            <w:tr>
              <w:tc>
                <w:tcPr/>
                <w:p>
                  <w:pPr>
                    <w:pStyle w:val="Compact"/>
                    <w:jc w:val="center"/>
                  </w:pPr>
                  <w:r>
                    <w:t xml:space="preserve">Year</w:t>
                  </w:r>
                </w:p>
              </w:tc>
              <w:tc>
                <w:tcPr/>
                <w:p>
                  <w:pPr>
                    <w:pStyle w:val="Compact"/>
                  </w:pPr>
                </w:p>
              </w:tc>
              <w:tc>
                <w:tcPr/>
                <w:p>
                  <w:pPr>
                    <w:pStyle w:val="Compact"/>
                  </w:pPr>
                </w:p>
              </w:tc>
              <w:tc>
                <w:tcPr/>
                <w:p>
                  <w:pPr>
                    <w:pStyle w:val="Compact"/>
                    <w:jc w:val="center"/>
                  </w:pPr>
                  <w:r>
                    <w:t xml:space="preserve">0.324*</w:t>
                  </w:r>
                </w:p>
              </w:tc>
              <w:tc>
                <w:tcPr/>
                <w:p>
                  <w:pPr>
                    <w:pStyle w:val="Compact"/>
                  </w:pPr>
                </w:p>
              </w:tc>
              <w:tc>
                <w:tcPr/>
                <w:p>
                  <w:pPr>
                    <w:pStyle w:val="Compact"/>
                  </w:pPr>
                </w:p>
              </w:tc>
              <w:tc>
                <w:tcPr/>
                <w:p>
                  <w:pPr>
                    <w:pStyle w:val="Compact"/>
                    <w:jc w:val="center"/>
                  </w:pPr>
                  <w:r>
                    <w:t xml:space="preserve">3.629</w:t>
                  </w:r>
                </w:p>
              </w:tc>
            </w:tr>
            <w:tr>
              <w:tc>
                <w:tcPr/>
                <w:p>
                  <w:pPr>
                    <w:pStyle w:val="Compact"/>
                  </w:pPr>
                </w:p>
              </w:tc>
              <w:tc>
                <w:tcPr/>
                <w:p>
                  <w:pPr>
                    <w:pStyle w:val="Compact"/>
                  </w:pPr>
                </w:p>
              </w:tc>
              <w:tc>
                <w:tcPr/>
                <w:p>
                  <w:pPr>
                    <w:pStyle w:val="Compact"/>
                  </w:pPr>
                </w:p>
              </w:tc>
              <w:tc>
                <w:tcPr/>
                <w:p>
                  <w:pPr>
                    <w:pStyle w:val="Compact"/>
                    <w:jc w:val="center"/>
                  </w:pPr>
                  <w:r>
                    <w:t xml:space="preserve">(0.156)</w:t>
                  </w:r>
                </w:p>
              </w:tc>
              <w:tc>
                <w:tcPr/>
                <w:p>
                  <w:pPr>
                    <w:pStyle w:val="Compact"/>
                  </w:pPr>
                </w:p>
              </w:tc>
              <w:tc>
                <w:tcPr/>
                <w:p>
                  <w:pPr>
                    <w:pStyle w:val="Compact"/>
                  </w:pPr>
                </w:p>
              </w:tc>
              <w:tc>
                <w:tcPr/>
                <w:p>
                  <w:pPr>
                    <w:pStyle w:val="Compact"/>
                    <w:jc w:val="center"/>
                  </w:pPr>
                  <w:r>
                    <w:t xml:space="preserve">(21.428)</w:t>
                  </w:r>
                </w:p>
              </w:tc>
            </w:tr>
            <w:tr>
              <w:tc>
                <w:tcPr/>
                <w:p>
                  <w:pPr>
                    <w:pStyle w:val="Compact"/>
                    <w:jc w:val="center"/>
                  </w:pPr>
                  <w:r>
                    <w:t xml:space="preserve">Observations</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r>
            <w:tr>
              <w:tc>
                <w:tcPr>
                  <w:gridSpan w:val="7"/>
                </w:tcPr>
                <w:p>
                  <w:pPr>
                    <w:pStyle w:val="Compact"/>
                    <w:numPr>
                      <w:ilvl w:val="0"/>
                      <w:numId w:val="1007"/>
                    </w:numPr>
                    <w:jc w:val="center"/>
                  </w:pPr>
                  <w:r>
                    <w:t xml:space="preserve">p &lt; 0.1, * p &lt; 0.05, ** p &lt; 0.01</w:t>
                  </w:r>
                </w:p>
              </w:tc>
            </w:tr>
            <w:tr>
              <w:tc>
                <w:tcPr>
                  <w:gridSpan w:val="7"/>
                </w:tcPr>
                <w:p>
                  <w:pPr>
                    <w:pStyle w:val="Compac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center"/>
                  </w:pPr>
                  <w:r>
                    <w:t xml:space="preserve">Math</w:t>
                  </w:r>
                </w:p>
              </w:tc>
            </w:tr>
            <w:tr>
              <w:tc>
                <w:tcPr/>
                <w:p>
                  <w:pPr>
                    <w:pStyle w:val="Compact"/>
                    <w:jc w:val="center"/>
                  </w:pPr>
                  <m:oMath>
                    <m:r>
                      <m:t>α</m:t>
                    </m:r>
                  </m:oMath>
                </w:p>
              </w:tc>
            </w:tr>
            <w:tr>
              <w:tc>
                <w:tcPr/>
                <w:p>
                  <w:pPr>
                    <w:pStyle w:val="Compact"/>
                    <w:jc w:val="center"/>
                  </w:pPr>
                  <m:oMath>
                    <m:sSub>
                      <m:e>
                        <m:r>
                          <m:t>a</m:t>
                        </m:r>
                      </m:e>
                      <m:sub>
                        <m:r>
                          <m:t>i</m:t>
                        </m:r>
                        <m:r>
                          <m:t>t</m:t>
                        </m:r>
                      </m:sub>
                    </m:sSub>
                  </m:oMath>
                </w:p>
              </w:tc>
            </w:tr>
            <w:tr>
              <w:tc>
                <w:tcPr/>
                <w:p>
                  <w:pPr>
                    <w:pStyle w:val="Compac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“A.1.1”</w:t>
      </w:r>
      <w:r>
        <w:t xml:space="preserve"> </w:t>
      </w:r>
      <w:r>
        <w:t xml:space="preserve">in the appendix.</w:t>
      </w:r>
      <w:r>
        <w:t xml:space="preserve"> </w:t>
      </w:r>
      <w:r>
        <w:t xml:space="preserve">The second section in the appendix will be</w:t>
      </w:r>
      <w:r>
        <w:t xml:space="preserve"> </w:t>
      </w:r>
      <w:r>
        <w:t xml:space="preserve">“B”</w:t>
      </w:r>
      <w:r>
        <w:t xml:space="preserve">.</w:t>
      </w:r>
      <w:r>
        <w:t xml:space="preserve"> </w:t>
      </w:r>
      <w:r>
        <w:t xml:space="preserve">On the other hand, the figure numbering will be reset to</w:t>
      </w:r>
      <w:r>
        <w:t xml:space="preserve"> </w:t>
      </w:r>
      <w:r>
        <w:t xml:space="preserve">“A.1”</w:t>
      </w:r>
      <w:r>
        <w:t xml:space="preserve">,</w:t>
      </w:r>
      <w:r>
        <w:t xml:space="preserve"> </w:t>
      </w:r>
      <w:r>
        <w:t xml:space="preserve">“A.2”</w:t>
      </w:r>
      <w:r>
        <w:t xml:space="preserve"> </w:t>
      </w:r>
      <w:r>
        <w:t xml:space="preserve">so that it is clear that these figures are part of the appendix.</w:t>
      </w:r>
      <w:r>
        <w:t xml:space="preserve"> </w:t>
      </w:r>
      <w:r>
        <w:t xml:space="preserve">The</w:t>
      </w:r>
      <w:r>
        <w:t xml:space="preserve"> </w:t>
      </w:r>
      <w:r>
        <w:t xml:space="preserve">“A”</w:t>
      </w:r>
      <w:r>
        <w:t xml:space="preserve"> </w:t>
      </w:r>
      <w:r>
        <w:t xml:space="preserve">stands for the</w:t>
      </w:r>
      <w:r>
        <w:t xml:space="preserve"> </w:t>
      </w:r>
      <w:r>
        <w:t xml:space="preserve">“Appendix”</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4" Target="media/rId44.jpg" /><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4" Target="https://github.com/equihuam/prueba-git" TargetMode="External" /><Relationship Type="http://schemas.openxmlformats.org/officeDocument/2006/relationships/hyperlink" Id="rId20" Target="https://github.com/kazuyanagimoto/quarto-academic-typst" TargetMode="External" /><Relationship Type="http://schemas.openxmlformats.org/officeDocument/2006/relationships/hyperlink" Id="rId55" Target="https://github.com/kjhealy/latex-custom-kjh"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4" Target="https://github.com/equihuam/prueba-git" TargetMode="External" /><Relationship Type="http://schemas.openxmlformats.org/officeDocument/2006/relationships/hyperlink" Id="rId20" Target="https://github.com/kazuyanagimoto/quarto-academic-typst" TargetMode="External" /><Relationship Type="http://schemas.openxmlformats.org/officeDocument/2006/relationships/hyperlink" Id="rId55" Target="https://github.com/kjhealy/latex-custom-kjh"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para Marcelo</dc:title>
  <dc:creator>Miguel Equihua</dc:creator>
  <dc:language>es</dc:language>
  <cp:keywords>Quarto, Typst, format</cp:keywords>
  <dcterms:created xsi:type="dcterms:W3CDTF">2025-06-30T19:20:46Z</dcterms:created>
  <dcterms:modified xsi:type="dcterms:W3CDTF">2025-06-30T19:20:46Z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Etiam quis tortor luctus, pellentesque ante a, finibus dolor. Phasellus in nibh et magna pulvinar malesuada. Ut nisl ex, sagittis at sollicitudin et, sollicitudin id nunc. In id porta urna. Proin porta dolor dolor, vel dapibus nisi lacinia in. Pellentesque ante mauris, ornare non euismod a, fermentum ut sapien. Proin sed vehicula enim. Aliquam tortor odio, vestibulum vitae odio in, tempor molestie justo. Praesent maximus lacus nec leo maximus blandit.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paper-refs.bib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lunes, 30 de junio de 2025</vt:lpwstr>
  </property>
  <property fmtid="{D5CDD505-2E9C-101B-9397-08002B2CF9AE}" pid="11" name="date-format">
    <vt:lpwstr>full</vt:lpwstr>
  </property>
  <property fmtid="{D5CDD505-2E9C-101B-9397-08002B2CF9AE}" pid="12" name="editor">
    <vt:lpwstr>source</vt:lpwstr>
  </property>
  <property fmtid="{D5CDD505-2E9C-101B-9397-08002B2CF9AE}" pid="13" name="execute">
    <vt:lpwstr/>
  </property>
  <property fmtid="{D5CDD505-2E9C-101B-9397-08002B2CF9AE}" pid="14" name="header">
    <vt:lpwstr>Por favor haga click AQUÍ para ir al documento en Github.</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params">
    <vt:lpwstr/>
  </property>
  <property fmtid="{D5CDD505-2E9C-101B-9397-08002B2CF9AE}" pid="20" name="subtitle">
    <vt:lpwstr>Uso de Quarto + Typst para reportes científicos</vt:lpwstr>
  </property>
  <property fmtid="{D5CDD505-2E9C-101B-9397-08002B2CF9AE}" pid="21" name="thanks">
    <vt:lpwstr>This template is inspired by Kieran Healy’s LaTeX and Rmd template and Andrew Heiss’s Hikmah Quarto template.</vt:lpwstr>
  </property>
  <property fmtid="{D5CDD505-2E9C-101B-9397-08002B2CF9AE}" pid="22" name="title-block-banner">
    <vt:lpwstr>True</vt:lpwstr>
  </property>
  <property fmtid="{D5CDD505-2E9C-101B-9397-08002B2CF9AE}" pid="23" name="toc-title">
    <vt:lpwstr>Tabla de contenidos</vt:lpwstr>
  </property>
</Properties>
</file>