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 Mejor Masa de Pizza para Marcelo</w:t>
      </w:r>
    </w:p>
    <w:p>
      <w:pPr>
        <w:pStyle w:val="Subtitle"/>
      </w:pPr>
      <w:r>
        <w:t xml:space="preserve">Uso de Quarto + Typst para reportes científicos</w:t>
      </w:r>
    </w:p>
    <w:p>
      <w:pPr>
        <w:pStyle w:val="Author"/>
      </w:pPr>
      <w:r>
        <w:t xml:space="preserve">Miguel Equihua</w:t>
      </w:r>
    </w:p>
    <w:p>
      <w:pPr>
        <w:pStyle w:val="Date"/>
      </w:pPr>
      <w:r>
        <w:t xml:space="preserve">lunes, 5 de mayo de 2025</w:t>
      </w:r>
    </w:p>
    <w:p>
      <w:pPr>
        <w:pStyle w:val="AbstractTitle"/>
      </w:pPr>
      <w:r>
        <w:t xml:space="preserve">Resumen</w:t>
      </w:r>
    </w:p>
    <w:p>
      <w:pPr>
        <w:pStyle w:val="Abstract"/>
      </w:pPr>
      <w:r>
        <w:t xml:space="preserve">Lorem ipsum dolor sit amet, consectetur adipiscing elit. Duis sagittis posuere ligula sit amet lacinia. Duis dignissim pellentesque magna, rhoncus congue sapien finibus mollis. Ut eu sem laoreet, vehicula ipsum in, convallis erat. Vestibulum magna sem, blandit pulvinar augue sit amet, auctor malesuada sapien. Nullam faucibus leo eget eros hendrerit, non laoreet ipsum lacinia. Curabitur cursus diam elit, non tempus ante volutpat a. Quisque hendrerit blandit purus non fringilla. Integer sit amet elit viverra ante dapibus semper. Vestibulum viverra rutrum enim, at luctus enim posuere eu. Orci varius natoque penatibus et magnis dis parturient montes, nascetur ridiculus mus.</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center"/>
                  </w:pPr>
                  <w:r>
                    <w:t xml:space="preserve">Male</w:t>
                  </w:r>
                </w:p>
              </w:tc>
              <w:tc>
                <w:tcPr>
                  <w:gridSpan w:val="4"/>
                </w:tcPr>
                <w:p>
                  <w:pPr>
                    <w:pStyle w:val="Compact"/>
                    <w:jc w:val="center"/>
                  </w:pPr>
                  <w:r>
                    <w:t xml:space="preserve">Female</w:t>
                  </w:r>
                </w:p>
              </w:tc>
            </w:tr>
            <w:tr>
              <w:trPr>
                <w:tblHeader w:val="on"/>
              </w:trPr>
              <w:tc>
                <w:tcPr/>
                <w:p>
                  <w:pPr>
                    <w:pStyle w:val="Compact"/>
                  </w:pP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r>
            <w:tr>
              <w:tc>
                <w:tcPr/>
                <w:p>
                  <w:pPr>
                    <w:pStyle w:val="Compact"/>
                    <w:jc w:val="center"/>
                  </w:pPr>
                  <w:r>
                    <w:t xml:space="preserve">Adelie</w:t>
                  </w:r>
                </w:p>
              </w:tc>
              <w:tc>
                <w:tcPr/>
                <w:p>
                  <w:pPr>
                    <w:pStyle w:val="Compact"/>
                    <w:jc w:val="center"/>
                  </w:pPr>
                  <w:r>
                    <w:t xml:space="preserve">40.39</w:t>
                  </w:r>
                </w:p>
              </w:tc>
              <w:tc>
                <w:tcPr/>
                <w:p>
                  <w:pPr>
                    <w:pStyle w:val="Compact"/>
                    <w:jc w:val="center"/>
                  </w:pPr>
                  <w:r>
                    <w:t xml:space="preserve">19.07</w:t>
                  </w:r>
                </w:p>
              </w:tc>
              <w:tc>
                <w:tcPr/>
                <w:p>
                  <w:pPr>
                    <w:pStyle w:val="Compact"/>
                    <w:jc w:val="center"/>
                  </w:pPr>
                  <w:r>
                    <w:t xml:space="preserve">192.4</w:t>
                  </w:r>
                </w:p>
              </w:tc>
              <w:tc>
                <w:tcPr/>
                <w:p>
                  <w:pPr>
                    <w:pStyle w:val="Compact"/>
                    <w:jc w:val="center"/>
                  </w:pPr>
                  <w:r>
                    <w:t xml:space="preserve">4043</w:t>
                  </w:r>
                </w:p>
              </w:tc>
              <w:tc>
                <w:tcPr/>
                <w:p>
                  <w:pPr>
                    <w:pStyle w:val="Compact"/>
                    <w:jc w:val="center"/>
                  </w:pPr>
                  <w:r>
                    <w:t xml:space="preserve">37.26</w:t>
                  </w:r>
                </w:p>
              </w:tc>
              <w:tc>
                <w:tcPr/>
                <w:p>
                  <w:pPr>
                    <w:pStyle w:val="Compact"/>
                    <w:jc w:val="center"/>
                  </w:pPr>
                  <w:r>
                    <w:t xml:space="preserve">17.62</w:t>
                  </w:r>
                </w:p>
              </w:tc>
              <w:tc>
                <w:tcPr/>
                <w:p>
                  <w:pPr>
                    <w:pStyle w:val="Compact"/>
                    <w:jc w:val="center"/>
                  </w:pPr>
                  <w:r>
                    <w:t xml:space="preserve">187.8</w:t>
                  </w:r>
                </w:p>
              </w:tc>
              <w:tc>
                <w:tcPr/>
                <w:p>
                  <w:pPr>
                    <w:pStyle w:val="Compact"/>
                    <w:jc w:val="center"/>
                  </w:pPr>
                  <w:r>
                    <w:t xml:space="preserve">3369</w:t>
                  </w:r>
                </w:p>
              </w:tc>
            </w:tr>
            <w:tr>
              <w:tc>
                <w:tcPr/>
                <w:p>
                  <w:pPr>
                    <w:pStyle w:val="Compact"/>
                    <w:jc w:val="center"/>
                  </w:pPr>
                  <w:r>
                    <w:t xml:space="preserve">Gentoo</w:t>
                  </w:r>
                </w:p>
              </w:tc>
              <w:tc>
                <w:tcPr/>
                <w:p>
                  <w:pPr>
                    <w:pStyle w:val="Compact"/>
                    <w:jc w:val="center"/>
                  </w:pPr>
                  <w:r>
                    <w:t xml:space="preserve">49.47</w:t>
                  </w:r>
                </w:p>
              </w:tc>
              <w:tc>
                <w:tcPr/>
                <w:p>
                  <w:pPr>
                    <w:pStyle w:val="Compact"/>
                    <w:jc w:val="center"/>
                  </w:pPr>
                  <w:r>
                    <w:t xml:space="preserve">15.72</w:t>
                  </w:r>
                </w:p>
              </w:tc>
              <w:tc>
                <w:tcPr/>
                <w:p>
                  <w:pPr>
                    <w:pStyle w:val="Compact"/>
                    <w:jc w:val="center"/>
                  </w:pPr>
                  <w:r>
                    <w:t xml:space="preserve">221.5</w:t>
                  </w:r>
                </w:p>
              </w:tc>
              <w:tc>
                <w:tcPr/>
                <w:p>
                  <w:pPr>
                    <w:pStyle w:val="Compact"/>
                    <w:jc w:val="center"/>
                  </w:pPr>
                  <w:r>
                    <w:t xml:space="preserve">5485</w:t>
                  </w:r>
                </w:p>
              </w:tc>
              <w:tc>
                <w:tcPr/>
                <w:p>
                  <w:pPr>
                    <w:pStyle w:val="Compact"/>
                    <w:jc w:val="center"/>
                  </w:pPr>
                  <w:r>
                    <w:t xml:space="preserve">45.56</w:t>
                  </w:r>
                </w:p>
              </w:tc>
              <w:tc>
                <w:tcPr/>
                <w:p>
                  <w:pPr>
                    <w:pStyle w:val="Compact"/>
                    <w:jc w:val="center"/>
                  </w:pPr>
                  <w:r>
                    <w:t xml:space="preserve">14.24</w:t>
                  </w:r>
                </w:p>
              </w:tc>
              <w:tc>
                <w:tcPr/>
                <w:p>
                  <w:pPr>
                    <w:pStyle w:val="Compact"/>
                    <w:jc w:val="center"/>
                  </w:pPr>
                  <w:r>
                    <w:t xml:space="preserve">212.7</w:t>
                  </w:r>
                </w:p>
              </w:tc>
              <w:tc>
                <w:tcPr/>
                <w:p>
                  <w:pPr>
                    <w:pStyle w:val="Compact"/>
                    <w:jc w:val="center"/>
                  </w:pPr>
                  <w:r>
                    <w:t xml:space="preserve">4680</w:t>
                  </w:r>
                </w:p>
              </w:tc>
            </w:tr>
            <w:tr>
              <w:tc>
                <w:tcPr/>
                <w:p>
                  <w:pPr>
                    <w:pStyle w:val="Compact"/>
                    <w:jc w:val="center"/>
                  </w:pPr>
                  <w:r>
                    <w:t xml:space="preserve">Chinstrap</w:t>
                  </w:r>
                </w:p>
              </w:tc>
              <w:tc>
                <w:tcPr/>
                <w:p>
                  <w:pPr>
                    <w:pStyle w:val="Compact"/>
                    <w:jc w:val="center"/>
                  </w:pPr>
                  <w:r>
                    <w:t xml:space="preserve">51.09</w:t>
                  </w:r>
                </w:p>
              </w:tc>
              <w:tc>
                <w:tcPr/>
                <w:p>
                  <w:pPr>
                    <w:pStyle w:val="Compact"/>
                    <w:jc w:val="center"/>
                  </w:pPr>
                  <w:r>
                    <w:t xml:space="preserve">19.25</w:t>
                  </w:r>
                </w:p>
              </w:tc>
              <w:tc>
                <w:tcPr/>
                <w:p>
                  <w:pPr>
                    <w:pStyle w:val="Compact"/>
                    <w:jc w:val="center"/>
                  </w:pPr>
                  <w:r>
                    <w:t xml:space="preserve">199.9</w:t>
                  </w:r>
                </w:p>
              </w:tc>
              <w:tc>
                <w:tcPr/>
                <w:p>
                  <w:pPr>
                    <w:pStyle w:val="Compact"/>
                    <w:jc w:val="center"/>
                  </w:pPr>
                  <w:r>
                    <w:t xml:space="preserve">3939</w:t>
                  </w:r>
                </w:p>
              </w:tc>
              <w:tc>
                <w:tcPr/>
                <w:p>
                  <w:pPr>
                    <w:pStyle w:val="Compact"/>
                    <w:jc w:val="center"/>
                  </w:pPr>
                  <w:r>
                    <w:t xml:space="preserve">46.57</w:t>
                  </w:r>
                </w:p>
              </w:tc>
              <w:tc>
                <w:tcPr/>
                <w:p>
                  <w:pPr>
                    <w:pStyle w:val="Compact"/>
                    <w:jc w:val="center"/>
                  </w:pPr>
                  <w:r>
                    <w:t xml:space="preserve">17.59</w:t>
                  </w:r>
                </w:p>
              </w:tc>
              <w:tc>
                <w:tcPr/>
                <w:p>
                  <w:pPr>
                    <w:pStyle w:val="Compact"/>
                    <w:jc w:val="center"/>
                  </w:pPr>
                  <w:r>
                    <w:t xml:space="preserve">191.7</w:t>
                  </w:r>
                </w:p>
              </w:tc>
              <w:tc>
                <w:tcPr/>
                <w:p>
                  <w:pPr>
                    <w:pStyle w:val="Compact"/>
                    <w:jc w:val="center"/>
                  </w:pPr>
                  <w:r>
                    <w:t xml:space="preserve">3527</w:t>
                  </w:r>
                </w:p>
              </w:tc>
            </w:tr>
            <w:tr>
              <w:tc>
                <w:tcPr>
                  <w:gridSpan w:val="9"/>
                </w:tcPr>
                <w:p>
                  <w:pPr>
                    <w:pStyle w:val="Compac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center"/>
                  </w:pPr>
                  <w:r>
                    <w:t xml:space="preserve">Bill Length (mm)</w:t>
                  </w:r>
                </w:p>
              </w:tc>
              <w:tc>
                <w:tcPr>
                  <w:gridSpan w:val="3"/>
                </w:tcPr>
                <w:p>
                  <w:pPr>
                    <w:pStyle w:val="Compac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center"/>
                  </w:pPr>
                  <w:r>
                    <w:t xml:space="preserve">Chinstrap</w:t>
                  </w:r>
                </w:p>
              </w:tc>
              <w:tc>
                <w:tcPr/>
                <w:p>
                  <w:pPr>
                    <w:pStyle w:val="Compact"/>
                    <w:jc w:val="center"/>
                  </w:pPr>
                  <w:r>
                    <w:t xml:space="preserve">10.042**</w:t>
                  </w:r>
                </w:p>
              </w:tc>
              <w:tc>
                <w:tcPr/>
                <w:p>
                  <w:pPr>
                    <w:pStyle w:val="Compact"/>
                    <w:jc w:val="center"/>
                  </w:pPr>
                  <w:r>
                    <w:t xml:space="preserve">10.010**</w:t>
                  </w:r>
                </w:p>
              </w:tc>
              <w:tc>
                <w:tcPr/>
                <w:p>
                  <w:pPr>
                    <w:pStyle w:val="Compact"/>
                    <w:jc w:val="center"/>
                  </w:pPr>
                  <w:r>
                    <w:t xml:space="preserve">10.037**</w:t>
                  </w:r>
                </w:p>
              </w:tc>
              <w:tc>
                <w:tcPr/>
                <w:p>
                  <w:pPr>
                    <w:pStyle w:val="Compact"/>
                    <w:jc w:val="center"/>
                  </w:pPr>
                  <w:r>
                    <w:t xml:space="preserve">32.426</w:t>
                  </w:r>
                </w:p>
              </w:tc>
              <w:tc>
                <w:tcPr/>
                <w:p>
                  <w:pPr>
                    <w:pStyle w:val="Compact"/>
                    <w:jc w:val="center"/>
                  </w:pPr>
                  <w:r>
                    <w:t xml:space="preserve">26.924</w:t>
                  </w:r>
                </w:p>
              </w:tc>
              <w:tc>
                <w:tcPr/>
                <w:p>
                  <w:pPr>
                    <w:pStyle w:val="Compact"/>
                    <w:jc w:val="center"/>
                  </w:pPr>
                  <w:r>
                    <w:t xml:space="preserve">27.229</w:t>
                  </w:r>
                </w:p>
              </w:tc>
            </w:tr>
            <w:tr>
              <w:tc>
                <w:tcPr/>
                <w:p>
                  <w:pPr>
                    <w:pStyle w:val="Compact"/>
                  </w:pPr>
                </w:p>
              </w:tc>
              <w:tc>
                <w:tcPr/>
                <w:p>
                  <w:pPr>
                    <w:pStyle w:val="Compact"/>
                    <w:jc w:val="center"/>
                  </w:pPr>
                  <w:r>
                    <w:t xml:space="preserve">(0.432)</w:t>
                  </w:r>
                </w:p>
              </w:tc>
              <w:tc>
                <w:tcPr/>
                <w:p>
                  <w:pPr>
                    <w:pStyle w:val="Compact"/>
                    <w:jc w:val="center"/>
                  </w:pPr>
                  <w:r>
                    <w:t xml:space="preserve">(0.341)</w:t>
                  </w:r>
                </w:p>
              </w:tc>
              <w:tc>
                <w:tcPr/>
                <w:p>
                  <w:pPr>
                    <w:pStyle w:val="Compact"/>
                    <w:jc w:val="center"/>
                  </w:pPr>
                  <w:r>
                    <w:t xml:space="preserve">(0.340)</w:t>
                  </w:r>
                </w:p>
              </w:tc>
              <w:tc>
                <w:tcPr/>
                <w:p>
                  <w:pPr>
                    <w:pStyle w:val="Compact"/>
                    <w:jc w:val="center"/>
                  </w:pPr>
                  <w:r>
                    <w:t xml:space="preserve">(67.512)</w:t>
                  </w:r>
                </w:p>
              </w:tc>
              <w:tc>
                <w:tcPr/>
                <w:p>
                  <w:pPr>
                    <w:pStyle w:val="Compact"/>
                    <w:jc w:val="center"/>
                  </w:pPr>
                  <w:r>
                    <w:t xml:space="preserve">(46.483)</w:t>
                  </w:r>
                </w:p>
              </w:tc>
              <w:tc>
                <w:tcPr/>
                <w:p>
                  <w:pPr>
                    <w:pStyle w:val="Compact"/>
                    <w:jc w:val="center"/>
                  </w:pPr>
                  <w:r>
                    <w:t xml:space="preserve">(46.587)</w:t>
                  </w:r>
                </w:p>
              </w:tc>
            </w:tr>
            <w:tr>
              <w:tc>
                <w:tcPr/>
                <w:p>
                  <w:pPr>
                    <w:pStyle w:val="Compact"/>
                    <w:jc w:val="center"/>
                  </w:pPr>
                  <w:r>
                    <w:t xml:space="preserve">Gentoo</w:t>
                  </w:r>
                </w:p>
              </w:tc>
              <w:tc>
                <w:tcPr/>
                <w:p>
                  <w:pPr>
                    <w:pStyle w:val="Compact"/>
                    <w:jc w:val="center"/>
                  </w:pPr>
                  <w:r>
                    <w:t xml:space="preserve">8.713**</w:t>
                  </w:r>
                </w:p>
              </w:tc>
              <w:tc>
                <w:tcPr/>
                <w:p>
                  <w:pPr>
                    <w:pStyle w:val="Compact"/>
                    <w:jc w:val="center"/>
                  </w:pPr>
                  <w:r>
                    <w:t xml:space="preserve">8.698**</w:t>
                  </w:r>
                </w:p>
              </w:tc>
              <w:tc>
                <w:tcPr/>
                <w:p>
                  <w:pPr>
                    <w:pStyle w:val="Compact"/>
                    <w:jc w:val="center"/>
                  </w:pPr>
                  <w:r>
                    <w:t xml:space="preserve">8.693**</w:t>
                  </w:r>
                </w:p>
              </w:tc>
              <w:tc>
                <w:tcPr/>
                <w:p>
                  <w:pPr>
                    <w:pStyle w:val="Compact"/>
                    <w:jc w:val="center"/>
                  </w:pPr>
                  <w:r>
                    <w:t xml:space="preserve">1375.354**</w:t>
                  </w:r>
                </w:p>
              </w:tc>
              <w:tc>
                <w:tcPr/>
                <w:p>
                  <w:pPr>
                    <w:pStyle w:val="Compact"/>
                    <w:jc w:val="center"/>
                  </w:pPr>
                  <w:r>
                    <w:t xml:space="preserve">1377.858**</w:t>
                  </w:r>
                </w:p>
              </w:tc>
              <w:tc>
                <w:tcPr/>
                <w:p>
                  <w:pPr>
                    <w:pStyle w:val="Compact"/>
                    <w:jc w:val="center"/>
                  </w:pPr>
                  <w:r>
                    <w:t xml:space="preserve">1377.813**</w:t>
                  </w:r>
                </w:p>
              </w:tc>
            </w:tr>
            <w:tr>
              <w:tc>
                <w:tcPr/>
                <w:p>
                  <w:pPr>
                    <w:pStyle w:val="Compact"/>
                  </w:pPr>
                </w:p>
              </w:tc>
              <w:tc>
                <w:tcPr/>
                <w:p>
                  <w:pPr>
                    <w:pStyle w:val="Compact"/>
                    <w:jc w:val="center"/>
                  </w:pPr>
                  <w:r>
                    <w:t xml:space="preserve">(0.360)</w:t>
                  </w:r>
                </w:p>
              </w:tc>
              <w:tc>
                <w:tcPr/>
                <w:p>
                  <w:pPr>
                    <w:pStyle w:val="Compact"/>
                    <w:jc w:val="center"/>
                  </w:pPr>
                  <w:r>
                    <w:t xml:space="preserve">(0.287)</w:t>
                  </w:r>
                </w:p>
              </w:tc>
              <w:tc>
                <w:tcPr/>
                <w:p>
                  <w:pPr>
                    <w:pStyle w:val="Compact"/>
                    <w:jc w:val="center"/>
                  </w:pPr>
                  <w:r>
                    <w:t xml:space="preserve">(0.286)</w:t>
                  </w:r>
                </w:p>
              </w:tc>
              <w:tc>
                <w:tcPr/>
                <w:p>
                  <w:pPr>
                    <w:pStyle w:val="Compact"/>
                    <w:jc w:val="center"/>
                  </w:pPr>
                  <w:r>
                    <w:t xml:space="preserve">(56.148)</w:t>
                  </w:r>
                </w:p>
              </w:tc>
              <w:tc>
                <w:tcPr/>
                <w:p>
                  <w:pPr>
                    <w:pStyle w:val="Compact"/>
                    <w:jc w:val="center"/>
                  </w:pPr>
                  <w:r>
                    <w:t xml:space="preserve">(39.104)</w:t>
                  </w:r>
                </w:p>
              </w:tc>
              <w:tc>
                <w:tcPr/>
                <w:p>
                  <w:pPr>
                    <w:pStyle w:val="Compact"/>
                    <w:jc w:val="center"/>
                  </w:pPr>
                  <w:r>
                    <w:t xml:space="preserve">(39.163)</w:t>
                  </w:r>
                </w:p>
              </w:tc>
            </w:tr>
            <w:tr>
              <w:tc>
                <w:tcPr/>
                <w:p>
                  <w:pPr>
                    <w:pStyle w:val="Compact"/>
                    <w:jc w:val="center"/>
                  </w:pPr>
                  <w:r>
                    <w:t xml:space="preserve">Male</w:t>
                  </w:r>
                </w:p>
              </w:tc>
              <w:tc>
                <w:tcPr/>
                <w:p>
                  <w:pPr>
                    <w:pStyle w:val="Compact"/>
                  </w:pPr>
                </w:p>
              </w:tc>
              <w:tc>
                <w:tcPr/>
                <w:p>
                  <w:pPr>
                    <w:pStyle w:val="Compact"/>
                    <w:jc w:val="center"/>
                  </w:pPr>
                  <w:r>
                    <w:t xml:space="preserve">3.694**</w:t>
                  </w:r>
                </w:p>
              </w:tc>
              <w:tc>
                <w:tcPr/>
                <w:p>
                  <w:pPr>
                    <w:pStyle w:val="Compact"/>
                    <w:jc w:val="center"/>
                  </w:pPr>
                  <w:r>
                    <w:t xml:space="preserve">3.694**</w:t>
                  </w:r>
                </w:p>
              </w:tc>
              <w:tc>
                <w:tcPr/>
                <w:p>
                  <w:pPr>
                    <w:pStyle w:val="Compact"/>
                  </w:pPr>
                </w:p>
              </w:tc>
              <w:tc>
                <w:tcPr/>
                <w:p>
                  <w:pPr>
                    <w:pStyle w:val="Compact"/>
                    <w:jc w:val="center"/>
                  </w:pPr>
                  <w:r>
                    <w:t xml:space="preserve">667.555**</w:t>
                  </w:r>
                </w:p>
              </w:tc>
              <w:tc>
                <w:tcPr/>
                <w:p>
                  <w:pPr>
                    <w:pStyle w:val="Compact"/>
                    <w:jc w:val="center"/>
                  </w:pPr>
                  <w:r>
                    <w:t xml:space="preserve">667.560**</w:t>
                  </w:r>
                </w:p>
              </w:tc>
            </w:tr>
            <w:tr>
              <w:tc>
                <w:tcPr/>
                <w:p>
                  <w:pPr>
                    <w:pStyle w:val="Compact"/>
                  </w:pPr>
                </w:p>
              </w:tc>
              <w:tc>
                <w:tcPr/>
                <w:p>
                  <w:pPr>
                    <w:pStyle w:val="Compact"/>
                  </w:pPr>
                </w:p>
              </w:tc>
              <w:tc>
                <w:tcPr/>
                <w:p>
                  <w:pPr>
                    <w:pStyle w:val="Compact"/>
                    <w:jc w:val="center"/>
                  </w:pPr>
                  <w:r>
                    <w:t xml:space="preserve">(0.255)</w:t>
                  </w:r>
                </w:p>
              </w:tc>
              <w:tc>
                <w:tcPr/>
                <w:p>
                  <w:pPr>
                    <w:pStyle w:val="Compact"/>
                    <w:jc w:val="center"/>
                  </w:pPr>
                  <w:r>
                    <w:t xml:space="preserve">(0.254)</w:t>
                  </w:r>
                </w:p>
              </w:tc>
              <w:tc>
                <w:tcPr/>
                <w:p>
                  <w:pPr>
                    <w:pStyle w:val="Compact"/>
                  </w:pPr>
                </w:p>
              </w:tc>
              <w:tc>
                <w:tcPr/>
                <w:p>
                  <w:pPr>
                    <w:pStyle w:val="Compact"/>
                    <w:jc w:val="center"/>
                  </w:pPr>
                  <w:r>
                    <w:t xml:space="preserve">(34.704)</w:t>
                  </w:r>
                </w:p>
              </w:tc>
              <w:tc>
                <w:tcPr/>
                <w:p>
                  <w:pPr>
                    <w:pStyle w:val="Compact"/>
                    <w:jc w:val="center"/>
                  </w:pPr>
                  <w:r>
                    <w:t xml:space="preserve">(34.755)</w:t>
                  </w:r>
                </w:p>
              </w:tc>
            </w:tr>
            <w:tr>
              <w:tc>
                <w:tcPr/>
                <w:p>
                  <w:pPr>
                    <w:pStyle w:val="Compact"/>
                    <w:jc w:val="center"/>
                  </w:pPr>
                  <w:r>
                    <w:t xml:space="preserve">Year</w:t>
                  </w:r>
                </w:p>
              </w:tc>
              <w:tc>
                <w:tcPr/>
                <w:p>
                  <w:pPr>
                    <w:pStyle w:val="Compact"/>
                  </w:pPr>
                </w:p>
              </w:tc>
              <w:tc>
                <w:tcPr/>
                <w:p>
                  <w:pPr>
                    <w:pStyle w:val="Compact"/>
                  </w:pPr>
                </w:p>
              </w:tc>
              <w:tc>
                <w:tcPr/>
                <w:p>
                  <w:pPr>
                    <w:pStyle w:val="Compact"/>
                    <w:jc w:val="center"/>
                  </w:pPr>
                  <w:r>
                    <w:t xml:space="preserve">0.324*</w:t>
                  </w:r>
                </w:p>
              </w:tc>
              <w:tc>
                <w:tcPr/>
                <w:p>
                  <w:pPr>
                    <w:pStyle w:val="Compact"/>
                  </w:pPr>
                </w:p>
              </w:tc>
              <w:tc>
                <w:tcPr/>
                <w:p>
                  <w:pPr>
                    <w:pStyle w:val="Compact"/>
                  </w:pPr>
                </w:p>
              </w:tc>
              <w:tc>
                <w:tcPr/>
                <w:p>
                  <w:pPr>
                    <w:pStyle w:val="Compact"/>
                    <w:jc w:val="center"/>
                  </w:pPr>
                  <w:r>
                    <w:t xml:space="preserve">3.629</w:t>
                  </w:r>
                </w:p>
              </w:tc>
            </w:tr>
            <w:tr>
              <w:tc>
                <w:tcPr/>
                <w:p>
                  <w:pPr>
                    <w:pStyle w:val="Compact"/>
                  </w:pPr>
                </w:p>
              </w:tc>
              <w:tc>
                <w:tcPr/>
                <w:p>
                  <w:pPr>
                    <w:pStyle w:val="Compact"/>
                  </w:pPr>
                </w:p>
              </w:tc>
              <w:tc>
                <w:tcPr/>
                <w:p>
                  <w:pPr>
                    <w:pStyle w:val="Compact"/>
                  </w:pPr>
                </w:p>
              </w:tc>
              <w:tc>
                <w:tcPr/>
                <w:p>
                  <w:pPr>
                    <w:pStyle w:val="Compact"/>
                    <w:jc w:val="center"/>
                  </w:pPr>
                  <w:r>
                    <w:t xml:space="preserve">(0.156)</w:t>
                  </w:r>
                </w:p>
              </w:tc>
              <w:tc>
                <w:tcPr/>
                <w:p>
                  <w:pPr>
                    <w:pStyle w:val="Compact"/>
                  </w:pPr>
                </w:p>
              </w:tc>
              <w:tc>
                <w:tcPr/>
                <w:p>
                  <w:pPr>
                    <w:pStyle w:val="Compact"/>
                  </w:pPr>
                </w:p>
              </w:tc>
              <w:tc>
                <w:tcPr/>
                <w:p>
                  <w:pPr>
                    <w:pStyle w:val="Compact"/>
                    <w:jc w:val="center"/>
                  </w:pPr>
                  <w:r>
                    <w:t xml:space="preserve">(21.428)</w:t>
                  </w:r>
                </w:p>
              </w:tc>
            </w:tr>
            <w:tr>
              <w:tc>
                <w:tcPr/>
                <w:p>
                  <w:pPr>
                    <w:pStyle w:val="Compact"/>
                    <w:jc w:val="center"/>
                  </w:pPr>
                  <w:r>
                    <w:t xml:space="preserve">Observations</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r>
            <w:tr>
              <w:tc>
                <w:tcPr>
                  <w:gridSpan w:val="7"/>
                </w:tcPr>
                <w:p>
                  <w:pPr>
                    <w:pStyle w:val="Compact"/>
                    <w:numPr>
                      <w:ilvl w:val="0"/>
                      <w:numId w:val="1007"/>
                    </w:numPr>
                    <w:jc w:val="center"/>
                  </w:pPr>
                  <w:r>
                    <w:t xml:space="preserve">p &lt; 0.1, * p &lt; 0.05, ** p &lt; 0.01</w:t>
                  </w:r>
                </w:p>
              </w:tc>
            </w:tr>
            <w:tr>
              <w:tc>
                <w:tcPr>
                  <w:gridSpan w:val="7"/>
                </w:tcPr>
                <w:p>
                  <w:pPr>
                    <w:pStyle w:val="Compac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center"/>
                  </w:pPr>
                  <w:r>
                    <w:t xml:space="preserve">Math</w:t>
                  </w:r>
                </w:p>
              </w:tc>
            </w:tr>
            <w:tr>
              <w:tc>
                <w:tcPr/>
                <w:p>
                  <w:pPr>
                    <w:pStyle w:val="Compact"/>
                    <w:jc w:val="center"/>
                  </w:pPr>
                  <m:oMath>
                    <m:r>
                      <m:t>α</m:t>
                    </m:r>
                  </m:oMath>
                </w:p>
              </w:tc>
            </w:tr>
            <w:tr>
              <w:tc>
                <w:tcPr/>
                <w:p>
                  <w:pPr>
                    <w:pStyle w:val="Compact"/>
                    <w:jc w:val="center"/>
                  </w:pPr>
                  <m:oMath>
                    <m:sSub>
                      <m:e>
                        <m:r>
                          <m:t>a</m:t>
                        </m:r>
                      </m:e>
                      <m:sub>
                        <m:r>
                          <m:t>i</m:t>
                        </m:r>
                        <m:r>
                          <m:t>t</m:t>
                        </m:r>
                      </m:sub>
                    </m:sSub>
                  </m:oMath>
                </w:p>
              </w:tc>
            </w:tr>
            <w:tr>
              <w:tc>
                <w:tcPr/>
                <w:p>
                  <w:pPr>
                    <w:pStyle w:val="Compac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“A.1.1”</w:t>
      </w:r>
      <w:r>
        <w:t xml:space="preserve"> </w:t>
      </w:r>
      <w:r>
        <w:t xml:space="preserve">in the appendix.</w:t>
      </w:r>
      <w:r>
        <w:t xml:space="preserve"> </w:t>
      </w:r>
      <w:r>
        <w:t xml:space="preserve">The second section in the appendix will be</w:t>
      </w:r>
      <w:r>
        <w:t xml:space="preserve"> </w:t>
      </w:r>
      <w:r>
        <w:t xml:space="preserve">“B”</w:t>
      </w:r>
      <w:r>
        <w:t xml:space="preserve">.</w:t>
      </w:r>
      <w:r>
        <w:t xml:space="preserve"> </w:t>
      </w:r>
      <w:r>
        <w:t xml:space="preserve">On the other hand, the figure numbering will be reset to</w:t>
      </w:r>
      <w:r>
        <w:t xml:space="preserve"> </w:t>
      </w:r>
      <w:r>
        <w:t xml:space="preserve">“A.1”</w:t>
      </w:r>
      <w:r>
        <w:t xml:space="preserve">,</w:t>
      </w:r>
      <w:r>
        <w:t xml:space="preserve"> </w:t>
      </w:r>
      <w:r>
        <w:t xml:space="preserve">“A.2”</w:t>
      </w:r>
      <w:r>
        <w:t xml:space="preserve"> </w:t>
      </w:r>
      <w:r>
        <w:t xml:space="preserve">so that it is clear that these figures are part of the appendix.</w:t>
      </w:r>
      <w:r>
        <w:t xml:space="preserve"> </w:t>
      </w:r>
      <w:r>
        <w:t xml:space="preserve">The</w:t>
      </w:r>
      <w:r>
        <w:t xml:space="preserve"> </w:t>
      </w:r>
      <w:r>
        <w:t xml:space="preserve">“A”</w:t>
      </w:r>
      <w:r>
        <w:t xml:space="preserve"> </w:t>
      </w:r>
      <w:r>
        <w:t xml:space="preserve">stands for the</w:t>
      </w:r>
      <w:r>
        <w:t xml:space="preserve"> </w:t>
      </w:r>
      <w:r>
        <w:t xml:space="preserve">“Appendix”</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4" Target="https://github.com/equihuam/prueba-git" TargetMode="External" /><Relationship Type="http://schemas.openxmlformats.org/officeDocument/2006/relationships/hyperlink" Id="rId20" Target="https://github.com/kazuyanagimoto/quarto-academic-typst" TargetMode="External" /><Relationship Type="http://schemas.openxmlformats.org/officeDocument/2006/relationships/hyperlink" Id="rId55" Target="https://github.com/kjhealy/latex-custom-kjh"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4" Target="https://github.com/equihuam/prueba-git" TargetMode="External" /><Relationship Type="http://schemas.openxmlformats.org/officeDocument/2006/relationships/hyperlink" Id="rId20" Target="https://github.com/kazuyanagimoto/quarto-academic-typst" TargetMode="External" /><Relationship Type="http://schemas.openxmlformats.org/officeDocument/2006/relationships/hyperlink" Id="rId55" Target="https://github.com/kjhealy/latex-custom-kjh"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para Marcelo</dc:title>
  <dc:creator>Miguel Equihua</dc:creator>
  <dc:language>es</dc:language>
  <cp:keywords>Quarto, Typst, format</cp:keywords>
  <dcterms:created xsi:type="dcterms:W3CDTF">2025-05-05T18:34:39Z</dcterms:created>
  <dcterms:modified xsi:type="dcterms:W3CDTF">2025-05-05T18:34:39Z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Duis sagittis posuere ligula sit amet lacinia. Duis dignissim pellentesque magna, rhoncus congue sapien finibus mollis. Ut eu sem laoreet, vehicula ipsum in, convallis erat. Vestibulum magna sem, blandit pulvinar augue sit amet, auctor malesuada sapien. Nullam faucibus leo eget eros hendrerit, non laoreet ipsum lacinia. Curabitur cursus diam elit, non tempus ante volutpat a. Quisque hendrerit blandit purus non fringilla. Integer sit amet elit viverra ante dapibus semper. Vestibulum viverra rutrum enim, at luctus enim posuere eu. Orci varius natoque penatibus et magnis dis parturient montes, nascetur ridiculus mus.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lunes, 5 de mayo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