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27"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 La respuesta no radica en el aislamiento, sino en la</w:t>
      </w:r>
      <w:r>
        <w:t xml:space="preserve"> </w:t>
      </w:r>
      <w:r>
        <w:rPr>
          <w:b/>
          <w:bCs/>
        </w:rPr>
        <w:t xml:space="preserve">soberanía, la gobernanza territorial, el valor estratégico institucional, la dimensión territorial, articulación institucional y ciencia abierta como estrategia de incidencia local</w:t>
      </w:r>
      <w:r>
        <w:t xml:space="preserve">.</w:t>
      </w:r>
    </w:p>
    <w:p>
      <w:pPr>
        <w:pStyle w:val="BodyText"/>
      </w:pPr>
      <w:r>
        <w:t xml:space="preserve">A continuación se realiza un análisis del contexto cinetífico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w:t>
      </w:r>
    </w:p>
    <w:p>
      <w:pPr>
        <w:pStyle w:val="BodyText"/>
      </w:pPr>
      <w:r>
        <w:t xml:space="preserve">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 SECIHTI 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 No puede validar la calidad ni la estructura especializada de los datos ecológicos.</w:t>
      </w:r>
    </w:p>
    <w:p>
      <w:pPr>
        <w:pStyle w:val="BodyText"/>
      </w:pPr>
      <w:r>
        <w:t xml:space="preserve">Un servidor propio en el INECOL permite implementar una</w:t>
      </w:r>
      <w:r>
        <w:t xml:space="preserve"> </w:t>
      </w:r>
      <w:r>
        <w:rPr>
          <w:b/>
          <w:bCs/>
        </w:rPr>
        <w:t xml:space="preserve">curaduría de datos especializada de alta gama</w:t>
      </w:r>
      <w:r>
        <w:t xml:space="preserve">:</w:t>
      </w:r>
      <w:r>
        <w:t xml:space="preserve"> </w:t>
      </w:r>
      <w:r>
        <w:t xml:space="preserve">*</w:t>
      </w:r>
      <w:r>
        <w:t xml:space="preserve"> </w:t>
      </w: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w:t>
      </w:r>
      <w:r>
        <w:t xml:space="preserve"> </w:t>
      </w: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del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w:t>
      </w:r>
    </w:p>
    <w:p>
      <w:pPr>
        <w:pStyle w:val="BodyText"/>
      </w:pPr>
      <w:r>
        <w:t xml:space="preserve">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National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y el Centro Regional de El Bajío en Pátzcuaro, Michoacán).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Compact"/>
        <w:numPr>
          <w:ilvl w:val="0"/>
          <w:numId w:val="1002"/>
        </w:numPr>
      </w:pP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p>
    <w:p>
      <w:pPr>
        <w:pStyle w:val="Compact"/>
        <w:numPr>
          <w:ilvl w:val="0"/>
          <w:numId w:val="1002"/>
        </w:numPr>
      </w:pP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p>
    <w:p>
      <w:pPr>
        <w:pStyle w:val="Compact"/>
        <w:numPr>
          <w:ilvl w:val="0"/>
          <w:numId w:val="1002"/>
        </w:numPr>
      </w:pP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6" w:name="X82169622ff85fa1068202aeda77feb0b6070df7"/>
    <w:p>
      <w:pPr>
        <w:pStyle w:val="Heading3"/>
      </w:pPr>
      <w:r>
        <w:t xml:space="preserve">1.0.7 Conclusión Estratégica: El Enfoque Híbrido</w:t>
      </w:r>
    </w:p>
    <w:p>
      <w:pPr>
        <w:pStyle w:val="FirstParagraph"/>
      </w:pPr>
      <w:r>
        <w:t xml:space="preserve">La estrategia óptima para el INECOL no es rechazar a Zenodo u otros repositorios globales, sino adoptar un</w:t>
      </w:r>
      <w:r>
        <w:t xml:space="preserve"> </w:t>
      </w:r>
      <w:r>
        <w:rPr>
          <w:b/>
          <w:bCs/>
        </w:rPr>
        <w:t xml:space="preserve">enfoque híbrido o federado</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 Así, el INECOL gana autonomía y control local, mientras multiplica exponencialmente la visibilidad global de sus científicos.</w:t>
      </w:r>
    </w:p>
    <w:bookmarkEnd w:id="26"/>
    <w:bookmarkEnd w:id="27"/>
    <w:bookmarkStart w:id="30"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28"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3"/>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4"/>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28"/>
    <w:bookmarkStart w:id="29"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5"/>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6"/>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29"/>
    <w:bookmarkEnd w:id="30"/>
    <w:bookmarkStart w:id="51"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1" w:name="X38bc9895e841af86c922d3108004ba5bf0959df"/>
    <w:p>
      <w:pPr>
        <w:pStyle w:val="Heading3"/>
      </w:pPr>
      <w:r>
        <w:t xml:space="preserve">3.0.1 1. Alcance, Contenido y Depositantes (Políticas de Zenodo)</w:t>
      </w:r>
    </w:p>
    <w:p>
      <w:pPr>
        <w:pStyle w:val="Compact"/>
        <w:numPr>
          <w:ilvl w:val="0"/>
          <w:numId w:val="1007"/>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7"/>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7"/>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7"/>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1"/>
    <w:bookmarkStart w:id="32" w:name="Xfa8e2c8b7a0f9dfeb5c9386d331f22853c3453e"/>
    <w:p>
      <w:pPr>
        <w:pStyle w:val="Heading3"/>
      </w:pPr>
      <w:r>
        <w:t xml:space="preserve">3.0.2 2. Responsabilidad Legal y Propiedad Intelectual</w:t>
      </w:r>
    </w:p>
    <w:p>
      <w:pPr>
        <w:pStyle w:val="Compact"/>
        <w:numPr>
          <w:ilvl w:val="0"/>
          <w:numId w:val="1008"/>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8"/>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8"/>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32"/>
    <w:bookmarkStart w:id="33" w:name="X7623938980cfe5cfebf525c12cdf262807bd78a"/>
    <w:p>
      <w:pPr>
        <w:pStyle w:val="Heading3"/>
      </w:pPr>
      <w:r>
        <w:t xml:space="preserve">3.0.3 3. Privacidad y Datos Sensibles (El cruce con el GDPR)</w:t>
      </w:r>
    </w:p>
    <w:p>
      <w:pPr>
        <w:pStyle w:val="Compact"/>
        <w:numPr>
          <w:ilvl w:val="0"/>
          <w:numId w:val="1009"/>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09"/>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33"/>
    <w:bookmarkStart w:id="34" w:name="niveles-de-acceso-y-modificaciones"/>
    <w:p>
      <w:pPr>
        <w:pStyle w:val="Heading3"/>
      </w:pPr>
      <w:r>
        <w:t xml:space="preserve">3.0.4 4. Niveles de Acceso y Modificaciones</w:t>
      </w:r>
    </w:p>
    <w:p>
      <w:pPr>
        <w:numPr>
          <w:ilvl w:val="0"/>
          <w:numId w:val="1010"/>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0"/>
        </w:numPr>
      </w:pPr>
      <w:r>
        <w:rPr>
          <w:b/>
          <w:bCs/>
        </w:rPr>
        <w:t xml:space="preserve">Acceso abierto (Open Access):</w:t>
      </w:r>
      <w:r>
        <w:t xml:space="preserve"> </w:t>
      </w:r>
      <w:r>
        <w:t xml:space="preserve">Disponible de inmediato.</w:t>
      </w:r>
    </w:p>
    <w:p>
      <w:pPr>
        <w:numPr>
          <w:ilvl w:val="0"/>
          <w:numId w:val="1010"/>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0"/>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0"/>
        </w:numPr>
      </w:pPr>
      <w:r>
        <w:rPr>
          <w:b/>
          <w:bCs/>
        </w:rPr>
        <w:t xml:space="preserve">Acceso cerrado (Closed):</w:t>
      </w:r>
      <w:r>
        <w:t xml:space="preserve"> </w:t>
      </w:r>
      <w:r>
        <w:t xml:space="preserve">Solo el propietario puede ver los archivos (utilizado principalmente para preservación interna).</w:t>
      </w:r>
    </w:p>
    <w:p>
      <w:pPr>
        <w:numPr>
          <w:ilvl w:val="0"/>
          <w:numId w:val="1010"/>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34"/>
    <w:bookmarkStart w:id="35"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1"/>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1"/>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1"/>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35"/>
    <w:bookmarkStart w:id="36"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36"/>
    <w:bookmarkStart w:id="50"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1" w:name="Xcb906d6e330e04db78d4e8b5561744b23752659"/>
    <w:p>
      <w:pPr>
        <w:pStyle w:val="Heading3"/>
      </w:pPr>
      <w:r>
        <w:t xml:space="preserve">3.1.1 1. Documentos Principales de Política y Gobernanza</w:t>
      </w:r>
    </w:p>
    <w:bookmarkStart w:id="38" w:name="X90e22729b06a9cff907c9b257486cf978898c3a"/>
    <w:p>
      <w:pPr>
        <w:pStyle w:val="Heading4"/>
      </w:pPr>
      <w:r>
        <w:t xml:space="preserve">3.1.1.1 📄 Zenodo General Policies (Políticas Generales de Zenodo)</w:t>
      </w:r>
    </w:p>
    <w:p>
      <w:pPr>
        <w:pStyle w:val="Compact"/>
        <w:numPr>
          <w:ilvl w:val="0"/>
          <w:numId w:val="1012"/>
        </w:numPr>
      </w:pPr>
      <w:r>
        <w:rPr>
          <w:b/>
          <w:bCs/>
        </w:rPr>
        <w:t xml:space="preserve">Organización:</w:t>
      </w:r>
      <w:r>
        <w:t xml:space="preserve"> </w:t>
      </w:r>
      <w:r>
        <w:t xml:space="preserve">Zenodo / OpenAIRE / CERN</w:t>
      </w:r>
    </w:p>
    <w:p>
      <w:pPr>
        <w:pStyle w:val="Compact"/>
        <w:numPr>
          <w:ilvl w:val="0"/>
          <w:numId w:val="1012"/>
        </w:numPr>
      </w:pPr>
      <w:r>
        <w:rPr>
          <w:b/>
          <w:bCs/>
        </w:rPr>
        <w:t xml:space="preserve">Ámbito:</w:t>
      </w:r>
      <w:r>
        <w:t xml:space="preserve"> </w:t>
      </w:r>
      <w:r>
        <w:t xml:space="preserve">Normativa principal para usuarios y depositantes.</w:t>
      </w:r>
    </w:p>
    <w:p>
      <w:pPr>
        <w:pStyle w:val="Compact"/>
        <w:numPr>
          <w:ilvl w:val="0"/>
          <w:numId w:val="1012"/>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2"/>
        </w:numPr>
      </w:pPr>
      <w:r>
        <w:rPr>
          <w:b/>
          <w:bCs/>
        </w:rPr>
        <w:t xml:space="preserve">Fuente/Enlace:</w:t>
      </w:r>
      <w:r>
        <w:t xml:space="preserve"> </w:t>
      </w:r>
      <w:hyperlink r:id="rId37">
        <w:r>
          <w:rPr>
            <w:rStyle w:val="Hyperlink"/>
          </w:rPr>
          <w:t xml:space="preserve">https://about.zenodo.org/policies/</w:t>
        </w:r>
      </w:hyperlink>
    </w:p>
    <w:bookmarkEnd w:id="38"/>
    <w:bookmarkStart w:id="40" w:name="X4f162501dc14a3988dcc7871e13cc20f9aec268"/>
    <w:p>
      <w:pPr>
        <w:pStyle w:val="Heading4"/>
      </w:pPr>
      <w:r>
        <w:t xml:space="preserve">3.1.1.2 📄 CERN Operational Circular No. 11 Rev. 1 (Circular Operacional del CERN No. 11)</w:t>
      </w:r>
    </w:p>
    <w:p>
      <w:pPr>
        <w:pStyle w:val="Compact"/>
        <w:numPr>
          <w:ilvl w:val="0"/>
          <w:numId w:val="1013"/>
        </w:numPr>
      </w:pPr>
      <w:r>
        <w:rPr>
          <w:b/>
          <w:bCs/>
        </w:rPr>
        <w:t xml:space="preserve">Organización:</w:t>
      </w:r>
      <w:r>
        <w:t xml:space="preserve"> </w:t>
      </w:r>
      <w:r>
        <w:t xml:space="preserve">Organización Europea para la Investigación Nuclear (CERN)</w:t>
      </w:r>
    </w:p>
    <w:p>
      <w:pPr>
        <w:pStyle w:val="Compact"/>
        <w:numPr>
          <w:ilvl w:val="0"/>
          <w:numId w:val="1013"/>
        </w:numPr>
      </w:pPr>
      <w:r>
        <w:rPr>
          <w:b/>
          <w:bCs/>
        </w:rPr>
        <w:t xml:space="preserve">Ámbito:</w:t>
      </w:r>
      <w:r>
        <w:t xml:space="preserve"> </w:t>
      </w:r>
      <w:r>
        <w:t xml:space="preserve">Marco institucional y legal de nivel macro.</w:t>
      </w:r>
    </w:p>
    <w:p>
      <w:pPr>
        <w:pStyle w:val="Compact"/>
        <w:numPr>
          <w:ilvl w:val="0"/>
          <w:numId w:val="1013"/>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3"/>
        </w:numPr>
      </w:pPr>
      <w:r>
        <w:rPr>
          <w:b/>
          <w:bCs/>
        </w:rPr>
        <w:t xml:space="preserve">Fuente/Enlace:</w:t>
      </w:r>
      <w:r>
        <w:t xml:space="preserve"> </w:t>
      </w:r>
      <w:hyperlink r:id="rId39">
        <w:r>
          <w:rPr>
            <w:rStyle w:val="Hyperlink"/>
          </w:rPr>
          <w:t xml:space="preserve">https://repository.cern/records/xgq3r-6yc67/preview/Operational%20Circular%20No.11%20Rev.1.pdf</w:t>
        </w:r>
      </w:hyperlink>
    </w:p>
    <w:bookmarkEnd w:id="40"/>
    <w:bookmarkEnd w:id="41"/>
    <w:bookmarkStart w:id="46" w:name="X310d5ae13e9b57819c0eeae54025fdcba2b8dde"/>
    <w:p>
      <w:pPr>
        <w:pStyle w:val="Heading3"/>
      </w:pPr>
      <w:r>
        <w:t xml:space="preserve">3.1.2 2. Términos de Servicio y Privacidad (Soporte Técnico-Legal)</w:t>
      </w:r>
    </w:p>
    <w:bookmarkStart w:id="43" w:name="X513cc11dfdf87eb80b2859a88a0518c526a45f9"/>
    <w:p>
      <w:pPr>
        <w:pStyle w:val="Heading4"/>
      </w:pPr>
      <w:r>
        <w:t xml:space="preserve">3.1.2.1 📄 Zenodo Terms of Service (Términos del Servicio de Zenodo)</w:t>
      </w:r>
    </w:p>
    <w:p>
      <w:pPr>
        <w:pStyle w:val="Compact"/>
        <w:numPr>
          <w:ilvl w:val="0"/>
          <w:numId w:val="1014"/>
        </w:numPr>
      </w:pPr>
      <w:r>
        <w:rPr>
          <w:b/>
          <w:bCs/>
        </w:rPr>
        <w:t xml:space="preserve">Organización:</w:t>
      </w:r>
      <w:r>
        <w:t xml:space="preserve"> </w:t>
      </w:r>
      <w:r>
        <w:t xml:space="preserve">Zenodo / CERN</w:t>
      </w:r>
    </w:p>
    <w:p>
      <w:pPr>
        <w:pStyle w:val="Compact"/>
        <w:numPr>
          <w:ilvl w:val="0"/>
          <w:numId w:val="1014"/>
        </w:numPr>
      </w:pPr>
      <w:r>
        <w:rPr>
          <w:b/>
          <w:bCs/>
        </w:rPr>
        <w:t xml:space="preserve">Ámbito:</w:t>
      </w:r>
      <w:r>
        <w:t xml:space="preserve"> </w:t>
      </w:r>
      <w:r>
        <w:t xml:space="preserve">Contrato de adhesión para los depositantes de datos.</w:t>
      </w:r>
    </w:p>
    <w:p>
      <w:pPr>
        <w:pStyle w:val="Compact"/>
        <w:numPr>
          <w:ilvl w:val="0"/>
          <w:numId w:val="1014"/>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4"/>
        </w:numPr>
      </w:pPr>
      <w:r>
        <w:rPr>
          <w:b/>
          <w:bCs/>
        </w:rPr>
        <w:t xml:space="preserve">Fuente/Enlace:</w:t>
      </w:r>
      <w:r>
        <w:t xml:space="preserve"> </w:t>
      </w:r>
      <w:hyperlink r:id="rId42">
        <w:r>
          <w:rPr>
            <w:rStyle w:val="Hyperlink"/>
          </w:rPr>
          <w:t xml:space="preserve">https://about.zenodo.org/terms/</w:t>
        </w:r>
      </w:hyperlink>
    </w:p>
    <w:bookmarkEnd w:id="43"/>
    <w:bookmarkStart w:id="45" w:name="X3984e5fdca23071096195afb4c53d62c06cd849"/>
    <w:p>
      <w:pPr>
        <w:pStyle w:val="Heading4"/>
      </w:pPr>
      <w:r>
        <w:t xml:space="preserve">3.1.2.2 📄 CERN Data Protection Privacy Notice - Zenodo (Aviso de Privacidad de Datos del CERN)</w:t>
      </w:r>
    </w:p>
    <w:p>
      <w:pPr>
        <w:pStyle w:val="Compact"/>
        <w:numPr>
          <w:ilvl w:val="0"/>
          <w:numId w:val="1015"/>
        </w:numPr>
      </w:pPr>
      <w:r>
        <w:rPr>
          <w:b/>
          <w:bCs/>
        </w:rPr>
        <w:t xml:space="preserve">Organización:</w:t>
      </w:r>
      <w:r>
        <w:t xml:space="preserve"> </w:t>
      </w:r>
      <w:r>
        <w:t xml:space="preserve">CERN Data Protection Officer</w:t>
      </w:r>
    </w:p>
    <w:p>
      <w:pPr>
        <w:pStyle w:val="Compact"/>
        <w:numPr>
          <w:ilvl w:val="0"/>
          <w:numId w:val="1015"/>
        </w:numPr>
      </w:pPr>
      <w:r>
        <w:rPr>
          <w:b/>
          <w:bCs/>
        </w:rPr>
        <w:t xml:space="preserve">Ámbito:</w:t>
      </w:r>
      <w:r>
        <w:t xml:space="preserve"> </w:t>
      </w:r>
      <w:r>
        <w:t xml:space="preserve">Cumplimiento de protección de datos personales.</w:t>
      </w:r>
    </w:p>
    <w:p>
      <w:pPr>
        <w:pStyle w:val="Compact"/>
        <w:numPr>
          <w:ilvl w:val="0"/>
          <w:numId w:val="1015"/>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5"/>
        </w:numPr>
      </w:pPr>
      <w:r>
        <w:rPr>
          <w:b/>
          <w:bCs/>
        </w:rPr>
        <w:t xml:space="preserve">Fuente/Enlace:</w:t>
      </w:r>
      <w:r>
        <w:t xml:space="preserve"> </w:t>
      </w:r>
      <w:hyperlink r:id="rId44">
        <w:r>
          <w:rPr>
            <w:rStyle w:val="Hyperlink"/>
          </w:rPr>
          <w:t xml:space="preserve">https://about.zenodo.org/privacy-policy/</w:t>
        </w:r>
      </w:hyperlink>
    </w:p>
    <w:bookmarkEnd w:id="45"/>
    <w:bookmarkEnd w:id="46"/>
    <w:bookmarkStart w:id="49" w:name="arquitectura-de-datos-y-preservación"/>
    <w:p>
      <w:pPr>
        <w:pStyle w:val="Heading3"/>
      </w:pPr>
      <w:r>
        <w:t xml:space="preserve">3.1.3 3. Arquitectura de Datos y Preservación</w:t>
      </w:r>
    </w:p>
    <w:bookmarkStart w:id="48" w:name="X2167fbb3a4db5a35156a5ab1f287fc81650a9c9"/>
    <w:p>
      <w:pPr>
        <w:pStyle w:val="Heading4"/>
      </w:pPr>
      <w:r>
        <w:t xml:space="preserve">3.1.3.1 📄 Zenodo Data Preservation Plan (Plan de Preservación a Largo Plazo)</w:t>
      </w:r>
    </w:p>
    <w:p>
      <w:pPr>
        <w:pStyle w:val="Compact"/>
        <w:numPr>
          <w:ilvl w:val="0"/>
          <w:numId w:val="1016"/>
        </w:numPr>
      </w:pPr>
      <w:r>
        <w:rPr>
          <w:b/>
          <w:bCs/>
        </w:rPr>
        <w:t xml:space="preserve">Organización:</w:t>
      </w:r>
      <w:r>
        <w:t xml:space="preserve"> </w:t>
      </w:r>
      <w:r>
        <w:t xml:space="preserve">CERN Data Centre / OpenAIRE</w:t>
      </w:r>
    </w:p>
    <w:p>
      <w:pPr>
        <w:pStyle w:val="Compact"/>
        <w:numPr>
          <w:ilvl w:val="0"/>
          <w:numId w:val="1016"/>
        </w:numPr>
      </w:pPr>
      <w:r>
        <w:rPr>
          <w:b/>
          <w:bCs/>
        </w:rPr>
        <w:t xml:space="preserve">Ámbito:</w:t>
      </w:r>
      <w:r>
        <w:t xml:space="preserve"> </w:t>
      </w:r>
      <w:r>
        <w:t xml:space="preserve">Infraestructura y resiliencia tecnológica.</w:t>
      </w:r>
    </w:p>
    <w:p>
      <w:pPr>
        <w:pStyle w:val="Compact"/>
        <w:numPr>
          <w:ilvl w:val="0"/>
          <w:numId w:val="1016"/>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6"/>
        </w:numPr>
      </w:pPr>
      <w:r>
        <w:rPr>
          <w:b/>
          <w:bCs/>
        </w:rPr>
        <w:t xml:space="preserve">Fuente/Enlace:</w:t>
      </w:r>
      <w:r>
        <w:t xml:space="preserve"> </w:t>
      </w:r>
      <w:hyperlink r:id="rId47">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48"/>
    <w:bookmarkEnd w:id="49"/>
    <w:bookmarkEnd w:id="50"/>
    <w:bookmarkEnd w:id="51"/>
    <w:bookmarkStart w:id="58"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52"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7"/>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7"/>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7"/>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52"/>
    <w:bookmarkStart w:id="53" w:name="X9e58660a33098b057eb289fe2e9431833795a6d"/>
    <w:p>
      <w:pPr>
        <w:pStyle w:val="Heading3"/>
      </w:pPr>
      <w:r>
        <w:t xml:space="preserve">4.0.2 2. Deslinde de Responsabilidad Legal y Curaduría Técnica</w:t>
      </w:r>
    </w:p>
    <w:p>
      <w:pPr>
        <w:pStyle w:val="Compact"/>
        <w:numPr>
          <w:ilvl w:val="0"/>
          <w:numId w:val="1018"/>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8"/>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8"/>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53"/>
    <w:bookmarkStart w:id="54" w:name="Xb6b9af8cd6ff7779318196b98522c429f6b3dfe"/>
    <w:p>
      <w:pPr>
        <w:pStyle w:val="Heading3"/>
      </w:pPr>
      <w:r>
        <w:t xml:space="preserve">4.0.3 3. El Destino de los Metadatos en el Acceso Cerrado/Embargado</w:t>
      </w:r>
    </w:p>
    <w:p>
      <w:pPr>
        <w:pStyle w:val="Compact"/>
        <w:numPr>
          <w:ilvl w:val="0"/>
          <w:numId w:val="1019"/>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19"/>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19"/>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54"/>
    <w:bookmarkStart w:id="55"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0"/>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0"/>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55"/>
    <w:bookmarkStart w:id="57" w:name="Xdc44c27b2e5685044753f9c3927c7b893e0f0c6"/>
    <w:p>
      <w:pPr>
        <w:pStyle w:val="Heading2"/>
      </w:pPr>
      <w:r>
        <w:t xml:space="preserve">4.1 Sugerencias concretas para Enriquecer la propuesta</w:t>
      </w:r>
    </w:p>
    <w:p>
      <w:pPr>
        <w:pStyle w:val="Compact"/>
        <w:numPr>
          <w:ilvl w:val="0"/>
          <w:numId w:val="1021"/>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1"/>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56"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56"/>
    <w:bookmarkEnd w:id="57"/>
    <w:bookmarkEnd w:id="58"/>
    <w:bookmarkStart w:id="62" w:name="Xc2f61c3795a40a48121e131054998b241904a0c"/>
    <w:p>
      <w:pPr>
        <w:pStyle w:val="Heading1"/>
      </w:pPr>
      <w:r>
        <w:t xml:space="preserve">5. Prepublicación de Datos y Artículos de Datos (</w:t>
      </w:r>
      <w:r>
        <w:rPr>
          <w:i/>
          <w:iCs/>
        </w:rPr>
        <w:t xml:space="preserve">Data Papers</w:t>
      </w:r>
      <w:r>
        <w:t xml:space="preserve">)</w:t>
      </w:r>
    </w:p>
    <w:bookmarkStart w:id="60"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59"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2"/>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2"/>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2"/>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59"/>
    <w:bookmarkEnd w:id="60"/>
    <w:bookmarkStart w:id="61"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1"/>
    <w:bookmarkEnd w:id="62"/>
    <w:bookmarkStart w:id="68" w:name="principios-fair"/>
    <w:p>
      <w:pPr>
        <w:pStyle w:val="Heading1"/>
      </w:pPr>
      <w:r>
        <w:t xml:space="preserve">6. Principios FAIR</w:t>
      </w:r>
    </w:p>
    <w:bookmarkStart w:id="63"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63"/>
    <w:bookmarkStart w:id="67"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3"/>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3"/>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3"/>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64"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4"/>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5"/>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64"/>
    <w:bookmarkStart w:id="65"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6"/>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7"/>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8"/>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29"/>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65"/>
    <w:bookmarkStart w:id="66"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66"/>
    <w:bookmarkEnd w:id="67"/>
    <w:bookmarkEnd w:id="68"/>
    <w:bookmarkStart w:id="102" w:name="references"/>
    <w:p>
      <w:pPr>
        <w:pStyle w:val="Heading1"/>
      </w:pPr>
      <w:r>
        <w:t xml:space="preserve">References</w:t>
      </w:r>
    </w:p>
    <w:bookmarkStart w:id="101" w:name="refs"/>
    <w:bookmarkStart w:id="70"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69">
        <w:r>
          <w:rPr>
            <w:rStyle w:val="Hyperlink"/>
          </w:rPr>
          <w:t xml:space="preserve">https://doi.org/10.1371/journal.pone.0311493</w:t>
        </w:r>
      </w:hyperlink>
      <w:r>
        <w:t xml:space="preserve">.</w:t>
      </w:r>
    </w:p>
    <w:bookmarkEnd w:id="70"/>
    <w:bookmarkStart w:id="72"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71">
        <w:r>
          <w:rPr>
            <w:rStyle w:val="Hyperlink"/>
          </w:rPr>
          <w:t xml:space="preserve">https://doi.org/10.1371/journal.pone.0230416</w:t>
        </w:r>
      </w:hyperlink>
      <w:r>
        <w:t xml:space="preserve">.</w:t>
      </w:r>
    </w:p>
    <w:bookmarkEnd w:id="72"/>
    <w:bookmarkStart w:id="74"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73">
        <w:r>
          <w:rPr>
            <w:rStyle w:val="Hyperlink"/>
          </w:rPr>
          <w:t xml:space="preserve">https://doi.org/10.1038/sdata.2018.259</w:t>
        </w:r>
      </w:hyperlink>
      <w:r>
        <w:t xml:space="preserve">.</w:t>
      </w:r>
    </w:p>
    <w:bookmarkEnd w:id="74"/>
    <w:bookmarkStart w:id="76"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75">
        <w:r>
          <w:rPr>
            <w:rStyle w:val="Hyperlink"/>
          </w:rPr>
          <w:t xml:space="preserve">https://doi.org/10.1080/17538947.2022.2038596</w:t>
        </w:r>
      </w:hyperlink>
      <w:r>
        <w:t xml:space="preserve">.</w:t>
      </w:r>
    </w:p>
    <w:bookmarkEnd w:id="76"/>
    <w:bookmarkStart w:id="78"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77">
        <w:r>
          <w:rPr>
            <w:rStyle w:val="Hyperlink"/>
          </w:rPr>
          <w:t xml:space="preserve">https://doi.org/10.1098/rspb.2022.1113</w:t>
        </w:r>
      </w:hyperlink>
      <w:r>
        <w:t xml:space="preserve">.</w:t>
      </w:r>
    </w:p>
    <w:bookmarkEnd w:id="78"/>
    <w:bookmarkStart w:id="80"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79">
        <w:r>
          <w:rPr>
            <w:rStyle w:val="Hyperlink"/>
          </w:rPr>
          <w:t xml:space="preserve">https://www.inegi.org.mx/</w:t>
        </w:r>
      </w:hyperlink>
      <w:r>
        <w:t xml:space="preserve">.</w:t>
      </w:r>
    </w:p>
    <w:bookmarkEnd w:id="80"/>
    <w:bookmarkStart w:id="82"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81">
        <w:r>
          <w:rPr>
            <w:rStyle w:val="Hyperlink"/>
          </w:rPr>
          <w:t xml:space="preserve">https://doi.org/10.3897/biss.8.133089</w:t>
        </w:r>
      </w:hyperlink>
      <w:r>
        <w:t xml:space="preserve">.</w:t>
      </w:r>
    </w:p>
    <w:bookmarkEnd w:id="82"/>
    <w:bookmarkStart w:id="84"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83">
        <w:r>
          <w:rPr>
            <w:rStyle w:val="Hyperlink"/>
          </w:rPr>
          <w:t xml:space="preserve">https://doi.org/10.1016/j.ecoinf.2026.103712</w:t>
        </w:r>
      </w:hyperlink>
      <w:r>
        <w:t xml:space="preserve">.</w:t>
      </w:r>
    </w:p>
    <w:bookmarkEnd w:id="84"/>
    <w:bookmarkStart w:id="86"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85">
        <w:r>
          <w:rPr>
            <w:rStyle w:val="Hyperlink"/>
          </w:rPr>
          <w:t xml:space="preserve">https://doi.org/10.1016/j.tree.2023.10.005</w:t>
        </w:r>
      </w:hyperlink>
      <w:r>
        <w:t xml:space="preserve">.</w:t>
      </w:r>
    </w:p>
    <w:bookmarkEnd w:id="86"/>
    <w:bookmarkStart w:id="88"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87">
        <w:r>
          <w:rPr>
            <w:rStyle w:val="Hyperlink"/>
          </w:rPr>
          <w:t xml:space="preserve">https://doi.org/10.1016/j.envsci.2024.103980</w:t>
        </w:r>
      </w:hyperlink>
      <w:r>
        <w:t xml:space="preserve">.</w:t>
      </w:r>
    </w:p>
    <w:bookmarkEnd w:id="88"/>
    <w:bookmarkStart w:id="90"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89">
        <w:r>
          <w:rPr>
            <w:rStyle w:val="Hyperlink"/>
          </w:rPr>
          <w:t xml:space="preserve">https://doi.org/10.3897/rio.3.e12265</w:t>
        </w:r>
      </w:hyperlink>
      <w:r>
        <w:t xml:space="preserve">.</w:t>
      </w:r>
    </w:p>
    <w:bookmarkEnd w:id="90"/>
    <w:bookmarkStart w:id="92"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91">
        <w:r>
          <w:rPr>
            <w:rStyle w:val="Hyperlink"/>
          </w:rPr>
          <w:t xml:space="preserve">https://doi.org/10.3897/rio.10.e126588</w:t>
        </w:r>
      </w:hyperlink>
      <w:r>
        <w:t xml:space="preserve">.</w:t>
      </w:r>
    </w:p>
    <w:bookmarkEnd w:id="92"/>
    <w:bookmarkStart w:id="94"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93">
        <w:r>
          <w:rPr>
            <w:rStyle w:val="Hyperlink"/>
          </w:rPr>
          <w:t xml:space="preserve">https://doi.org/10.1007/s11192-020-03437-1</w:t>
        </w:r>
      </w:hyperlink>
      <w:r>
        <w:t xml:space="preserve">.</w:t>
      </w:r>
    </w:p>
    <w:bookmarkEnd w:id="94"/>
    <w:bookmarkStart w:id="96"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95">
        <w:r>
          <w:rPr>
            <w:rStyle w:val="Hyperlink"/>
          </w:rPr>
          <w:t xml:space="preserve">https://doi.org/10.1038/sdata.2016.18</w:t>
        </w:r>
      </w:hyperlink>
      <w:r>
        <w:t xml:space="preserve">.</w:t>
      </w:r>
    </w:p>
    <w:bookmarkEnd w:id="96"/>
    <w:bookmarkStart w:id="98"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97">
        <w:r>
          <w:rPr>
            <w:rStyle w:val="Hyperlink"/>
          </w:rPr>
          <w:t xml:space="preserve">https://doi.org/10.1002/fee.2618</w:t>
        </w:r>
      </w:hyperlink>
      <w:r>
        <w:t xml:space="preserve">.</w:t>
      </w:r>
    </w:p>
    <w:bookmarkEnd w:id="98"/>
    <w:bookmarkStart w:id="100" w:name="ref-zenodo_policies_2024"/>
    <w:p>
      <w:pPr>
        <w:pStyle w:val="Bibliography"/>
      </w:pPr>
      <w:r>
        <w:t xml:space="preserve">Zenodo. 2024.</w:t>
      </w:r>
      <w:r>
        <w:t xml:space="preserve"> </w:t>
      </w:r>
      <w:r>
        <w:rPr>
          <w:i/>
          <w:iCs/>
        </w:rPr>
        <w:t xml:space="preserve">Zenodo General Policies</w:t>
      </w:r>
      <w:r>
        <w:t xml:space="preserve">.</w:t>
      </w:r>
      <w:r>
        <w:t xml:space="preserve"> </w:t>
      </w:r>
      <w:hyperlink r:id="rId99">
        <w:r>
          <w:rPr>
            <w:rStyle w:val="Hyperlink"/>
          </w:rPr>
          <w:t xml:space="preserve">[Https://about.zenodo.org/policies/](https://about.zenodo.org/policies/)</w:t>
        </w:r>
      </w:hyperlink>
      <w:r>
        <w:t xml:space="preserve">; CERN / OpenAIRE.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9" Target="[https://about.zenodo.org/policies/](https://about.zenodo.org/policies/)" TargetMode="External" /><Relationship Type="http://schemas.openxmlformats.org/officeDocument/2006/relationships/hyperlink" Id="rId47" Target="https://about.zenodo.org/infrastructure/" TargetMode="External" /><Relationship Type="http://schemas.openxmlformats.org/officeDocument/2006/relationships/hyperlink" Id="rId37" Target="https://about.zenodo.org/policies/" TargetMode="External" /><Relationship Type="http://schemas.openxmlformats.org/officeDocument/2006/relationships/hyperlink" Id="rId44" Target="https://about.zenodo.org/privacy-policy/" TargetMode="External" /><Relationship Type="http://schemas.openxmlformats.org/officeDocument/2006/relationships/hyperlink" Id="rId42" Target="https://about.zenodo.org/terms/" TargetMode="External" /><Relationship Type="http://schemas.openxmlformats.org/officeDocument/2006/relationships/hyperlink" Id="rId97" Target="https://doi.org/10.1002/fee.2618" TargetMode="External" /><Relationship Type="http://schemas.openxmlformats.org/officeDocument/2006/relationships/hyperlink" Id="rId93" Target="https://doi.org/10.1007/s11192-020-03437-1" TargetMode="External" /><Relationship Type="http://schemas.openxmlformats.org/officeDocument/2006/relationships/hyperlink" Id="rId83" Target="https://doi.org/10.1016/j.ecoinf.2026.103712" TargetMode="External" /><Relationship Type="http://schemas.openxmlformats.org/officeDocument/2006/relationships/hyperlink" Id="rId87" Target="https://doi.org/10.1016/j.envsci.2024.103980" TargetMode="External" /><Relationship Type="http://schemas.openxmlformats.org/officeDocument/2006/relationships/hyperlink" Id="rId85" Target="https://doi.org/10.1016/j.tree.2023.10.005" TargetMode="External" /><Relationship Type="http://schemas.openxmlformats.org/officeDocument/2006/relationships/hyperlink" Id="rId95" Target="https://doi.org/10.1038/sdata.2016.18" TargetMode="External" /><Relationship Type="http://schemas.openxmlformats.org/officeDocument/2006/relationships/hyperlink" Id="rId73" Target="https://doi.org/10.1038/sdata.2018.259" TargetMode="External" /><Relationship Type="http://schemas.openxmlformats.org/officeDocument/2006/relationships/hyperlink" Id="rId75" Target="https://doi.org/10.1080/17538947.2022.2038596" TargetMode="External" /><Relationship Type="http://schemas.openxmlformats.org/officeDocument/2006/relationships/hyperlink" Id="rId77" Target="https://doi.org/10.1098/rspb.2022.1113" TargetMode="External" /><Relationship Type="http://schemas.openxmlformats.org/officeDocument/2006/relationships/hyperlink" Id="rId71" Target="https://doi.org/10.1371/journal.pone.0230416" TargetMode="External" /><Relationship Type="http://schemas.openxmlformats.org/officeDocument/2006/relationships/hyperlink" Id="rId69" Target="https://doi.org/10.1371/journal.pone.0311493" TargetMode="External" /><Relationship Type="http://schemas.openxmlformats.org/officeDocument/2006/relationships/hyperlink" Id="rId81" Target="https://doi.org/10.3897/biss.8.133089" TargetMode="External" /><Relationship Type="http://schemas.openxmlformats.org/officeDocument/2006/relationships/hyperlink" Id="rId91" Target="https://doi.org/10.3897/rio.10.e126588" TargetMode="External" /><Relationship Type="http://schemas.openxmlformats.org/officeDocument/2006/relationships/hyperlink" Id="rId89" Target="https://doi.org/10.3897/rio.3.e12265" TargetMode="External" /><Relationship Type="http://schemas.openxmlformats.org/officeDocument/2006/relationships/hyperlink" Id="rId39" Target="https://repository.cern/records/xgq3r-6yc67/preview/Operational%20Circular%20No.11%20Rev.1.pdf" TargetMode="External" /><Relationship Type="http://schemas.openxmlformats.org/officeDocument/2006/relationships/hyperlink" Id="rId79"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99" Target="[https://about.zenodo.org/policies/](https://about.zenodo.org/policies/)" TargetMode="External" /><Relationship Type="http://schemas.openxmlformats.org/officeDocument/2006/relationships/hyperlink" Id="rId47" Target="https://about.zenodo.org/infrastructure/" TargetMode="External" /><Relationship Type="http://schemas.openxmlformats.org/officeDocument/2006/relationships/hyperlink" Id="rId37" Target="https://about.zenodo.org/policies/" TargetMode="External" /><Relationship Type="http://schemas.openxmlformats.org/officeDocument/2006/relationships/hyperlink" Id="rId44" Target="https://about.zenodo.org/privacy-policy/" TargetMode="External" /><Relationship Type="http://schemas.openxmlformats.org/officeDocument/2006/relationships/hyperlink" Id="rId42" Target="https://about.zenodo.org/terms/" TargetMode="External" /><Relationship Type="http://schemas.openxmlformats.org/officeDocument/2006/relationships/hyperlink" Id="rId97" Target="https://doi.org/10.1002/fee.2618" TargetMode="External" /><Relationship Type="http://schemas.openxmlformats.org/officeDocument/2006/relationships/hyperlink" Id="rId93" Target="https://doi.org/10.1007/s11192-020-03437-1" TargetMode="External" /><Relationship Type="http://schemas.openxmlformats.org/officeDocument/2006/relationships/hyperlink" Id="rId83" Target="https://doi.org/10.1016/j.ecoinf.2026.103712" TargetMode="External" /><Relationship Type="http://schemas.openxmlformats.org/officeDocument/2006/relationships/hyperlink" Id="rId87" Target="https://doi.org/10.1016/j.envsci.2024.103980" TargetMode="External" /><Relationship Type="http://schemas.openxmlformats.org/officeDocument/2006/relationships/hyperlink" Id="rId85" Target="https://doi.org/10.1016/j.tree.2023.10.005" TargetMode="External" /><Relationship Type="http://schemas.openxmlformats.org/officeDocument/2006/relationships/hyperlink" Id="rId95" Target="https://doi.org/10.1038/sdata.2016.18" TargetMode="External" /><Relationship Type="http://schemas.openxmlformats.org/officeDocument/2006/relationships/hyperlink" Id="rId73" Target="https://doi.org/10.1038/sdata.2018.259" TargetMode="External" /><Relationship Type="http://schemas.openxmlformats.org/officeDocument/2006/relationships/hyperlink" Id="rId75" Target="https://doi.org/10.1080/17538947.2022.2038596" TargetMode="External" /><Relationship Type="http://schemas.openxmlformats.org/officeDocument/2006/relationships/hyperlink" Id="rId77" Target="https://doi.org/10.1098/rspb.2022.1113" TargetMode="External" /><Relationship Type="http://schemas.openxmlformats.org/officeDocument/2006/relationships/hyperlink" Id="rId71" Target="https://doi.org/10.1371/journal.pone.0230416" TargetMode="External" /><Relationship Type="http://schemas.openxmlformats.org/officeDocument/2006/relationships/hyperlink" Id="rId69" Target="https://doi.org/10.1371/journal.pone.0311493" TargetMode="External" /><Relationship Type="http://schemas.openxmlformats.org/officeDocument/2006/relationships/hyperlink" Id="rId81" Target="https://doi.org/10.3897/biss.8.133089" TargetMode="External" /><Relationship Type="http://schemas.openxmlformats.org/officeDocument/2006/relationships/hyperlink" Id="rId91" Target="https://doi.org/10.3897/rio.10.e126588" TargetMode="External" /><Relationship Type="http://schemas.openxmlformats.org/officeDocument/2006/relationships/hyperlink" Id="rId89" Target="https://doi.org/10.3897/rio.3.e12265" TargetMode="External" /><Relationship Type="http://schemas.openxmlformats.org/officeDocument/2006/relationships/hyperlink" Id="rId39" Target="https://repository.cern/records/xgq3r-6yc67/preview/Operational%20Circular%20No.11%20Rev.1.pdf" TargetMode="External" /><Relationship Type="http://schemas.openxmlformats.org/officeDocument/2006/relationships/hyperlink" Id="rId79"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2026-06-24T08:07:20Z</dcterms:created>
  <dcterms:modified xsi:type="dcterms:W3CDTF">2026-06-24T08:07:20Z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