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5"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temático ambiental,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w:t>
      </w:r>
      <w:r>
        <w:rPr>
          <w:b/>
          <w:bCs/>
        </w:rPr>
        <w:t xml:space="preserve">SECIHTI</w:t>
      </w:r>
      <w:r>
        <w:t xml:space="preserve">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el Centro Regional de El Bajío en Pátzcuaro, Michoacán, El grupo ecohidrológico de Chihuahua).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BodyText"/>
      </w:pPr>
      <w:r>
        <w:t xml:space="preserve">&lt;&lt;&lt;&lt;&lt;&lt;&lt; HEAD</w:t>
      </w:r>
      <w:r>
        <w:t xml:space="preserve"> </w:t>
      </w:r>
      <w:r>
        <w:t xml:space="preserve">a.</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b.</w:t>
      </w:r>
      <w:r>
        <w:t xml:space="preserve"> </w:t>
      </w: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c.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ad3748b42d4cd92f95dca0b2c2b530d83d4bd2"/>
    <w:p>
      <w:pPr>
        <w:pStyle w:val="Heading3"/>
      </w:pPr>
      <w:r>
        <w:t xml:space="preserve">1.0.7 7. Infraestructura Existente y Resultados Tangibles: eFloraMex y el Portal de Colecciones Biológicas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r>
        <w:rPr>
          <w:b/>
          <w:bCs/>
        </w:rPr>
        <w:t xml:space="preserve">eFloraMex (Flora de México en Línea)</w:t>
      </w:r>
      <w:r>
        <w:t xml:space="preserve"> </w:t>
      </w:r>
      <w:r>
        <w:t xml:space="preserve">(</w:t>
      </w:r>
      <w:hyperlink r:id="rId26">
        <w:r>
          <w:rPr>
            <w:rStyle w:val="Hyperlink"/>
          </w:rPr>
          <w:t xml:space="preserve">https://efloramex.ib.unam.mx/</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w:t>
      </w:r>
      <w:r>
        <w:t xml:space="preserve"> </w:t>
      </w:r>
      <w:r>
        <w:rPr>
          <w:b/>
          <w:bCs/>
        </w:rPr>
        <w:t xml:space="preserve">Portal de Colecciones Biológicas del INECOL</w:t>
      </w:r>
      <w:r>
        <w:t xml:space="preserve">,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 eFloraMex o al Portal de Colecciones; su objetivo es</w:t>
      </w:r>
      <w:r>
        <w:t xml:space="preserve"> </w:t>
      </w:r>
      <w:r>
        <w:rPr>
          <w:b/>
          <w:bCs/>
        </w:rPr>
        <w:t xml:space="preserve">escalar, federar y dotar de gobernanza jurídica y semántica unificada</w:t>
      </w:r>
      <w:r>
        <w:t xml:space="preserve"> </w:t>
      </w:r>
      <w:r>
        <w:t xml:space="preserve">a toda la producción científica del Instituto. El nuevo repositorio actuará como la infraestructura base que:</w:t>
      </w:r>
      <w:r>
        <w:t xml:space="preserve"> </w:t>
      </w:r>
      <w:r>
        <w:t xml:space="preserve">1.</w:t>
      </w:r>
      <w:r>
        <w:t xml:space="preserve"> </w:t>
      </w:r>
      <w:r>
        <w:rPr>
          <w:b/>
          <w:bCs/>
        </w:rPr>
        <w:t xml:space="preserve">Amplíe el Espectro del Dato:</w:t>
      </w:r>
      <w:r>
        <w:t xml:space="preserve"> </w:t>
      </w:r>
      <w:r>
        <w:t xml:space="preserve">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w:t>
      </w:r>
      <w:r>
        <w:t xml:space="preserve"> </w:t>
      </w:r>
      <w:r>
        <w:t xml:space="preserve">2.</w:t>
      </w:r>
      <w:r>
        <w:t xml:space="preserve"> </w:t>
      </w:r>
      <w:r>
        <w:rPr>
          <w:b/>
          <w:bCs/>
        </w:rPr>
        <w:t xml:space="preserve">Garantice la Preservación e Inmutabilidad:</w:t>
      </w:r>
      <w:r>
        <w:t xml:space="preserve"> </w:t>
      </w:r>
      <w:r>
        <w:t xml:space="preserve">Proveerá DOIs institucionales centralizados que blindarán la trazabilidad y la propiedad intelectual de los investigadores del INECOL en redes globales de Ciencia Abierta.</w:t>
      </w:r>
      <w:r>
        <w:t xml:space="preserve"> </w:t>
      </w:r>
      <w:r>
        <w:t xml:space="preserve">3.</w:t>
      </w:r>
      <w:r>
        <w:t xml:space="preserve"> </w:t>
      </w:r>
      <w:r>
        <w:rPr>
          <w:b/>
          <w:bCs/>
        </w:rPr>
        <w:t xml:space="preserve">Optimice la Interoperabilidad Automática:</w:t>
      </w:r>
      <w:r>
        <w:t xml:space="preserve"> </w:t>
      </w:r>
      <w:r>
        <w:t xml:space="preserve">Permitirá que los datos de colecciones existentes dialoguen automáticamente (v.gr., mediante protocolos OAI-PMH) con el Repositorio Nacional de la</w:t>
      </w:r>
      <w:r>
        <w:t xml:space="preserve"> </w:t>
      </w:r>
      <w:r>
        <w:rPr>
          <w:b/>
          <w:bCs/>
        </w:rPr>
        <w:t xml:space="preserve">SECIHTI</w:t>
      </w:r>
      <w:r>
        <w:t xml:space="preserve"> </w:t>
      </w:r>
      <w:r>
        <w:t xml:space="preserve">y el GBIF, consolidando los éxitos previos del Instituto en una sola política institucional de datos FAIR.</w:t>
      </w:r>
    </w:p>
    <w:bookmarkEnd w:id="27"/>
    <w:bookmarkStart w:id="28" w:name="X4da3fcb4ace6512eb64dd4b79298b9fe4d5bee8"/>
    <w:p>
      <w:pPr>
        <w:pStyle w:val="Heading3"/>
      </w:pPr>
      <w:r>
        <w:t xml:space="preserve">1.0.8 8. Sinergia Genómica Global: El Modelo GenBank / 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w:t>
      </w:r>
      <w:r>
        <w:t xml:space="preserve"> </w:t>
      </w:r>
      <w:r>
        <w:rPr>
          <w:b/>
          <w:bCs/>
        </w:rPr>
        <w:t xml:space="preserve">GenBank</w:t>
      </w:r>
      <w:r>
        <w:t xml:space="preserve"> </w:t>
      </w:r>
      <w:r>
        <w:t xml:space="preserve">(NCBI) y sistemas federados similares bajo el consorcio INSDC (International Nucleotide Sequence Database Collaboration).</w:t>
      </w:r>
    </w:p>
    <w:p>
      <w:pPr>
        <w:pStyle w:val="BodyText"/>
      </w:pPr>
      <w:r>
        <w:t xml:space="preserve">Lejos de representar una duplicidad de esfuerzos o una carga administrativa adicional para el personal investigador, la arquitectura del Servidor de Datos Abiertos del INECOL está diseñada para operar bajo una lógica de</w:t>
      </w:r>
      <w:r>
        <w:t xml:space="preserve"> </w:t>
      </w:r>
      <w:r>
        <w:rPr>
          <w:b/>
          <w:bCs/>
        </w:rPr>
        <w:t xml:space="preserve">acción sinérgica y complementariedad tecnológica</w:t>
      </w:r>
      <w:r>
        <w:t xml:space="preserve">.</w:t>
      </w:r>
    </w:p>
    <w:p>
      <w:pPr>
        <w:pStyle w:val="BodyText"/>
      </w:pPr>
      <w:r>
        <w:t xml:space="preserve">Bajo este modelo sinérgico, la política institucional establece que:</w:t>
      </w:r>
      <w:r>
        <w:t xml:space="preserve"> </w:t>
      </w:r>
      <w:r>
        <w:t xml:space="preserve">1.</w:t>
      </w:r>
      <w:r>
        <w:t xml:space="preserve"> </w:t>
      </w:r>
      <w:r>
        <w:rPr>
          <w:b/>
          <w:bCs/>
        </w:rPr>
        <w:t xml:space="preserve">Validación del Flujo de Trabajo Existente:</w:t>
      </w:r>
      <w:r>
        <w:t xml:space="preserve"> </w:t>
      </w:r>
      <w:r>
        <w:t xml:space="preserve">El INECOL reconoce a GenBank como la infraestructura primaria idónea para el alojamiento de datos genómicos crudos y ensamblajes moleculares debido a su nivel de especialización ultra-esencial.</w:t>
      </w:r>
      <w:r>
        <w:t xml:space="preserve"> </w:t>
      </w:r>
      <w:r>
        <w:t xml:space="preserve">2.</w:t>
      </w:r>
      <w:r>
        <w:t xml:space="preserve"> </w:t>
      </w:r>
      <w:r>
        <w:rPr>
          <w:b/>
          <w:bCs/>
        </w:rPr>
        <w:t xml:space="preserve">Cosecha de Identificadores y Enlace Institucional:</w:t>
      </w:r>
      <w:r>
        <w:t xml:space="preserve"> </w:t>
      </w:r>
      <w:r>
        <w:t xml:space="preserve">El repositorio del INECOL funcionará como un agregador institucional. En lugar de exigir la resubida física de archivos FASTQ o FASTA masivos al servidor local, el investigador registrará en el Servidor del INECOL el</w:t>
      </w:r>
      <w:r>
        <w:t xml:space="preserve"> </w:t>
      </w:r>
      <w:r>
        <w:rPr>
          <w:b/>
          <w:bCs/>
        </w:rPr>
        <w:t xml:space="preserve">número de accesión (Accession Number) o el DOI provisto por GenBank</w:t>
      </w:r>
      <w:r>
        <w:t xml:space="preserve">, acompañado de los metadatos contextuales del proyecto, la muestra biológica y la financiación de la</w:t>
      </w:r>
      <w:r>
        <w:t xml:space="preserve"> </w:t>
      </w:r>
      <w:r>
        <w:rPr>
          <w:b/>
          <w:bCs/>
        </w:rPr>
        <w:t xml:space="preserve">SECIHTI</w:t>
      </w:r>
      <w:r>
        <w:t xml:space="preserve">.</w:t>
      </w:r>
      <w:r>
        <w:t xml:space="preserve"> </w:t>
      </w:r>
      <w:r>
        <w:t xml:space="preserve">3.</w:t>
      </w:r>
      <w:r>
        <w:t xml:space="preserve"> </w:t>
      </w:r>
      <w:r>
        <w:rPr>
          <w:b/>
          <w:bCs/>
        </w:rPr>
        <w:t xml:space="preserve">Capitalización del Patrimonio Científico:</w:t>
      </w:r>
      <w:r>
        <w:t xml:space="preserve"> </w:t>
      </w:r>
      <w:r>
        <w:t xml:space="preserve">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p>
      <w:pPr>
        <w:pStyle w:val="BodyText"/>
      </w:pPr>
      <w:r>
        <w:t xml:space="preserve">=======</w:t>
      </w:r>
      <w:r>
        <w:t xml:space="preserve"> </w:t>
      </w:r>
      <w:r>
        <w:t xml:space="preserve">1.</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2.</w:t>
      </w:r>
      <w:r>
        <w:t xml:space="preserve"> </w:t>
      </w:r>
      <w:r>
        <w:rPr>
          <w:b/>
          <w:bCs/>
        </w:rPr>
        <w:t xml:space="preserve">Resiliencia Urbana y Municipal:</w:t>
      </w:r>
      <w:r>
        <w:t xml:space="preserve"> </w:t>
      </w:r>
      <w:r>
        <w:t xml:space="preserve">Permite al Municipio, por ejemplo los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3.</w:t>
      </w:r>
      <w:r>
        <w:t xml:space="preserve">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r>
        <w:t xml:space="preserve"> </w:t>
      </w:r>
      <w:r>
        <w:t xml:space="preserve">&gt;&gt;&gt;&gt;&gt;&gt;&gt; 25df7cd1400042bf256628fb10435f48936d3b2c</w:t>
      </w:r>
    </w:p>
    <w:bookmarkEnd w:id="28"/>
    <w:bookmarkStart w:id="29" w:name="X9566383fd1728b90fab201cc0663061e3513878"/>
    <w:p>
      <w:pPr>
        <w:pStyle w:val="Heading3"/>
      </w:pPr>
      <w:r>
        <w:t xml:space="preserve">1.0.9 7. Infraestructura Existente y Resultados Tangibles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hyperlink r:id="rId26">
        <w:r>
          <w:rPr>
            <w:rStyle w:val="Hyperlink"/>
            <w:b/>
            <w:bCs/>
          </w:rPr>
          <w:t xml:space="preserve">eFloraMex</w:t>
        </w:r>
        <w:r>
          <w:rPr>
            <w:rStyle w:val="Hyperlink"/>
          </w:rPr>
          <w:t xml:space="preserve"> </w:t>
        </w:r>
        <w:r>
          <w:rPr>
            <w:rStyle w:val="Hyperlink"/>
          </w:rPr>
          <w:t xml:space="preserve">(Flora de México en Línea)</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 Portal de Colecciones Biológicas del INECOL,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w:t>
      </w:r>
      <w:r>
        <w:t xml:space="preserve"> </w:t>
      </w:r>
      <w:r>
        <w:rPr>
          <w:b/>
          <w:bCs/>
        </w:rPr>
        <w:t xml:space="preserve">eFloraMex</w:t>
      </w:r>
      <w:r>
        <w:t xml:space="preserve"> </w:t>
      </w:r>
      <w:r>
        <w:t xml:space="preserve">o al Portal de Colecciones; su objetivo es escalar, federar y dotar de gobernanza jurídica y semántica unificada a toda la producción científica del Instituto.</w:t>
      </w:r>
    </w:p>
    <w:p>
      <w:pPr>
        <w:pStyle w:val="BodyText"/>
      </w:pPr>
      <w:r>
        <w:t xml:space="preserve">El nuevo repositorio actuará como la infraestructura base que: 1) Amplíe el Espectro del Dato: 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 2) Garantice la Preservación e Inmutabilidad: Proveerá DOIs institucionales centralizados que blindarán la trazabilidad y la propiedad intelectual de los investigadores del INECOL en redes globales de Ciencia Abierta. 3) Optimice la Interoperabilidad Automática: Permitirá que los datos de colecciones existentes dialoguen automáticamente (v.gr., mediante protocolos OAI-PMH) con el Repositorio Nacional de la</w:t>
      </w:r>
      <w:r>
        <w:rPr>
          <w:b/>
          <w:bCs/>
        </w:rPr>
        <w:t xml:space="preserve">SECIHTI</w:t>
      </w:r>
      <w:r>
        <w:t xml:space="preserve">y el GBIF, consolidando los éxitos previos del Instituto en una sola política institucional de datos FAIR.</w:t>
      </w:r>
    </w:p>
    <w:bookmarkEnd w:id="29"/>
    <w:bookmarkStart w:id="30" w:name="Xaec974ce585493a0dc1a6fffc636c7c4248824e"/>
    <w:p>
      <w:pPr>
        <w:pStyle w:val="Heading3"/>
      </w:pPr>
      <w:r>
        <w:t xml:space="preserve">1.0.10 8. Sinergia Genómica Global: El Modelo GenBank /</w:t>
      </w:r>
      <w:r>
        <w:t xml:space="preserve"> </w:t>
      </w:r>
      <w:r>
        <w:rPr>
          <w:b/>
          <w:bCs/>
        </w:rPr>
        <w:t xml:space="preserve">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 GenBank (NCBI) y sistemas federados similares bajo el consorcio</w:t>
      </w:r>
      <w:r>
        <w:t xml:space="preserve"> </w:t>
      </w:r>
      <w:r>
        <w:rPr>
          <w:b/>
          <w:bCs/>
        </w:rPr>
        <w:t xml:space="preserve">INSDC</w:t>
      </w:r>
      <w:r>
        <w:t xml:space="preserve"> </w:t>
      </w:r>
      <w:r>
        <w:t xml:space="preserve">(International Nucleotide Sequence Database Collaboration).</w:t>
      </w:r>
      <w:r>
        <w:t xml:space="preserve"> </w:t>
      </w:r>
      <w:r>
        <w:t xml:space="preserve">Lejos de representar una duplicidad de esfuerzos o una carga administrativa adicional para el personal investigador, la arquitectura del Servidor de Datos Abiertos del INECOL está diseñada para operar bajo una lógica de acción sinérgica y complementariedad tecnológica.</w:t>
      </w:r>
      <w:r>
        <w:t xml:space="preserve"> </w:t>
      </w:r>
      <w:r>
        <w:t xml:space="preserve">Bajo este modelo sinérgico, la política institucional establece que: 1. Validación del Flujo de Trabajo Existente: El INECOL reconoce a GenBank como la infraestructura primaria idónea para el alojamiento de datos genómicos crudos y ensamblajes moleculares debido a su nivel de especialización ultra-esencial. 2. Cosecha de Identificadores y Enlace Institucional: El repositorio del INECOL funcionará como un agregador institucional. En lugar de exigir la resubida física de archivos FASTQ o FASTA masivos al servidor local, el investigador registrará en el Servidor del INECOL el número de accesión (Accession Number) o el DOI provisto por GenBank, acompañado de los metadatos contextuales del proyecto, la muestra biológica y la financiación de la SECIHTI. 3. Capitalización del Patrimonio Científico: 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bookmarkEnd w:id="30"/>
    <w:bookmarkStart w:id="33" w:name="peligros-en-el-horizonte"/>
    <w:p>
      <w:pPr>
        <w:pStyle w:val="Heading3"/>
      </w:pPr>
      <w:r>
        <w:t xml:space="preserve">1.0.11 9. Peligros en el horizonte</w:t>
      </w:r>
    </w:p>
    <w:bookmarkStart w:id="31" w:name="X0f4e37578414bd26896a6af852ce96df549c66e"/>
    <w:p>
      <w:pPr>
        <w:pStyle w:val="Heading4"/>
      </w:pPr>
      <w:r>
        <w:t xml:space="preserve">1.0.11.1 El Fenómeno Depredador: Del Texto al Dato Abierto</w:t>
      </w:r>
    </w:p>
    <w:p>
      <w:pPr>
        <w:pStyle w:val="FirstParagraph"/>
      </w:pPr>
      <w:r>
        <w:t xml:space="preserve">El crecimiento de la Ciencia Abierta ha venido acompañado de distorsiones comerciales en el mercado editorial. Mientras que en el ámbito de las publicaciones narrativas el modelo depredador —caracterizado por revistas que cobran altas tarifas de procesamiento (APC) sacrificando la revisión por pares— se encuentra ampliamente documentado, el ecosistema de los datos científicos enfrenta una amenaza emergente: los</w:t>
      </w:r>
      <w:r>
        <w:t xml:space="preserve"> </w:t>
      </w:r>
      <w:r>
        <w:rPr>
          <w:b/>
          <w:bCs/>
        </w:rPr>
        <w:t xml:space="preserve">medios y repositorios depredadores de datos</w:t>
      </w:r>
      <w:r>
        <w:t xml:space="preserve">.</w:t>
      </w:r>
    </w:p>
    <w:p>
      <w:pPr>
        <w:pStyle w:val="BodyText"/>
      </w:pPr>
      <w:r>
        <w:t xml:space="preserve">A medida que los ministerios de ciencia y agencias federales (como la</w:t>
      </w:r>
      <w:r>
        <w:t xml:space="preserve"> </w:t>
      </w:r>
      <w:r>
        <w:rPr>
          <w:b/>
          <w:bCs/>
        </w:rPr>
        <w:t xml:space="preserve">SECIHTI</w:t>
      </w:r>
      <w:r>
        <w:t xml:space="preserve"> </w:t>
      </w:r>
      <w:r>
        <w:t xml:space="preserve">en México) transitan de la recomendación a la obligatoriedad del acceso abierto a datos primarios, el personal investigador se ve presionado a depositar sus bases de datos con celeridad. Esta urgencia es capitalizada por plataformas y revistas de datos (</w:t>
      </w:r>
      <w:r>
        <w:rPr>
          <w:i/>
          <w:iCs/>
        </w:rPr>
        <w:t xml:space="preserve">Data Journals</w:t>
      </w:r>
      <w:r>
        <w:t xml:space="preserve">) apócrifas que ofrecen asignación inmediata de Identificadores de Objeto Digital (DOIs) a cambio de transacciones financieras, eludiendo cualquier proceso de curaduría técnica o validación semántica (v.gr., omisión de estándares</w:t>
      </w:r>
      <w:r>
        <w:t xml:space="preserve"> </w:t>
      </w:r>
      <w:r>
        <w:rPr>
          <w:i/>
          <w:iCs/>
        </w:rPr>
        <w:t xml:space="preserve">Darwin Core</w:t>
      </w:r>
      <w:r>
        <w:t xml:space="preserve"> </w:t>
      </w:r>
      <w:r>
        <w:t xml:space="preserve">o</w:t>
      </w:r>
      <w:r>
        <w:t xml:space="preserve"> </w:t>
      </w:r>
      <w:r>
        <w:rPr>
          <w:i/>
          <w:iCs/>
        </w:rPr>
        <w:t xml:space="preserve">ISO 19115</w:t>
      </w:r>
      <w:r>
        <w:t xml:space="preserve">).</w:t>
      </w:r>
    </w:p>
    <w:bookmarkEnd w:id="31"/>
    <w:bookmarkStart w:id="32" w:name="X6826f917001786b06be53719d42dc6476bb0d84"/>
    <w:p>
      <w:pPr>
        <w:pStyle w:val="Heading4"/>
      </w:pPr>
      <w:r>
        <w:t xml:space="preserve">1.0.11.2 Riesgos de la Delegación en Infraestructuras Sin Gobernanza</w:t>
      </w:r>
    </w:p>
    <w:p>
      <w:pPr>
        <w:pStyle w:val="FirstParagraph"/>
      </w:pPr>
      <w:r>
        <w:t xml:space="preserve">Depositar el patrimonio biocultural y geoespacial generado por el INECOL en repositorios comerciales sin planes explícitos de preservación a largo plazo conlleva tres riesgos críticos:</w:t>
      </w:r>
      <w:r>
        <w:t xml:space="preserve"> </w:t>
      </w:r>
      <w:r>
        <w:t xml:space="preserve">1.</w:t>
      </w:r>
      <w:r>
        <w:t xml:space="preserve"> </w:t>
      </w:r>
      <w:r>
        <w:rPr>
          <w:b/>
          <w:bCs/>
        </w:rPr>
        <w:t xml:space="preserve">La Desaparición del Dato (</w:t>
      </w:r>
      <w:r>
        <w:rPr>
          <w:b/>
          <w:bCs/>
        </w:rPr>
        <w:t xml:space="preserve">“Enlaces Rotos”</w:t>
      </w:r>
      <w:r>
        <w:rPr>
          <w:b/>
          <w:bCs/>
        </w:rPr>
        <w:t xml:space="preserve">):</w:t>
      </w:r>
      <w:r>
        <w:t xml:space="preserve"> </w:t>
      </w:r>
      <w:r>
        <w:t xml:space="preserve">A diferencia de infraestructuras públicas como Zenodo (respaldada por la estabilidad institucional del CERN), los repositorios comerciales efímeros no garantizan la persistencia del dato a 20 años, lo que fractura la integridad de las citas académicas y vulnera el mandato legal de conservación del artículo 12 de nuestros lineamientos.</w:t>
      </w:r>
      <w:r>
        <w:t xml:space="preserve"> </w:t>
      </w:r>
      <w:r>
        <w:t xml:space="preserve">2.</w:t>
      </w:r>
      <w:r>
        <w:t xml:space="preserve"> </w:t>
      </w:r>
      <w:r>
        <w:rPr>
          <w:b/>
          <w:bCs/>
        </w:rPr>
        <w:t xml:space="preserve">Opacidad Legal y Biopiratería:</w:t>
      </w:r>
      <w:r>
        <w:t xml:space="preserve"> </w:t>
      </w:r>
      <w:r>
        <w:t xml:space="preserve">Las plataformas comerciales generalistas operan bajo términos de servicio diseñados en el extranjero que no auditan el cumplimiento de normativas soberanas como el Protocolo de Nagoya, facilitando la fuga y explotación no autorizada de secuencias genéticas o coordenadas precisas de especies en riesgo.</w:t>
      </w:r>
      <w:r>
        <w:t xml:space="preserve"> </w:t>
      </w:r>
      <w:r>
        <w:t xml:space="preserve">3.</w:t>
      </w:r>
      <w:r>
        <w:t xml:space="preserve"> </w:t>
      </w:r>
      <w:r>
        <w:rPr>
          <w:b/>
          <w:bCs/>
        </w:rPr>
        <w:t xml:space="preserve">Descapitalización del Mérito Académico:</w:t>
      </w:r>
      <w:r>
        <w:t xml:space="preserve"> </w:t>
      </w:r>
      <w:r>
        <w:t xml:space="preserve">Publicar descripciones de datos en revistas depredadoras de bajo impacto diluye el Factor de Impacto autónomo que los</w:t>
      </w:r>
      <w:r>
        <w:t xml:space="preserve"> </w:t>
      </w:r>
      <w:r>
        <w:rPr>
          <w:i/>
          <w:iCs/>
        </w:rPr>
        <w:t xml:space="preserve">Data Papers</w:t>
      </w:r>
      <w:r>
        <w:t xml:space="preserve"> </w:t>
      </w:r>
      <w:r>
        <w:t xml:space="preserve">legítimos (como</w:t>
      </w:r>
      <w:r>
        <w:t xml:space="preserve"> </w:t>
      </w:r>
      <w:r>
        <w:rPr>
          <w:i/>
          <w:iCs/>
        </w:rPr>
        <w:t xml:space="preserve">Data in Brief</w:t>
      </w:r>
      <w:r>
        <w:t xml:space="preserve">) otorgan hoy en día a las carreras de los investigadores y técnicos de los CPIs.</w:t>
      </w:r>
    </w:p>
    <w:p>
      <w:pPr>
        <w:pStyle w:val="BodyText"/>
      </w:pPr>
      <w:r>
        <w:t xml:space="preserve">La puesta en marcha del Servidor de Datos Abiertos del INECOL neutraliza estos riesgos de raíz, al ofrecer una infraestructura pública blindada presupuestalmente, con curaduría especializada nativa y con la garantía de inmutabilidad institucional exigida por el Estado mexicano.</w:t>
      </w:r>
    </w:p>
    <w:bookmarkEnd w:id="32"/>
    <w:bookmarkEnd w:id="33"/>
    <w:bookmarkStart w:id="34" w:name="X82169622ff85fa1068202aeda77feb0b6070df7"/>
    <w:p>
      <w:pPr>
        <w:pStyle w:val="Heading3"/>
      </w:pPr>
      <w:r>
        <w:t xml:space="preserve">1.0.12 Conclusión Estratégica: El Enfoque Híbrido</w:t>
      </w:r>
    </w:p>
    <w:p>
      <w:pPr>
        <w:pStyle w:val="FirstParagraph"/>
      </w:pPr>
      <w:r>
        <w:t xml:space="preserve">&lt;&lt;&lt;&lt;&lt;&lt;&lt; HEAD</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Las alianzas interinstitucionales son también el núcleo estratégicon para consolidar la oferta de datos abiertos. El Servidor del INECOL, en nuestro caso, constituye así nuestra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r>
        <w:t xml:space="preserve"> </w:t>
      </w:r>
      <w:r>
        <w:t xml:space="preserve">=======</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 comunidad científica.</w:t>
      </w:r>
      <w:r>
        <w:t xml:space="preserve"> </w:t>
      </w:r>
      <w:r>
        <w:t xml:space="preserve">&gt;&gt;&gt;&gt;&gt;&gt;&gt; 25df7cd1400042bf256628fb10435f48936d3b2c</w:t>
      </w:r>
    </w:p>
    <w:bookmarkEnd w:id="34"/>
    <w:bookmarkEnd w:id="35"/>
    <w:bookmarkStart w:id="38" w:name="cambio-de-conahcyt-a-secihti"/>
    <w:p>
      <w:pPr>
        <w:pStyle w:val="Heading1"/>
      </w:pPr>
      <w:r>
        <w:t xml:space="preserve">2.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6" w:name="X39e3a0563555eae314686bd853b8310055594ac"/>
    <w:p>
      <w:pPr>
        <w:pStyle w:val="Heading3"/>
      </w:pPr>
      <w:r>
        <w:t xml:space="preserve">2.0.1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3"/>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4"/>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6"/>
    <w:bookmarkStart w:id="37" w:name="Xba4d79491cbbb18e319061a96d7b4b175a84ee8"/>
    <w:p>
      <w:pPr>
        <w:pStyle w:val="Heading3"/>
      </w:pPr>
      <w:r>
        <w:t xml:space="preserve">2.0.2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5"/>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6"/>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7"/>
    <w:bookmarkEnd w:id="38"/>
    <w:bookmarkStart w:id="59" w:name="zenodo-como-ejemplo"/>
    <w:p>
      <w:pPr>
        <w:pStyle w:val="Heading1"/>
      </w:pPr>
      <w:r>
        <w:t xml:space="preserve">3.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39" w:name="X38bc9895e841af86c922d3108004ba5bf0959df"/>
    <w:p>
      <w:pPr>
        <w:pStyle w:val="Heading3"/>
      </w:pPr>
      <w:r>
        <w:t xml:space="preserve">3.0.1 1. Alcance, Contenido y Depositantes (Políticas de Zenodo)</w:t>
      </w:r>
    </w:p>
    <w:p>
      <w:pPr>
        <w:pStyle w:val="Compact"/>
        <w:numPr>
          <w:ilvl w:val="0"/>
          <w:numId w:val="1007"/>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07"/>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07"/>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07"/>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39"/>
    <w:bookmarkStart w:id="40" w:name="Xfa8e2c8b7a0f9dfeb5c9386d331f22853c3453e"/>
    <w:p>
      <w:pPr>
        <w:pStyle w:val="Heading3"/>
      </w:pPr>
      <w:r>
        <w:t xml:space="preserve">3.0.2 2. Responsabilidad Legal y Propiedad Intelectual</w:t>
      </w:r>
    </w:p>
    <w:p>
      <w:pPr>
        <w:pStyle w:val="Compact"/>
        <w:numPr>
          <w:ilvl w:val="0"/>
          <w:numId w:val="1008"/>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08"/>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08"/>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40"/>
    <w:bookmarkStart w:id="41" w:name="X7623938980cfe5cfebf525c12cdf262807bd78a"/>
    <w:p>
      <w:pPr>
        <w:pStyle w:val="Heading3"/>
      </w:pPr>
      <w:r>
        <w:t xml:space="preserve">3.0.3 3. Privacidad y Datos Sensibles (El cruce con el GDPR)</w:t>
      </w:r>
    </w:p>
    <w:p>
      <w:pPr>
        <w:pStyle w:val="Compact"/>
        <w:numPr>
          <w:ilvl w:val="0"/>
          <w:numId w:val="1009"/>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09"/>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41"/>
    <w:bookmarkStart w:id="42" w:name="niveles-de-acceso-y-modificaciones"/>
    <w:p>
      <w:pPr>
        <w:pStyle w:val="Heading3"/>
      </w:pPr>
      <w:r>
        <w:t xml:space="preserve">3.0.4 4. Niveles de Acceso y Modificaciones</w:t>
      </w:r>
    </w:p>
    <w:p>
      <w:pPr>
        <w:numPr>
          <w:ilvl w:val="0"/>
          <w:numId w:val="1010"/>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0"/>
        </w:numPr>
      </w:pPr>
      <w:r>
        <w:rPr>
          <w:b/>
          <w:bCs/>
        </w:rPr>
        <w:t xml:space="preserve">Acceso abierto (Open Access):</w:t>
      </w:r>
      <w:r>
        <w:t xml:space="preserve"> </w:t>
      </w:r>
      <w:r>
        <w:t xml:space="preserve">Disponible de inmediato.</w:t>
      </w:r>
    </w:p>
    <w:p>
      <w:pPr>
        <w:numPr>
          <w:ilvl w:val="0"/>
          <w:numId w:val="1010"/>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0"/>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0"/>
        </w:numPr>
      </w:pPr>
      <w:r>
        <w:rPr>
          <w:b/>
          <w:bCs/>
        </w:rPr>
        <w:t xml:space="preserve">Acceso cerrado (Closed):</w:t>
      </w:r>
      <w:r>
        <w:t xml:space="preserve"> </w:t>
      </w:r>
      <w:r>
        <w:t xml:space="preserve">Solo el propietario puede ver los archivos (utilizado principalmente para preservación interna).</w:t>
      </w:r>
    </w:p>
    <w:p>
      <w:pPr>
        <w:numPr>
          <w:ilvl w:val="0"/>
          <w:numId w:val="1010"/>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42"/>
    <w:bookmarkStart w:id="43" w:name="X72cb5341b4578a3c9b8f92aca5bb9095bfca49b"/>
    <w:p>
      <w:pPr>
        <w:pStyle w:val="Heading3"/>
      </w:pPr>
      <w:r>
        <w:t xml:space="preserve">3.0.5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1"/>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1"/>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1"/>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43"/>
    <w:bookmarkStart w:id="44" w:name="resumen-de-la-perspectiva"/>
    <w:p>
      <w:pPr>
        <w:pStyle w:val="Heading3"/>
      </w:pPr>
      <w:r>
        <w:t xml:space="preserve">3.0.6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44"/>
    <w:bookmarkStart w:id="58" w:name="X449ed843dca3d710b52a002e436b372f618f80a"/>
    <w:p>
      <w:pPr>
        <w:pStyle w:val="Heading2"/>
      </w:pPr>
      <w:r>
        <w:t xml:space="preserve">3.1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49" w:name="Xcb906d6e330e04db78d4e8b5561744b23752659"/>
    <w:p>
      <w:pPr>
        <w:pStyle w:val="Heading3"/>
      </w:pPr>
      <w:r>
        <w:t xml:space="preserve">3.1.1 1. Documentos Principales de Política y Gobernanza</w:t>
      </w:r>
    </w:p>
    <w:bookmarkStart w:id="46" w:name="X90e22729b06a9cff907c9b257486cf978898c3a"/>
    <w:p>
      <w:pPr>
        <w:pStyle w:val="Heading4"/>
      </w:pPr>
      <w:r>
        <w:t xml:space="preserve">3.1.1.1 📄 Zenodo General Policies (Políticas Generales de Zenodo)</w:t>
      </w:r>
    </w:p>
    <w:p>
      <w:pPr>
        <w:pStyle w:val="Compact"/>
        <w:numPr>
          <w:ilvl w:val="0"/>
          <w:numId w:val="1012"/>
        </w:numPr>
      </w:pPr>
      <w:r>
        <w:rPr>
          <w:b/>
          <w:bCs/>
        </w:rPr>
        <w:t xml:space="preserve">Organización:</w:t>
      </w:r>
      <w:r>
        <w:t xml:space="preserve"> </w:t>
      </w:r>
      <w:r>
        <w:t xml:space="preserve">Zenodo / OpenAIRE / CERN</w:t>
      </w:r>
    </w:p>
    <w:p>
      <w:pPr>
        <w:pStyle w:val="Compact"/>
        <w:numPr>
          <w:ilvl w:val="0"/>
          <w:numId w:val="1012"/>
        </w:numPr>
      </w:pPr>
      <w:r>
        <w:rPr>
          <w:b/>
          <w:bCs/>
        </w:rPr>
        <w:t xml:space="preserve">Ámbito:</w:t>
      </w:r>
      <w:r>
        <w:t xml:space="preserve"> </w:t>
      </w:r>
      <w:r>
        <w:t xml:space="preserve">Normativa principal para usuarios y depositantes.</w:t>
      </w:r>
    </w:p>
    <w:p>
      <w:pPr>
        <w:pStyle w:val="Compact"/>
        <w:numPr>
          <w:ilvl w:val="0"/>
          <w:numId w:val="1012"/>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2"/>
        </w:numPr>
      </w:pPr>
      <w:r>
        <w:rPr>
          <w:b/>
          <w:bCs/>
        </w:rPr>
        <w:t xml:space="preserve">Fuente/Enlace:</w:t>
      </w:r>
      <w:r>
        <w:t xml:space="preserve"> </w:t>
      </w:r>
      <w:hyperlink r:id="rId45">
        <w:r>
          <w:rPr>
            <w:rStyle w:val="Hyperlink"/>
          </w:rPr>
          <w:t xml:space="preserve">https://about.zenodo.org/policies/</w:t>
        </w:r>
      </w:hyperlink>
    </w:p>
    <w:bookmarkEnd w:id="46"/>
    <w:bookmarkStart w:id="48" w:name="X4f162501dc14a3988dcc7871e13cc20f9aec268"/>
    <w:p>
      <w:pPr>
        <w:pStyle w:val="Heading4"/>
      </w:pPr>
      <w:r>
        <w:t xml:space="preserve">3.1.1.2 📄 CERN Operational Circular No. 11 Rev. 1 (Circular Operacional del CERN No. 11)</w:t>
      </w:r>
    </w:p>
    <w:p>
      <w:pPr>
        <w:pStyle w:val="Compact"/>
        <w:numPr>
          <w:ilvl w:val="0"/>
          <w:numId w:val="1013"/>
        </w:numPr>
      </w:pPr>
      <w:r>
        <w:rPr>
          <w:b/>
          <w:bCs/>
        </w:rPr>
        <w:t xml:space="preserve">Organización:</w:t>
      </w:r>
      <w:r>
        <w:t xml:space="preserve"> </w:t>
      </w:r>
      <w:r>
        <w:t xml:space="preserve">Organización Europea para la Investigación Nuclear (CERN)</w:t>
      </w:r>
    </w:p>
    <w:p>
      <w:pPr>
        <w:pStyle w:val="Compact"/>
        <w:numPr>
          <w:ilvl w:val="0"/>
          <w:numId w:val="1013"/>
        </w:numPr>
      </w:pPr>
      <w:r>
        <w:rPr>
          <w:b/>
          <w:bCs/>
        </w:rPr>
        <w:t xml:space="preserve">Ámbito:</w:t>
      </w:r>
      <w:r>
        <w:t xml:space="preserve"> </w:t>
      </w:r>
      <w:r>
        <w:t xml:space="preserve">Marco institucional y legal de nivel macro.</w:t>
      </w:r>
    </w:p>
    <w:p>
      <w:pPr>
        <w:pStyle w:val="Compact"/>
        <w:numPr>
          <w:ilvl w:val="0"/>
          <w:numId w:val="1013"/>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3"/>
        </w:numPr>
      </w:pPr>
      <w:r>
        <w:rPr>
          <w:b/>
          <w:bCs/>
        </w:rPr>
        <w:t xml:space="preserve">Fuente/Enlace:</w:t>
      </w:r>
      <w:r>
        <w:t xml:space="preserve"> </w:t>
      </w:r>
      <w:hyperlink r:id="rId47">
        <w:r>
          <w:rPr>
            <w:rStyle w:val="Hyperlink"/>
          </w:rPr>
          <w:t xml:space="preserve">https://repository.cern/records/xgq3r-6yc67/preview/Operational%20Circular%20No.11%20Rev.1.pdf</w:t>
        </w:r>
      </w:hyperlink>
    </w:p>
    <w:bookmarkEnd w:id="48"/>
    <w:bookmarkEnd w:id="49"/>
    <w:bookmarkStart w:id="54" w:name="X310d5ae13e9b57819c0eeae54025fdcba2b8dde"/>
    <w:p>
      <w:pPr>
        <w:pStyle w:val="Heading3"/>
      </w:pPr>
      <w:r>
        <w:t xml:space="preserve">3.1.2 2. Términos de Servicio y Privacidad (Soporte Técnico-Legal)</w:t>
      </w:r>
    </w:p>
    <w:bookmarkStart w:id="51" w:name="X513cc11dfdf87eb80b2859a88a0518c526a45f9"/>
    <w:p>
      <w:pPr>
        <w:pStyle w:val="Heading4"/>
      </w:pPr>
      <w:r>
        <w:t xml:space="preserve">3.1.2.1 📄 Zenodo Terms of Service (Términos del Servicio de Zenodo)</w:t>
      </w:r>
    </w:p>
    <w:p>
      <w:pPr>
        <w:pStyle w:val="Compact"/>
        <w:numPr>
          <w:ilvl w:val="0"/>
          <w:numId w:val="1014"/>
        </w:numPr>
      </w:pPr>
      <w:r>
        <w:rPr>
          <w:b/>
          <w:bCs/>
        </w:rPr>
        <w:t xml:space="preserve">Organización:</w:t>
      </w:r>
      <w:r>
        <w:t xml:space="preserve"> </w:t>
      </w:r>
      <w:r>
        <w:t xml:space="preserve">Zenodo / CERN</w:t>
      </w:r>
    </w:p>
    <w:p>
      <w:pPr>
        <w:pStyle w:val="Compact"/>
        <w:numPr>
          <w:ilvl w:val="0"/>
          <w:numId w:val="1014"/>
        </w:numPr>
      </w:pPr>
      <w:r>
        <w:rPr>
          <w:b/>
          <w:bCs/>
        </w:rPr>
        <w:t xml:space="preserve">Ámbito:</w:t>
      </w:r>
      <w:r>
        <w:t xml:space="preserve"> </w:t>
      </w:r>
      <w:r>
        <w:t xml:space="preserve">Contrato de adhesión para los depositantes de datos.</w:t>
      </w:r>
    </w:p>
    <w:p>
      <w:pPr>
        <w:pStyle w:val="Compact"/>
        <w:numPr>
          <w:ilvl w:val="0"/>
          <w:numId w:val="1014"/>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4"/>
        </w:numPr>
      </w:pPr>
      <w:r>
        <w:rPr>
          <w:b/>
          <w:bCs/>
        </w:rPr>
        <w:t xml:space="preserve">Fuente/Enlace:</w:t>
      </w:r>
      <w:r>
        <w:t xml:space="preserve"> </w:t>
      </w:r>
      <w:hyperlink r:id="rId50">
        <w:r>
          <w:rPr>
            <w:rStyle w:val="Hyperlink"/>
          </w:rPr>
          <w:t xml:space="preserve">https://about.zenodo.org/terms/</w:t>
        </w:r>
      </w:hyperlink>
    </w:p>
    <w:bookmarkEnd w:id="51"/>
    <w:bookmarkStart w:id="53" w:name="X3984e5fdca23071096195afb4c53d62c06cd849"/>
    <w:p>
      <w:pPr>
        <w:pStyle w:val="Heading4"/>
      </w:pPr>
      <w:r>
        <w:t xml:space="preserve">3.1.2.2 📄 CERN Data Protection Privacy Notice - Zenodo (Aviso de Privacidad de Datos del CERN)</w:t>
      </w:r>
    </w:p>
    <w:p>
      <w:pPr>
        <w:pStyle w:val="Compact"/>
        <w:numPr>
          <w:ilvl w:val="0"/>
          <w:numId w:val="1015"/>
        </w:numPr>
      </w:pPr>
      <w:r>
        <w:rPr>
          <w:b/>
          <w:bCs/>
        </w:rPr>
        <w:t xml:space="preserve">Organización:</w:t>
      </w:r>
      <w:r>
        <w:t xml:space="preserve"> </w:t>
      </w:r>
      <w:r>
        <w:t xml:space="preserve">CERN Data Protection Officer</w:t>
      </w:r>
    </w:p>
    <w:p>
      <w:pPr>
        <w:pStyle w:val="Compact"/>
        <w:numPr>
          <w:ilvl w:val="0"/>
          <w:numId w:val="1015"/>
        </w:numPr>
      </w:pPr>
      <w:r>
        <w:rPr>
          <w:b/>
          <w:bCs/>
        </w:rPr>
        <w:t xml:space="preserve">Ámbito:</w:t>
      </w:r>
      <w:r>
        <w:t xml:space="preserve"> </w:t>
      </w:r>
      <w:r>
        <w:t xml:space="preserve">Cumplimiento de protección de datos personales.</w:t>
      </w:r>
    </w:p>
    <w:p>
      <w:pPr>
        <w:pStyle w:val="Compact"/>
        <w:numPr>
          <w:ilvl w:val="0"/>
          <w:numId w:val="1015"/>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5"/>
        </w:numPr>
      </w:pPr>
      <w:r>
        <w:rPr>
          <w:b/>
          <w:bCs/>
        </w:rPr>
        <w:t xml:space="preserve">Fuente/Enlace:</w:t>
      </w:r>
      <w:r>
        <w:t xml:space="preserve"> </w:t>
      </w:r>
      <w:hyperlink r:id="rId52">
        <w:r>
          <w:rPr>
            <w:rStyle w:val="Hyperlink"/>
          </w:rPr>
          <w:t xml:space="preserve">https://about.zenodo.org/privacy-policy/</w:t>
        </w:r>
      </w:hyperlink>
    </w:p>
    <w:bookmarkEnd w:id="53"/>
    <w:bookmarkEnd w:id="54"/>
    <w:bookmarkStart w:id="57" w:name="arquitectura-de-datos-y-preservación"/>
    <w:p>
      <w:pPr>
        <w:pStyle w:val="Heading3"/>
      </w:pPr>
      <w:r>
        <w:t xml:space="preserve">3.1.3 3. Arquitectura de Datos y Preservación</w:t>
      </w:r>
    </w:p>
    <w:bookmarkStart w:id="56" w:name="X2167fbb3a4db5a35156a5ab1f287fc81650a9c9"/>
    <w:p>
      <w:pPr>
        <w:pStyle w:val="Heading4"/>
      </w:pPr>
      <w:r>
        <w:t xml:space="preserve">3.1.3.1 📄 Zenodo Data Preservation Plan (Plan de Preservación a Largo Plazo)</w:t>
      </w:r>
    </w:p>
    <w:p>
      <w:pPr>
        <w:pStyle w:val="Compact"/>
        <w:numPr>
          <w:ilvl w:val="0"/>
          <w:numId w:val="1016"/>
        </w:numPr>
      </w:pPr>
      <w:r>
        <w:rPr>
          <w:b/>
          <w:bCs/>
        </w:rPr>
        <w:t xml:space="preserve">Organización:</w:t>
      </w:r>
      <w:r>
        <w:t xml:space="preserve"> </w:t>
      </w:r>
      <w:r>
        <w:t xml:space="preserve">CERN Data Centre / OpenAIRE</w:t>
      </w:r>
    </w:p>
    <w:p>
      <w:pPr>
        <w:pStyle w:val="Compact"/>
        <w:numPr>
          <w:ilvl w:val="0"/>
          <w:numId w:val="1016"/>
        </w:numPr>
      </w:pPr>
      <w:r>
        <w:rPr>
          <w:b/>
          <w:bCs/>
        </w:rPr>
        <w:t xml:space="preserve">Ámbito:</w:t>
      </w:r>
      <w:r>
        <w:t xml:space="preserve"> </w:t>
      </w:r>
      <w:r>
        <w:t xml:space="preserve">Infraestructura y resiliencia tecnológica.</w:t>
      </w:r>
    </w:p>
    <w:p>
      <w:pPr>
        <w:pStyle w:val="Compact"/>
        <w:numPr>
          <w:ilvl w:val="0"/>
          <w:numId w:val="1016"/>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6"/>
        </w:numPr>
      </w:pPr>
      <w:r>
        <w:rPr>
          <w:b/>
          <w:bCs/>
        </w:rPr>
        <w:t xml:space="preserve">Fuente/Enlace:</w:t>
      </w:r>
      <w:r>
        <w:t xml:space="preserve"> </w:t>
      </w:r>
      <w:hyperlink r:id="rId55">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6"/>
    <w:bookmarkEnd w:id="57"/>
    <w:bookmarkEnd w:id="58"/>
    <w:bookmarkEnd w:id="59"/>
    <w:bookmarkStart w:id="66" w:name="lecciones-aprendidad-de-zenodo"/>
    <w:p>
      <w:pPr>
        <w:pStyle w:val="Heading1"/>
      </w:pPr>
      <w:r>
        <w:t xml:space="preserve">4.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60" w:name="Xa6a8ff8539510f36c4fa646195cacaa258faeb1"/>
    <w:p>
      <w:pPr>
        <w:pStyle w:val="Heading3"/>
      </w:pPr>
      <w:r>
        <w:t xml:space="preserve">4.0.1 1. Inmutabilidad, Trazabilidad y el</w:t>
      </w:r>
      <w:r>
        <w:t xml:space="preserve"> </w:t>
      </w:r>
      <w:r>
        <w:t xml:space="preserve">“Falso Miedo”</w:t>
      </w:r>
      <w:r>
        <w:t xml:space="preserve"> </w:t>
      </w:r>
      <w:r>
        <w:t xml:space="preserve">al Plagio</w:t>
      </w:r>
    </w:p>
    <w:p>
      <w:pPr>
        <w:pStyle w:val="Compact"/>
        <w:numPr>
          <w:ilvl w:val="0"/>
          <w:numId w:val="1017"/>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17"/>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17"/>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60"/>
    <w:bookmarkStart w:id="61" w:name="X9e58660a33098b057eb289fe2e9431833795a6d"/>
    <w:p>
      <w:pPr>
        <w:pStyle w:val="Heading3"/>
      </w:pPr>
      <w:r>
        <w:t xml:space="preserve">4.0.2 2. Deslinde de Responsabilidad Legal y Curaduría Técnica</w:t>
      </w:r>
    </w:p>
    <w:p>
      <w:pPr>
        <w:pStyle w:val="Compact"/>
        <w:numPr>
          <w:ilvl w:val="0"/>
          <w:numId w:val="1018"/>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18"/>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18"/>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61"/>
    <w:bookmarkStart w:id="62" w:name="Xb6b9af8cd6ff7779318196b98522c429f6b3dfe"/>
    <w:p>
      <w:pPr>
        <w:pStyle w:val="Heading3"/>
      </w:pPr>
      <w:r>
        <w:t xml:space="preserve">4.0.3 3. El Destino de los Metadatos en el Acceso Cerrado/Embargado</w:t>
      </w:r>
    </w:p>
    <w:p>
      <w:pPr>
        <w:pStyle w:val="Compact"/>
        <w:numPr>
          <w:ilvl w:val="0"/>
          <w:numId w:val="1019"/>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19"/>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19"/>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62"/>
    <w:bookmarkStart w:id="63" w:name="X759b13b4a7d9a58cd20c23a6a4871ef2023ce26"/>
    <w:p>
      <w:pPr>
        <w:pStyle w:val="Heading3"/>
      </w:pPr>
      <w:r>
        <w:t xml:space="preserve">4.0.4 4. Sostenibilidad Financiera y el</w:t>
      </w:r>
      <w:r>
        <w:t xml:space="preserve"> </w:t>
      </w:r>
      <w:r>
        <w:t xml:space="preserve">“Ciclo de Vida”</w:t>
      </w:r>
      <w:r>
        <w:t xml:space="preserve"> </w:t>
      </w:r>
      <w:r>
        <w:t xml:space="preserve">de la Infraestructura</w:t>
      </w:r>
    </w:p>
    <w:p>
      <w:pPr>
        <w:pStyle w:val="Compact"/>
        <w:numPr>
          <w:ilvl w:val="0"/>
          <w:numId w:val="1020"/>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0"/>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63"/>
    <w:bookmarkStart w:id="65" w:name="Xdc44c27b2e5685044753f9c3927c7b893e0f0c6"/>
    <w:p>
      <w:pPr>
        <w:pStyle w:val="Heading2"/>
      </w:pPr>
      <w:r>
        <w:t xml:space="preserve">4.1 Sugerencias concretas para Enriquecer la propuesta</w:t>
      </w:r>
    </w:p>
    <w:p>
      <w:pPr>
        <w:pStyle w:val="Compact"/>
        <w:numPr>
          <w:ilvl w:val="0"/>
          <w:numId w:val="1021"/>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1"/>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64" w:name="X8e267c338efdbe71f92923fe4a7670fda865a75"/>
    <w:p>
      <w:pPr>
        <w:pStyle w:val="Heading3"/>
      </w:pPr>
      <w:r>
        <w:t xml:space="preserve">4.1.1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64"/>
    <w:bookmarkEnd w:id="65"/>
    <w:bookmarkEnd w:id="66"/>
    <w:bookmarkStart w:id="70" w:name="Xc2f61c3795a40a48121e131054998b241904a0c"/>
    <w:p>
      <w:pPr>
        <w:pStyle w:val="Heading1"/>
      </w:pPr>
      <w:r>
        <w:t xml:space="preserve">5. Prepublicación de Datos y Artículos de Datos (</w:t>
      </w:r>
      <w:r>
        <w:rPr>
          <w:i/>
          <w:iCs/>
        </w:rPr>
        <w:t xml:space="preserve">Data Papers</w:t>
      </w:r>
      <w:r>
        <w:t xml:space="preserve">)</w:t>
      </w:r>
    </w:p>
    <w:bookmarkStart w:id="68" w:name="X8a93c840a2af8e9e3adc91e42f49f5217ba3dba"/>
    <w:p>
      <w:pPr>
        <w:pStyle w:val="Heading3"/>
      </w:pPr>
      <w:r>
        <w:t xml:space="preserve">5.0.1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7" w:name="Xb5d00a5f3d726f6a7d8a3f6d5d595aeaf953455"/>
    <w:p>
      <w:pPr>
        <w:pStyle w:val="Heading5"/>
      </w:pPr>
      <w:r>
        <w:t xml:space="preserve">5.0.1.0.1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2"/>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2"/>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2"/>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7"/>
    <w:bookmarkEnd w:id="68"/>
    <w:bookmarkStart w:id="69" w:name="X6ffc653eb435ac1ed8481dd44f01a9004658731"/>
    <w:p>
      <w:pPr>
        <w:pStyle w:val="Heading3"/>
      </w:pPr>
      <w:r>
        <w:t xml:space="preserve">5.0.2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69"/>
    <w:bookmarkEnd w:id="70"/>
    <w:bookmarkStart w:id="76" w:name="principios-fair"/>
    <w:p>
      <w:pPr>
        <w:pStyle w:val="Heading1"/>
      </w:pPr>
      <w:r>
        <w:t xml:space="preserve">6. Principios FAIR</w:t>
      </w:r>
    </w:p>
    <w:bookmarkStart w:id="71" w:name="los-principios-fair-como-infraestructura"/>
    <w:p>
      <w:pPr>
        <w:pStyle w:val="Heading3"/>
      </w:pPr>
      <w:r>
        <w:t xml:space="preserve">6.0.1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71"/>
    <w:bookmarkStart w:id="75" w:name="sugerencias-para-los-lineamientos-inecol"/>
    <w:p>
      <w:pPr>
        <w:pStyle w:val="Heading3"/>
      </w:pPr>
      <w:r>
        <w:t xml:space="preserve">6.0.2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3"/>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3"/>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3"/>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72" w:name="X69ace5540f715b31ebbab0704a2e7e86c833f08"/>
    <w:p>
      <w:pPr>
        <w:pStyle w:val="Heading4"/>
      </w:pPr>
      <w:r>
        <w:t xml:space="preserve">6.0.2.1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4"/>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5"/>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72"/>
    <w:bookmarkStart w:id="73" w:name="X414019ba7cbbacc8cf0105242c85ea8c26429b1"/>
    <w:p>
      <w:pPr>
        <w:pStyle w:val="Heading4"/>
      </w:pPr>
      <w:r>
        <w:t xml:space="preserve">6.0.2.2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6"/>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27"/>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28"/>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29"/>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73"/>
    <w:bookmarkStart w:id="74" w:name="X441f9b4ee6a8f44196b69cd0c57fd4dccb11afd"/>
    <w:p>
      <w:pPr>
        <w:pStyle w:val="Heading4"/>
      </w:pPr>
      <w:r>
        <w:t xml:space="preserve">6.0.2.3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74"/>
    <w:bookmarkEnd w:id="75"/>
    <w:bookmarkEnd w:id="76"/>
    <w:bookmarkStart w:id="114" w:name="references"/>
    <w:p>
      <w:pPr>
        <w:pStyle w:val="Heading1"/>
      </w:pPr>
      <w:r>
        <w:t xml:space="preserve">References</w:t>
      </w:r>
    </w:p>
    <w:bookmarkStart w:id="113" w:name="refs"/>
    <w:bookmarkStart w:id="78"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77">
        <w:r>
          <w:rPr>
            <w:rStyle w:val="Hyperlink"/>
          </w:rPr>
          <w:t xml:space="preserve">[https://repository.cern/records/xgq3r-6yc67/](https://repository.cern/records/xgq3r-6yc67/)</w:t>
        </w:r>
      </w:hyperlink>
      <w:r>
        <w:t xml:space="preserve">.</w:t>
      </w:r>
    </w:p>
    <w:bookmarkEnd w:id="78"/>
    <w:bookmarkStart w:id="80"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79">
        <w:r>
          <w:rPr>
            <w:rStyle w:val="Hyperlink"/>
          </w:rPr>
          <w:t xml:space="preserve">https://doi.org/10.1371/journal.pone.0311493</w:t>
        </w:r>
      </w:hyperlink>
      <w:r>
        <w:t xml:space="preserve">.</w:t>
      </w:r>
    </w:p>
    <w:bookmarkEnd w:id="80"/>
    <w:bookmarkStart w:id="82"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81">
        <w:r>
          <w:rPr>
            <w:rStyle w:val="Hyperlink"/>
          </w:rPr>
          <w:t xml:space="preserve">https://doi.org/10.1371/journal.pone.0230416</w:t>
        </w:r>
      </w:hyperlink>
      <w:r>
        <w:t xml:space="preserve">.</w:t>
      </w:r>
    </w:p>
    <w:bookmarkEnd w:id="82"/>
    <w:bookmarkStart w:id="84"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83">
        <w:r>
          <w:rPr>
            <w:rStyle w:val="Hyperlink"/>
          </w:rPr>
          <w:t xml:space="preserve">https://doi.org/10.1038/sdata.2018.259</w:t>
        </w:r>
      </w:hyperlink>
      <w:r>
        <w:t xml:space="preserve">.</w:t>
      </w:r>
    </w:p>
    <w:bookmarkEnd w:id="84"/>
    <w:bookmarkStart w:id="86"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85">
        <w:r>
          <w:rPr>
            <w:rStyle w:val="Hyperlink"/>
          </w:rPr>
          <w:t xml:space="preserve">https://doi.org/10.1080/17538947.2022.2038596</w:t>
        </w:r>
      </w:hyperlink>
      <w:r>
        <w:t xml:space="preserve">.</w:t>
      </w:r>
    </w:p>
    <w:bookmarkEnd w:id="86"/>
    <w:bookmarkStart w:id="88"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87">
        <w:r>
          <w:rPr>
            <w:rStyle w:val="Hyperlink"/>
          </w:rPr>
          <w:t xml:space="preserve">https://doi.org/10.1098/rspb.2022.1113</w:t>
        </w:r>
      </w:hyperlink>
      <w:r>
        <w:t xml:space="preserve">.</w:t>
      </w:r>
    </w:p>
    <w:bookmarkEnd w:id="88"/>
    <w:bookmarkStart w:id="90"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89">
        <w:r>
          <w:rPr>
            <w:rStyle w:val="Hyperlink"/>
          </w:rPr>
          <w:t xml:space="preserve">https://www.inegi.org.mx/</w:t>
        </w:r>
      </w:hyperlink>
      <w:r>
        <w:t xml:space="preserve">.</w:t>
      </w:r>
    </w:p>
    <w:bookmarkEnd w:id="90"/>
    <w:bookmarkStart w:id="92"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91">
        <w:r>
          <w:rPr>
            <w:rStyle w:val="Hyperlink"/>
          </w:rPr>
          <w:t xml:space="preserve">https://doi.org/10.3897/biss.8.133089</w:t>
        </w:r>
      </w:hyperlink>
      <w:r>
        <w:t xml:space="preserve">.</w:t>
      </w:r>
    </w:p>
    <w:bookmarkEnd w:id="92"/>
    <w:bookmarkStart w:id="94"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93">
        <w:r>
          <w:rPr>
            <w:rStyle w:val="Hyperlink"/>
          </w:rPr>
          <w:t xml:space="preserve">https://doi.org/10.1016/j.ecoinf.2026.103712</w:t>
        </w:r>
      </w:hyperlink>
      <w:r>
        <w:t xml:space="preserve">.</w:t>
      </w:r>
    </w:p>
    <w:bookmarkEnd w:id="94"/>
    <w:bookmarkStart w:id="96"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95">
        <w:r>
          <w:rPr>
            <w:rStyle w:val="Hyperlink"/>
          </w:rPr>
          <w:t xml:space="preserve">https://doi.org/10.1016/j.tree.2023.10.005</w:t>
        </w:r>
      </w:hyperlink>
      <w:r>
        <w:t xml:space="preserve">.</w:t>
      </w:r>
    </w:p>
    <w:bookmarkEnd w:id="96"/>
    <w:bookmarkStart w:id="98"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97">
        <w:r>
          <w:rPr>
            <w:rStyle w:val="Hyperlink"/>
          </w:rPr>
          <w:t xml:space="preserve">https://doi.org/10.1016/j.envsci.2024.103980</w:t>
        </w:r>
      </w:hyperlink>
      <w:r>
        <w:t xml:space="preserve">.</w:t>
      </w:r>
    </w:p>
    <w:bookmarkEnd w:id="98"/>
    <w:bookmarkStart w:id="100"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99">
        <w:r>
          <w:rPr>
            <w:rStyle w:val="Hyperlink"/>
          </w:rPr>
          <w:t xml:space="preserve">https://doi.org/10.3897/rio.3.e12265</w:t>
        </w:r>
      </w:hyperlink>
      <w:r>
        <w:t xml:space="preserve">.</w:t>
      </w:r>
    </w:p>
    <w:bookmarkEnd w:id="100"/>
    <w:bookmarkStart w:id="102"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101">
        <w:r>
          <w:rPr>
            <w:rStyle w:val="Hyperlink"/>
          </w:rPr>
          <w:t xml:space="preserve">https://doi.org/10.3897/rio.10.e126588</w:t>
        </w:r>
      </w:hyperlink>
      <w:r>
        <w:t xml:space="preserve">.</w:t>
      </w:r>
    </w:p>
    <w:bookmarkEnd w:id="102"/>
    <w:bookmarkStart w:id="104"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103">
        <w:r>
          <w:rPr>
            <w:rStyle w:val="Hyperlink"/>
          </w:rPr>
          <w:t xml:space="preserve">https://doi.org/10.1007/s10531-022-02410-y</w:t>
        </w:r>
      </w:hyperlink>
      <w:r>
        <w:t xml:space="preserve">.</w:t>
      </w:r>
    </w:p>
    <w:bookmarkEnd w:id="104"/>
    <w:bookmarkStart w:id="106"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05">
        <w:r>
          <w:rPr>
            <w:rStyle w:val="Hyperlink"/>
          </w:rPr>
          <w:t xml:space="preserve">https://doi.org/10.1007/s11192-020-03437-1</w:t>
        </w:r>
      </w:hyperlink>
      <w:r>
        <w:t xml:space="preserve">.</w:t>
      </w:r>
    </w:p>
    <w:bookmarkEnd w:id="106"/>
    <w:bookmarkStart w:id="108"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07">
        <w:r>
          <w:rPr>
            <w:rStyle w:val="Hyperlink"/>
          </w:rPr>
          <w:t xml:space="preserve">https://doi.org/10.1038/sdata.2016.18</w:t>
        </w:r>
      </w:hyperlink>
      <w:r>
        <w:t xml:space="preserve">.</w:t>
      </w:r>
    </w:p>
    <w:bookmarkEnd w:id="108"/>
    <w:bookmarkStart w:id="110"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09">
        <w:r>
          <w:rPr>
            <w:rStyle w:val="Hyperlink"/>
          </w:rPr>
          <w:t xml:space="preserve">https://doi.org/10.1002/fee.2618</w:t>
        </w:r>
      </w:hyperlink>
      <w:r>
        <w:t xml:space="preserve">.</w:t>
      </w:r>
    </w:p>
    <w:bookmarkEnd w:id="110"/>
    <w:bookmarkStart w:id="112"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11">
        <w:r>
          <w:rPr>
            <w:rStyle w:val="Hyperlink"/>
          </w:rPr>
          <w:t xml:space="preserve">[Https://about.zenodo.org/policies/](https://about.zenodo.org/policies/)</w:t>
        </w:r>
      </w:hyperlink>
      <w:r>
        <w:t xml:space="preserve">; CERN / OpenAIRE.</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1" Target="[https://about.zenodo.org/policies/](https://about.zenodo.org/policies/)" TargetMode="External" /><Relationship Type="http://schemas.openxmlformats.org/officeDocument/2006/relationships/hyperlink" Id="rId77" Target="[https://repository.cern/records/xgq3r-6yc67/](https://repository.cern/records/xgq3r-6yc67/)" TargetMode="External" /><Relationship Type="http://schemas.openxmlformats.org/officeDocument/2006/relationships/hyperlink" Id="rId55" Target="https://about.zenodo.org/infrastructure/" TargetMode="External" /><Relationship Type="http://schemas.openxmlformats.org/officeDocument/2006/relationships/hyperlink" Id="rId45" Target="https://about.zenodo.org/policies/" TargetMode="External" /><Relationship Type="http://schemas.openxmlformats.org/officeDocument/2006/relationships/hyperlink" Id="rId52" Target="https://about.zenodo.org/privacy-policy/" TargetMode="External" /><Relationship Type="http://schemas.openxmlformats.org/officeDocument/2006/relationships/hyperlink" Id="rId50" Target="https://about.zenodo.org/terms/" TargetMode="External" /><Relationship Type="http://schemas.openxmlformats.org/officeDocument/2006/relationships/hyperlink" Id="rId109" Target="https://doi.org/10.1002/fee.2618" TargetMode="External" /><Relationship Type="http://schemas.openxmlformats.org/officeDocument/2006/relationships/hyperlink" Id="rId103" Target="https://doi.org/10.1007/s10531-022-02410-y" TargetMode="External" /><Relationship Type="http://schemas.openxmlformats.org/officeDocument/2006/relationships/hyperlink" Id="rId105" Target="https://doi.org/10.1007/s11192-020-03437-1" TargetMode="External" /><Relationship Type="http://schemas.openxmlformats.org/officeDocument/2006/relationships/hyperlink" Id="rId93" Target="https://doi.org/10.1016/j.ecoinf.2026.103712" TargetMode="External" /><Relationship Type="http://schemas.openxmlformats.org/officeDocument/2006/relationships/hyperlink" Id="rId97" Target="https://doi.org/10.1016/j.envsci.2024.103980" TargetMode="External" /><Relationship Type="http://schemas.openxmlformats.org/officeDocument/2006/relationships/hyperlink" Id="rId95" Target="https://doi.org/10.1016/j.tree.2023.10.005" TargetMode="External" /><Relationship Type="http://schemas.openxmlformats.org/officeDocument/2006/relationships/hyperlink" Id="rId107" Target="https://doi.org/10.1038/sdata.2016.18" TargetMode="External" /><Relationship Type="http://schemas.openxmlformats.org/officeDocument/2006/relationships/hyperlink" Id="rId83" Target="https://doi.org/10.1038/sdata.2018.259" TargetMode="External" /><Relationship Type="http://schemas.openxmlformats.org/officeDocument/2006/relationships/hyperlink" Id="rId85" Target="https://doi.org/10.1080/17538947.2022.2038596" TargetMode="External" /><Relationship Type="http://schemas.openxmlformats.org/officeDocument/2006/relationships/hyperlink" Id="rId87" Target="https://doi.org/10.1098/rspb.2022.1113" TargetMode="External" /><Relationship Type="http://schemas.openxmlformats.org/officeDocument/2006/relationships/hyperlink" Id="rId81" Target="https://doi.org/10.1371/journal.pone.0230416" TargetMode="External" /><Relationship Type="http://schemas.openxmlformats.org/officeDocument/2006/relationships/hyperlink" Id="rId79" Target="https://doi.org/10.1371/journal.pone.0311493" TargetMode="External" /><Relationship Type="http://schemas.openxmlformats.org/officeDocument/2006/relationships/hyperlink" Id="rId91" Target="https://doi.org/10.3897/biss.8.133089" TargetMode="External" /><Relationship Type="http://schemas.openxmlformats.org/officeDocument/2006/relationships/hyperlink" Id="rId101" Target="https://doi.org/10.3897/rio.10.e126588" TargetMode="External" /><Relationship Type="http://schemas.openxmlformats.org/officeDocument/2006/relationships/hyperlink" Id="rId99"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7" Target="https://repository.cern/records/xgq3r-6yc67/preview/Operational%20Circular%20No.11%20Rev.1.pdf" TargetMode="External" /><Relationship Type="http://schemas.openxmlformats.org/officeDocument/2006/relationships/hyperlink" Id="rId89"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11" Target="[https://about.zenodo.org/policies/](https://about.zenodo.org/policies/)" TargetMode="External" /><Relationship Type="http://schemas.openxmlformats.org/officeDocument/2006/relationships/hyperlink" Id="rId77" Target="[https://repository.cern/records/xgq3r-6yc67/](https://repository.cern/records/xgq3r-6yc67/)" TargetMode="External" /><Relationship Type="http://schemas.openxmlformats.org/officeDocument/2006/relationships/hyperlink" Id="rId55" Target="https://about.zenodo.org/infrastructure/" TargetMode="External" /><Relationship Type="http://schemas.openxmlformats.org/officeDocument/2006/relationships/hyperlink" Id="rId45" Target="https://about.zenodo.org/policies/" TargetMode="External" /><Relationship Type="http://schemas.openxmlformats.org/officeDocument/2006/relationships/hyperlink" Id="rId52" Target="https://about.zenodo.org/privacy-policy/" TargetMode="External" /><Relationship Type="http://schemas.openxmlformats.org/officeDocument/2006/relationships/hyperlink" Id="rId50" Target="https://about.zenodo.org/terms/" TargetMode="External" /><Relationship Type="http://schemas.openxmlformats.org/officeDocument/2006/relationships/hyperlink" Id="rId109" Target="https://doi.org/10.1002/fee.2618" TargetMode="External" /><Relationship Type="http://schemas.openxmlformats.org/officeDocument/2006/relationships/hyperlink" Id="rId103" Target="https://doi.org/10.1007/s10531-022-02410-y" TargetMode="External" /><Relationship Type="http://schemas.openxmlformats.org/officeDocument/2006/relationships/hyperlink" Id="rId105" Target="https://doi.org/10.1007/s11192-020-03437-1" TargetMode="External" /><Relationship Type="http://schemas.openxmlformats.org/officeDocument/2006/relationships/hyperlink" Id="rId93" Target="https://doi.org/10.1016/j.ecoinf.2026.103712" TargetMode="External" /><Relationship Type="http://schemas.openxmlformats.org/officeDocument/2006/relationships/hyperlink" Id="rId97" Target="https://doi.org/10.1016/j.envsci.2024.103980" TargetMode="External" /><Relationship Type="http://schemas.openxmlformats.org/officeDocument/2006/relationships/hyperlink" Id="rId95" Target="https://doi.org/10.1016/j.tree.2023.10.005" TargetMode="External" /><Relationship Type="http://schemas.openxmlformats.org/officeDocument/2006/relationships/hyperlink" Id="rId107" Target="https://doi.org/10.1038/sdata.2016.18" TargetMode="External" /><Relationship Type="http://schemas.openxmlformats.org/officeDocument/2006/relationships/hyperlink" Id="rId83" Target="https://doi.org/10.1038/sdata.2018.259" TargetMode="External" /><Relationship Type="http://schemas.openxmlformats.org/officeDocument/2006/relationships/hyperlink" Id="rId85" Target="https://doi.org/10.1080/17538947.2022.2038596" TargetMode="External" /><Relationship Type="http://schemas.openxmlformats.org/officeDocument/2006/relationships/hyperlink" Id="rId87" Target="https://doi.org/10.1098/rspb.2022.1113" TargetMode="External" /><Relationship Type="http://schemas.openxmlformats.org/officeDocument/2006/relationships/hyperlink" Id="rId81" Target="https://doi.org/10.1371/journal.pone.0230416" TargetMode="External" /><Relationship Type="http://schemas.openxmlformats.org/officeDocument/2006/relationships/hyperlink" Id="rId79" Target="https://doi.org/10.1371/journal.pone.0311493" TargetMode="External" /><Relationship Type="http://schemas.openxmlformats.org/officeDocument/2006/relationships/hyperlink" Id="rId91" Target="https://doi.org/10.3897/biss.8.133089" TargetMode="External" /><Relationship Type="http://schemas.openxmlformats.org/officeDocument/2006/relationships/hyperlink" Id="rId101" Target="https://doi.org/10.3897/rio.10.e126588" TargetMode="External" /><Relationship Type="http://schemas.openxmlformats.org/officeDocument/2006/relationships/hyperlink" Id="rId99"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7" Target="https://repository.cern/records/xgq3r-6yc67/preview/Operational%20Circular%20No.11%20Rev.1.pdf" TargetMode="External" /><Relationship Type="http://schemas.openxmlformats.org/officeDocument/2006/relationships/hyperlink" Id="rId89"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2026-07-02T03:50:47Z</dcterms:created>
  <dcterms:modified xsi:type="dcterms:W3CDTF">2026-07-02T03:50:47Z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