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5"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w:t>
      </w:r>
      <w:r>
        <w:rPr>
          <w:b/>
          <w:bCs/>
        </w:rPr>
        <w:t xml:space="preserve">SECIHTI</w:t>
      </w:r>
      <w:r>
        <w:t xml:space="preserve">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BodyText"/>
      </w:pPr>
      <w:r>
        <w:t xml:space="preserve">&lt;&lt;&lt;&lt;&lt;&lt;&lt; HEAD</w:t>
      </w:r>
      <w:r>
        <w:t xml:space="preserve"> </w:t>
      </w:r>
      <w:r>
        <w:t xml:space="preserve">a.</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b.</w:t>
      </w:r>
      <w:r>
        <w:t xml:space="preserve"> </w:t>
      </w: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c.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 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w:t>
      </w:r>
      <w:r>
        <w:t xml:space="preserve"> </w:t>
      </w:r>
      <w:r>
        <w:rPr>
          <w:b/>
          <w:bCs/>
        </w:rPr>
        <w:t xml:space="preserve">GenBank</w:t>
      </w:r>
      <w:r>
        <w:t xml:space="preserve"> </w:t>
      </w:r>
      <w:r>
        <w:t xml:space="preserve">(NCBI) y sistemas federados similares bajo el consorcio INSDC (International Nucleotide Sequence Database Collaboration).</w:t>
      </w:r>
    </w:p>
    <w:p>
      <w:pPr>
        <w:pStyle w:val="BodyText"/>
      </w:pPr>
      <w:r>
        <w:t xml:space="preserve">Lejos de representar una duplicidad de esfuerzos o una carga administrativa adicional para el personal investigador, la arquitectura del Servidor de Datos Abiertos del INECOL está diseñada para operar bajo una lógica de</w:t>
      </w:r>
      <w:r>
        <w:t xml:space="preserve"> </w:t>
      </w:r>
      <w:r>
        <w:rPr>
          <w:b/>
          <w:bCs/>
        </w:rPr>
        <w:t xml:space="preserve">acción sinérgica y complementariedad tecnológica</w:t>
      </w:r>
      <w:r>
        <w:t xml:space="preserve">.</w:t>
      </w:r>
    </w:p>
    <w:p>
      <w:pPr>
        <w:pStyle w:val="BodyText"/>
      </w:pPr>
      <w:r>
        <w:t xml:space="preserve">Bajo este modelo sinérgico, la política institucional establece que:</w:t>
      </w:r>
      <w:r>
        <w:t xml:space="preserve"> </w:t>
      </w:r>
      <w:r>
        <w:t xml:space="preserve">1.</w:t>
      </w:r>
      <w:r>
        <w:t xml:space="preserve"> </w:t>
      </w:r>
      <w:r>
        <w:rPr>
          <w:b/>
          <w:bCs/>
        </w:rPr>
        <w:t xml:space="preserve">Validación del Flujo de Trabajo Existente:</w:t>
      </w:r>
      <w:r>
        <w:t xml:space="preserve"> </w:t>
      </w:r>
      <w:r>
        <w:t xml:space="preserve">El INECOL reconoce a GenBank como la infraestructura primaria idónea para el alojamiento de datos genómicos crudos y ensamblajes moleculares debido a su nivel de especialización ultra-esencial.</w:t>
      </w:r>
      <w:r>
        <w:t xml:space="preserve"> </w:t>
      </w:r>
      <w:r>
        <w:t xml:space="preserve">2.</w:t>
      </w:r>
      <w:r>
        <w:t xml:space="preserve"> </w:t>
      </w:r>
      <w:r>
        <w:rPr>
          <w:b/>
          <w:bCs/>
        </w:rPr>
        <w:t xml:space="preserve">Cosecha de Identificadores y Enlace Institucional:</w:t>
      </w:r>
      <w:r>
        <w:t xml:space="preserve"> </w:t>
      </w:r>
      <w:r>
        <w:t xml:space="preserve">El repositorio del INECOL funcionará como un agregador institucional. En lugar de exigir la resubida física de archivos FASTQ o FASTA masivos al servidor local, el investigador registrará en el Servidor del INECOL el</w:t>
      </w:r>
      <w:r>
        <w:t xml:space="preserve"> </w:t>
      </w:r>
      <w:r>
        <w:rPr>
          <w:b/>
          <w:bCs/>
        </w:rPr>
        <w:t xml:space="preserve">número de accesión (Accession Number) o el DOI provisto por GenBank</w:t>
      </w:r>
      <w:r>
        <w:t xml:space="preserve">, acompañado de los metadatos contextuales del proyecto, la muestra biológica y la financiación de la</w:t>
      </w:r>
      <w:r>
        <w:t xml:space="preserve"> </w:t>
      </w:r>
      <w:r>
        <w:rPr>
          <w:b/>
          <w:bCs/>
        </w:rPr>
        <w:t xml:space="preserve">SECIHTI</w:t>
      </w:r>
      <w:r>
        <w:t xml:space="preserve">.</w:t>
      </w:r>
      <w:r>
        <w:t xml:space="preserve"> </w:t>
      </w:r>
      <w:r>
        <w:t xml:space="preserve">3.</w:t>
      </w:r>
      <w:r>
        <w:t xml:space="preserve"> </w:t>
      </w:r>
      <w:r>
        <w:rPr>
          <w:b/>
          <w:bCs/>
        </w:rPr>
        <w:t xml:space="preserve">Capitalización del Patrimonio Científico:</w:t>
      </w:r>
      <w:r>
        <w:t xml:space="preserve"> </w:t>
      </w:r>
      <w:r>
        <w:t xml:space="preserve">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p>
      <w:pPr>
        <w:pStyle w:val="BodyText"/>
      </w:pPr>
      <w:r>
        <w:t xml:space="preserve">=======</w:t>
      </w:r>
      <w:r>
        <w:t xml:space="preserve"> </w:t>
      </w:r>
      <w:r>
        <w:t xml:space="preserve">1.</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2.</w:t>
      </w:r>
      <w:r>
        <w:t xml:space="preserve"> </w:t>
      </w: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3.</w:t>
      </w:r>
      <w:r>
        <w:t xml:space="preserve">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r>
        <w:t xml:space="preserve"> </w:t>
      </w:r>
      <w:r>
        <w:t xml:space="preserve">&gt;&gt;&gt;&gt;&gt;&gt;&gt; 25df7cd1400042bf256628fb10435f48936d3b2c</w:t>
      </w:r>
    </w:p>
    <w:bookmarkEnd w:id="28"/>
    <w:bookmarkStart w:id="29" w:name="X9566383fd1728b90fab201cc0663061e3513878"/>
    <w:p>
      <w:pPr>
        <w:pStyle w:val="Heading3"/>
      </w:pPr>
      <w:r>
        <w:t xml:space="preserve">1.0.9 7. Infraestructura Existente y Resultados Tangibles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hyperlink r:id="rId26">
        <w:r>
          <w:rPr>
            <w:rStyle w:val="Hyperlink"/>
            <w:b/>
            <w:bCs/>
          </w:rPr>
          <w:t xml:space="preserve">eFloraMex</w:t>
        </w:r>
        <w:r>
          <w:rPr>
            <w:rStyle w:val="Hyperlink"/>
          </w:rPr>
          <w:t xml:space="preserve"> </w:t>
        </w:r>
        <w:r>
          <w:rPr>
            <w:rStyle w:val="Hyperlink"/>
          </w:rPr>
          <w:t xml:space="preserve">(Flora de México en Línea)</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 Portal de Colecciones Biológicas del INECOL,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w:t>
      </w:r>
      <w:r>
        <w:t xml:space="preserve"> </w:t>
      </w:r>
      <w:r>
        <w:rPr>
          <w:b/>
          <w:bCs/>
        </w:rPr>
        <w:t xml:space="preserve">eFloraMex</w:t>
      </w:r>
      <w:r>
        <w:t xml:space="preserve"> </w:t>
      </w:r>
      <w:r>
        <w:t xml:space="preserve">o al Portal de Colecciones; su objetivo es escalar, federar y dotar de gobernanza jurídica y semántica unificada a toda la producción científica del Instituto.</w:t>
      </w:r>
    </w:p>
    <w:p>
      <w:pPr>
        <w:pStyle w:val="BodyText"/>
      </w:pPr>
      <w:r>
        <w:t xml:space="preserve">El nuevo repositorio actuará como la infraestructura base que: 1) Amplíe el Espectro del Dato: 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 2) Garantice la Preservación e Inmutabilidad: Proveerá DOIs institucionales centralizados que blindarán la trazabilidad y la propiedad intelectual de los investigadores del INECOL en redes globales de Ciencia Abierta. 3) Optimice la Interoperabilidad Automática: Permitirá que los datos de colecciones existentes dialoguen automáticamente (v.gr., mediante protocolos OAI-PMH) con el Repositorio Nacional de la</w:t>
      </w:r>
      <w:r>
        <w:rPr>
          <w:b/>
          <w:bCs/>
        </w:rPr>
        <w:t xml:space="preserve">SECIHTI</w:t>
      </w:r>
      <w:r>
        <w:t xml:space="preserve">y el GBIF, consolidando los éxitos previos del Instituto en una sola política institucional de datos FAIR.</w:t>
      </w:r>
    </w:p>
    <w:bookmarkEnd w:id="29"/>
    <w:bookmarkStart w:id="30" w:name="Xaec974ce585493a0dc1a6fffc636c7c4248824e"/>
    <w:p>
      <w:pPr>
        <w:pStyle w:val="Heading3"/>
      </w:pPr>
      <w:r>
        <w:t xml:space="preserve">1.0.10 8. Sinergia Genómica Global: El Modelo GenBank /</w:t>
      </w:r>
      <w:r>
        <w:t xml:space="preserve"> </w:t>
      </w:r>
      <w:r>
        <w:rPr>
          <w:b/>
          <w:bCs/>
        </w:rPr>
        <w:t xml:space="preserve">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 GenBank (NCBI) y sistemas federados similares bajo el consorcio</w:t>
      </w:r>
      <w:r>
        <w:t xml:space="preserve"> </w:t>
      </w:r>
      <w:r>
        <w:rPr>
          <w:b/>
          <w:bCs/>
        </w:rPr>
        <w:t xml:space="preserve">INSDC</w:t>
      </w:r>
      <w:r>
        <w:t xml:space="preserve"> </w:t>
      </w:r>
      <w:r>
        <w:t xml:space="preserve">(International Nucleotide Sequence Database Collaboration).</w:t>
      </w:r>
      <w:r>
        <w:t xml:space="preserve"> </w:t>
      </w:r>
      <w:r>
        <w:t xml:space="preserve">Lejos de representar una duplicidad de esfuerzos o una carga administrativa adicional para el personal investigador, la arquitectura del Servidor de Datos Abiertos del INECOL está diseñada para operar bajo una lógica de acción sinérgica y complementariedad tecnológica.</w:t>
      </w:r>
      <w:r>
        <w:t xml:space="preserve"> </w:t>
      </w:r>
      <w:r>
        <w:t xml:space="preserve">Bajo este modelo sinérgico, la política institucional establece que: 1. Validación del Flujo de Trabajo Existente: El INECOL reconoce a GenBank como la infraestructura primaria idónea para el alojamiento de datos genómicos crudos y ensamblajes moleculares debido a su nivel de especialización ultra-esencial. 2. Cosecha de Identificadores y Enlace Institucional: El repositorio del INECOL funcionará como un agregador institucional. En lugar de exigir la resubida física de archivos FASTQ o FASTA masivos al servidor local, el investigador registrará en el Servidor del INECOL el número de accesión (Accession Number) o el DOI provisto por GenBank, acompañado de los metadatos contextuales del proyecto, la muestra biológica y la financiación de la SECIHTI. 3. Capitalización del Patrimonio Científico: 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30"/>
    <w:bookmarkStart w:id="33" w:name="peligros-en-el-horizonte"/>
    <w:p>
      <w:pPr>
        <w:pStyle w:val="Heading3"/>
      </w:pPr>
      <w:r>
        <w:t xml:space="preserve">1.0.11 9. Peligros en el horizonte</w:t>
      </w:r>
    </w:p>
    <w:bookmarkStart w:id="31" w:name="X0f4e37578414bd26896a6af852ce96df549c66e"/>
    <w:p>
      <w:pPr>
        <w:pStyle w:val="Heading4"/>
      </w:pPr>
      <w:r>
        <w:t xml:space="preserve">1.0.11.1 El Fenómeno Depredador: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31"/>
    <w:bookmarkStart w:id="32" w:name="X6826f917001786b06be53719d42dc6476bb0d84"/>
    <w:p>
      <w:pPr>
        <w:pStyle w:val="Heading4"/>
      </w:pPr>
      <w:r>
        <w:t xml:space="preserve">1.0.11.2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32"/>
    <w:bookmarkEnd w:id="33"/>
    <w:bookmarkStart w:id="34" w:name="X82169622ff85fa1068202aeda77feb0b6070df7"/>
    <w:p>
      <w:pPr>
        <w:pStyle w:val="Heading3"/>
      </w:pPr>
      <w:r>
        <w:t xml:space="preserve">1.0.12 Conclusión Estratégica: El Enfoque Híbrido</w:t>
      </w:r>
    </w:p>
    <w:p>
      <w:pPr>
        <w:pStyle w:val="FirstParagraph"/>
      </w:pPr>
      <w:r>
        <w:t xml:space="preserve">&lt;&lt;&lt;&lt;&lt;&lt;&lt; HEAD</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r>
        <w:t xml:space="preserve"> </w:t>
      </w:r>
      <w:r>
        <w:t xml:space="preserve">=======</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 comunidad científica.</w:t>
      </w:r>
      <w:r>
        <w:t xml:space="preserve"> </w:t>
      </w:r>
      <w:r>
        <w:t xml:space="preserve">&gt;&gt;&gt;&gt;&gt;&gt;&gt; 25df7cd1400042bf256628fb10435f48936d3b2c</w:t>
      </w:r>
    </w:p>
    <w:bookmarkEnd w:id="34"/>
    <w:bookmarkEnd w:id="35"/>
    <w:bookmarkStart w:id="36" w:name="X77a0b78abc41d9ba341e7bcec0ef05fea936bfc"/>
    <w:p>
      <w:pPr>
        <w:pStyle w:val="Heading1"/>
      </w:pPr>
      <w:r>
        <w:t xml:space="preserve">2. Gobernanza de datos y adaptación al cambio climático</w:t>
      </w:r>
    </w:p>
    <w:p>
      <w:pPr>
        <w:pStyle w:val="FirstParagraph"/>
      </w:pPr>
      <w:r>
        <w:t xml:space="preserve">Dado que actualmente existe un interés urgente en la identificación y concepción de acciones de adaptación ante el cambio climático, nos preguntamos ¿Cuáles serán los vínculos entre la ciencia abierta, la teoría de los bienes comunes y la adaptación al cambio climático? La idea se relaciona también con el hecho de que la ciencia abierta suele justificarse principalmente por valores como la transparencia, la reproducibilidad y la reutilización de los datos. Dada la relevancia de la cuestión, vale la pena indagar cómo es que la accesibilidad a ciertos tipos de información —particularmente los datos ambientales de largo plazo—, se extienden criticamente a la</w:t>
      </w:r>
      <w:r>
        <w:t xml:space="preserve"> </w:t>
      </w:r>
      <w:r>
        <w:rPr>
          <w:b/>
          <w:bCs/>
        </w:rPr>
        <w:t xml:space="preserve">gobernanza de la infraestructura que hace posible producir esos datos</w:t>
      </w:r>
      <w:r>
        <w:t xml:space="preserve">.</w:t>
      </w:r>
    </w:p>
    <w:p>
      <w:pPr>
        <w:pStyle w:val="BodyText"/>
      </w:pPr>
      <w:r>
        <w:t xml:space="preserve">La situación guarda cierta analogía con los</w:t>
      </w:r>
      <w:r>
        <w:t xml:space="preserve"> </w:t>
      </w:r>
      <w:r>
        <w:rPr>
          <w:b/>
          <w:bCs/>
        </w:rPr>
        <w:t xml:space="preserve">bienes comunes</w:t>
      </w:r>
      <w:r>
        <w:t xml:space="preserve"> </w:t>
      </w:r>
      <w:r>
        <w:t xml:space="preserve">que han dado pie a una prolífica discusión en ecología a partir de la publicación de</w:t>
      </w:r>
      <w:r>
        <w:t xml:space="preserve"> </w:t>
      </w:r>
      <w:r>
        <w:rPr>
          <w:i/>
          <w:iCs/>
        </w:rPr>
        <w:t xml:space="preserve">la trajedia de los comunes</w:t>
      </w:r>
      <w:r>
        <w:t xml:space="preserve"> </w:t>
      </w:r>
      <w:r>
        <w:t xml:space="preserve">(Hardin 1968)</w:t>
      </w:r>
      <w:r>
        <w:t xml:space="preserve">. La analogía que proponemos es que los datos ambientales pueden entenderse, en ciertos casos, a la noción de un</w:t>
      </w:r>
      <w:r>
        <w:t xml:space="preserve"> </w:t>
      </w:r>
      <w:r>
        <w:rPr>
          <w:b/>
          <w:bCs/>
        </w:rPr>
        <w:t xml:space="preserve">bien común</w:t>
      </w:r>
      <w:r>
        <w:t xml:space="preserve">, de manera similar a los ecosistemas. No porque tengan las mismas características económicas, sino porque ambos requieren instituciones y una moralidad que equilibren acceso, actitudes, incentivos, financiamiento y sostenibilidad.</w:t>
      </w:r>
    </w:p>
    <w:p>
      <w:pPr>
        <w:pStyle w:val="BodyText"/>
      </w:pPr>
      <w:r>
        <w:t xml:space="preserve">Esto lleva a contrastar tres grandes modelos de gobernanza:</w:t>
      </w:r>
    </w:p>
    <w:p>
      <w:pPr>
        <w:pStyle w:val="Compact"/>
        <w:numPr>
          <w:ilvl w:val="0"/>
          <w:numId w:val="1003"/>
        </w:numPr>
      </w:pPr>
      <w:r>
        <w:rPr>
          <w:b/>
          <w:bCs/>
        </w:rPr>
        <w:t xml:space="preserve">Estado:</w:t>
      </w:r>
      <w:r>
        <w:t xml:space="preserve"> </w:t>
      </w:r>
      <w:r>
        <w:t xml:space="preserve">financiamiento y coordinación pública, pero vulnerable a cambios políticos y presupuestarios.</w:t>
      </w:r>
    </w:p>
    <w:p>
      <w:pPr>
        <w:pStyle w:val="Compact"/>
        <w:numPr>
          <w:ilvl w:val="0"/>
          <w:numId w:val="1003"/>
        </w:numPr>
      </w:pPr>
      <w:r>
        <w:rPr>
          <w:b/>
          <w:bCs/>
        </w:rPr>
        <w:t xml:space="preserve">Mercado:</w:t>
      </w:r>
      <w:r>
        <w:t xml:space="preserve"> </w:t>
      </w:r>
      <w:r>
        <w:t xml:space="preserve">editoriales, revistas de datos y plataformas privadas que ofrecen mecanismos de reconocimiento, aunque con costos elevados y riesgos de concentración del valor.</w:t>
      </w:r>
    </w:p>
    <w:p>
      <w:pPr>
        <w:pStyle w:val="Compact"/>
        <w:numPr>
          <w:ilvl w:val="0"/>
          <w:numId w:val="1003"/>
        </w:numPr>
      </w:pPr>
      <w:r>
        <w:rPr>
          <w:b/>
          <w:bCs/>
        </w:rPr>
        <w:t xml:space="preserve">Gobernanza policéntrica (Ostrom):</w:t>
      </w:r>
      <w:r>
        <w:t xml:space="preserve"> </w:t>
      </w:r>
      <w:r>
        <w:t xml:space="preserve">instituciones donde múltiples actores (gobierno, academia, comunidades y organismos internacionales) comparten responsabilidades y reglas.</w:t>
      </w:r>
    </w:p>
    <w:p>
      <w:pPr>
        <w:pStyle w:val="FirstParagraph"/>
      </w:pPr>
      <w:r>
        <w:t xml:space="preserve">Uno de los problemas que emerge de esta reflexión es que la ciencia abierta ha avanzado mucho en la</w:t>
      </w:r>
      <w:r>
        <w:t xml:space="preserve"> </w:t>
      </w:r>
      <w:r>
        <w:rPr>
          <w:b/>
          <w:bCs/>
        </w:rPr>
        <w:t xml:space="preserve">estandarización técnica</w:t>
      </w:r>
      <w:r>
        <w:t xml:space="preserve"> </w:t>
      </w:r>
      <w:r>
        <w:t xml:space="preserve">(por ejemplo, principios</w:t>
      </w:r>
      <w:r>
        <w:t xml:space="preserve"> </w:t>
      </w:r>
      <w:r>
        <w:rPr>
          <w:b/>
          <w:bCs/>
        </w:rPr>
        <w:t xml:space="preserve">FAIR</w:t>
      </w:r>
      <w:r>
        <w:t xml:space="preserve">), y también han surgido marcos éticos como</w:t>
      </w:r>
      <w:r>
        <w:t xml:space="preserve"> </w:t>
      </w:r>
      <w:r>
        <w:rPr>
          <w:b/>
          <w:bCs/>
        </w:rPr>
        <w:t xml:space="preserve">CARE</w:t>
      </w:r>
      <w:r>
        <w:t xml:space="preserve"> </w:t>
      </w:r>
      <w:r>
        <w:t xml:space="preserve">o el</w:t>
      </w:r>
      <w:r>
        <w:t xml:space="preserve"> </w:t>
      </w:r>
      <w:r>
        <w:rPr>
          <w:i/>
          <w:iCs/>
        </w:rPr>
        <w:t xml:space="preserve">Protocolo de Nagoya</w:t>
      </w:r>
      <w:r>
        <w:t xml:space="preserve"> </w:t>
      </w:r>
      <w:r>
        <w:t xml:space="preserve">para casos específicos. Sin embargo, sigue existiendo un vacío respecto a cómo garantizar la continuidad de los sistemas de monitoreo que producen los datos necesarios para enfrentar problemas globales como el cambio climático.</w:t>
      </w:r>
    </w:p>
    <w:p>
      <w:pPr>
        <w:pStyle w:val="BodyText"/>
      </w:pPr>
      <w:r>
        <w:t xml:space="preserve">Esto pone al descubierto que existe</w:t>
      </w:r>
      <w:r>
        <w:t xml:space="preserve"> </w:t>
      </w:r>
      <w:r>
        <w:rPr>
          <w:b/>
          <w:bCs/>
        </w:rPr>
        <w:t xml:space="preserve">infraestructura crítica para la producción de datos ambientales</w:t>
      </w:r>
      <w:r>
        <w:t xml:space="preserve">. Tal infraestructura sería la que procura aquellos datos cuya pérdida tendría consecuencias limitantes para la gestión de acciones de adaptación y la toma oportuna de decisiones, por ejemplo:</w:t>
      </w:r>
    </w:p>
    <w:p>
      <w:pPr>
        <w:pStyle w:val="Compact"/>
        <w:numPr>
          <w:ilvl w:val="0"/>
          <w:numId w:val="1004"/>
        </w:numPr>
      </w:pPr>
      <w:r>
        <w:t xml:space="preserve">series de tiempo climáticas;</w:t>
      </w:r>
    </w:p>
    <w:p>
      <w:pPr>
        <w:pStyle w:val="Compact"/>
        <w:numPr>
          <w:ilvl w:val="0"/>
          <w:numId w:val="1004"/>
        </w:numPr>
      </w:pPr>
      <w:r>
        <w:t xml:space="preserve">monitoreo hidrológico;</w:t>
      </w:r>
    </w:p>
    <w:p>
      <w:pPr>
        <w:pStyle w:val="Compact"/>
        <w:numPr>
          <w:ilvl w:val="0"/>
          <w:numId w:val="1004"/>
        </w:numPr>
      </w:pPr>
      <w:r>
        <w:t xml:space="preserve">parcelas permanentes;</w:t>
      </w:r>
    </w:p>
    <w:p>
      <w:pPr>
        <w:pStyle w:val="Compact"/>
        <w:numPr>
          <w:ilvl w:val="0"/>
          <w:numId w:val="1004"/>
        </w:numPr>
      </w:pPr>
      <w:r>
        <w:t xml:space="preserve">monitoreo de arrecifes, manglares o bosques;</w:t>
      </w:r>
    </w:p>
    <w:p>
      <w:pPr>
        <w:pStyle w:val="Compact"/>
        <w:numPr>
          <w:ilvl w:val="0"/>
          <w:numId w:val="1004"/>
        </w:numPr>
      </w:pPr>
      <w:r>
        <w:t xml:space="preserve">seguimiento de biodiversidad.</w:t>
      </w:r>
    </w:p>
    <w:p>
      <w:pPr>
        <w:pStyle w:val="FirstParagraph"/>
      </w:pPr>
      <w:r>
        <w:t xml:space="preserve">Estos datos comparten varias características:</w:t>
      </w:r>
    </w:p>
    <w:p>
      <w:pPr>
        <w:pStyle w:val="Compact"/>
        <w:numPr>
          <w:ilvl w:val="0"/>
          <w:numId w:val="1005"/>
        </w:numPr>
      </w:pPr>
      <w:r>
        <w:t xml:space="preserve">requieren décadas de observación;</w:t>
      </w:r>
    </w:p>
    <w:p>
      <w:pPr>
        <w:pStyle w:val="Compact"/>
        <w:numPr>
          <w:ilvl w:val="0"/>
          <w:numId w:val="1005"/>
        </w:numPr>
      </w:pPr>
      <w:r>
        <w:t xml:space="preserve">son costosos de producir;</w:t>
      </w:r>
    </w:p>
    <w:p>
      <w:pPr>
        <w:pStyle w:val="Compact"/>
        <w:numPr>
          <w:ilvl w:val="0"/>
          <w:numId w:val="1005"/>
        </w:numPr>
      </w:pPr>
      <w:r>
        <w:t xml:space="preserve">son prácticamente irreemplazables;</w:t>
      </w:r>
    </w:p>
    <w:p>
      <w:pPr>
        <w:pStyle w:val="Compact"/>
        <w:numPr>
          <w:ilvl w:val="0"/>
          <w:numId w:val="1005"/>
        </w:numPr>
      </w:pPr>
      <w:r>
        <w:t xml:space="preserve">benefician a múltiples usuarios más allá de quienes los generan.</w:t>
      </w:r>
    </w:p>
    <w:p>
      <w:pPr>
        <w:pStyle w:val="FirstParagraph"/>
      </w:pPr>
      <w:r>
        <w:t xml:space="preserve">A diferencia de la mitigación, donde predominan datos relativamente estandarizados y comparables entre países (como inventarios de emisiones), la adaptación depende en gran medida de</w:t>
      </w:r>
      <w:r>
        <w:t xml:space="preserve"> </w:t>
      </w:r>
      <w:r>
        <w:rPr>
          <w:b/>
          <w:bCs/>
        </w:rPr>
        <w:t xml:space="preserve">datos locales</w:t>
      </w:r>
      <w:r>
        <w:t xml:space="preserve">, producidos por numerosos actores y adaptados a contextos específicos. Por ello, la gobernanza probablemente no deba orientarse hacia una mayor centralización, sino hacia mecanismos que permitan la interoperabilidad y la coordinación entre múltiples sistemas locales de observación.</w:t>
      </w:r>
    </w:p>
    <w:p>
      <w:pPr>
        <w:pStyle w:val="BodyText"/>
      </w:pPr>
      <w:r>
        <w:t xml:space="preserve">En este contexto, considero que el concepto de ONU sobre contabilidad económica y ambiental (</w:t>
      </w:r>
      <w:r>
        <w:rPr>
          <w:b/>
          <w:bCs/>
        </w:rPr>
        <w:t xml:space="preserve">SEEA EA</w:t>
      </w:r>
      <w:r>
        <w:t xml:space="preserve">), podría desempeñar un papel interesante. Aunque su propósito es organizar la información ambiental para apoyar la contabilidad y la política pública, indirectamente identifica cuáles son los datos estratégicos para evaluar el estado y las tendencias de los ecosistemas. Sin embargo, el</w:t>
      </w:r>
      <w:r>
        <w:t xml:space="preserve"> </w:t>
      </w:r>
      <w:r>
        <w:rPr>
          <w:b/>
          <w:bCs/>
        </w:rPr>
        <w:t xml:space="preserve">SEEA EA</w:t>
      </w:r>
      <w:r>
        <w:t xml:space="preserve"> </w:t>
      </w:r>
      <w:r>
        <w:t xml:space="preserve">en sí mismo no aborda la gobernanza de los datos que sustentan esas cuentas.</w:t>
      </w:r>
    </w:p>
    <w:p>
      <w:pPr>
        <w:pStyle w:val="BodyText"/>
      </w:pPr>
      <w:r>
        <w:t xml:space="preserve">También es relevante analizar experiencias exitosas de gobernanza de datos, como</w:t>
      </w:r>
      <w:r>
        <w:t xml:space="preserve"> </w:t>
      </w:r>
      <w:r>
        <w:rPr>
          <w:b/>
          <w:bCs/>
        </w:rPr>
        <w:t xml:space="preserve">GenBank</w:t>
      </w:r>
      <w:r>
        <w:t xml:space="preserve">, la Organización Meteorológica Mundial, Landsat, GBIF o eBird. Todos ellos muestran que el éxito no depende únicamente de abrir los datos, sino de contar con instituciones que aseguren financiamiento, estándares, incentivos y reglas de uso.</w:t>
      </w:r>
    </w:p>
    <w:p>
      <w:pPr>
        <w:pStyle w:val="BodyText"/>
      </w:pPr>
      <w:r>
        <w:t xml:space="preserve">En conjunto, estas reflexiones me llevan a una pregunta central:</w:t>
      </w:r>
    </w:p>
    <w:p>
      <w:pPr>
        <w:pStyle w:val="BlockText"/>
      </w:pPr>
      <w:r>
        <w:rPr>
          <w:b/>
          <w:bCs/>
        </w:rPr>
        <w:t xml:space="preserve">¿Cómo diseñar instituciones que garanticen la producción, preservación, reconocimiento y acceso a los datos ambientales críticos para la adaptación al cambio climático durante las próximas décadas?</w:t>
      </w:r>
    </w:p>
    <w:p>
      <w:pPr>
        <w:pStyle w:val="FirstParagraph"/>
      </w:pPr>
      <w:r>
        <w:t xml:space="preserve">Esta pregunta todavía no ocupa un lugar central ni en la literatura sobre ciencia abierta ni en los marcos internacionales sobre cambio climático o biodiversidad, donde los temas de datos suelen abordarse de manera fragmentada.</w:t>
      </w:r>
    </w:p>
    <w:p>
      <w:pPr>
        <w:pStyle w:val="BodyText"/>
      </w:pPr>
      <w:r>
        <w:t xml:space="preserve">En lugar de pensar únicamente en</w:t>
      </w:r>
      <w:r>
        <w:t xml:space="preserve"> </w:t>
      </w:r>
      <w:r>
        <w:t xml:space="preserve">“datos abiertos”</w:t>
      </w:r>
      <w:r>
        <w:t xml:space="preserve">, quizá deberíamos pensar en la</w:t>
      </w:r>
      <w:r>
        <w:t xml:space="preserve"> </w:t>
      </w:r>
      <w:r>
        <w:rPr>
          <w:b/>
          <w:bCs/>
        </w:rPr>
        <w:t xml:space="preserve">gobernanza de la infraestructura de datos ambientales como un bien común estratégico</w:t>
      </w:r>
      <w:r>
        <w:t xml:space="preserve">, indispensable para la adaptación al cambio climático.</w:t>
      </w:r>
    </w:p>
    <w:bookmarkEnd w:id="36"/>
    <w:bookmarkStart w:id="39" w:name="cambio-de-conahcyt-a-secihti"/>
    <w:p>
      <w:pPr>
        <w:pStyle w:val="Heading1"/>
      </w:pPr>
      <w:r>
        <w:t xml:space="preserve">3.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meticulosa</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7" w:name="X39e3a0563555eae314686bd853b8310055594ac"/>
    <w:p>
      <w:pPr>
        <w:pStyle w:val="Heading3"/>
      </w:pPr>
      <w:r>
        <w:t xml:space="preserve">3.0.1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6"/>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7"/>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7"/>
    <w:bookmarkStart w:id="38" w:name="Xba4d79491cbbb18e319061a96d7b4b175a84ee8"/>
    <w:p>
      <w:pPr>
        <w:pStyle w:val="Heading3"/>
      </w:pPr>
      <w:r>
        <w:t xml:space="preserve">3.0.2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8"/>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9"/>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8"/>
    <w:bookmarkEnd w:id="39"/>
    <w:bookmarkStart w:id="60" w:name="zenodo-como-ejemplo"/>
    <w:p>
      <w:pPr>
        <w:pStyle w:val="Heading1"/>
      </w:pPr>
      <w:r>
        <w:t xml:space="preserve">4.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40" w:name="X38bc9895e841af86c922d3108004ba5bf0959df"/>
    <w:p>
      <w:pPr>
        <w:pStyle w:val="Heading3"/>
      </w:pPr>
      <w:r>
        <w:t xml:space="preserve">4.0.1 1. Alcance, Contenido y Depositantes (Políticas de Zenodo)</w:t>
      </w:r>
    </w:p>
    <w:p>
      <w:pPr>
        <w:pStyle w:val="Compact"/>
        <w:numPr>
          <w:ilvl w:val="0"/>
          <w:numId w:val="1010"/>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10"/>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10"/>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10"/>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40"/>
    <w:bookmarkStart w:id="41" w:name="Xfa8e2c8b7a0f9dfeb5c9386d331f22853c3453e"/>
    <w:p>
      <w:pPr>
        <w:pStyle w:val="Heading3"/>
      </w:pPr>
      <w:r>
        <w:t xml:space="preserve">4.0.2 2. Responsabilidad Legal y Propiedad Intelectual</w:t>
      </w:r>
    </w:p>
    <w:p>
      <w:pPr>
        <w:pStyle w:val="Compact"/>
        <w:numPr>
          <w:ilvl w:val="0"/>
          <w:numId w:val="1011"/>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11"/>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11"/>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41"/>
    <w:bookmarkStart w:id="42" w:name="X7623938980cfe5cfebf525c12cdf262807bd78a"/>
    <w:p>
      <w:pPr>
        <w:pStyle w:val="Heading3"/>
      </w:pPr>
      <w:r>
        <w:t xml:space="preserve">4.0.3 3. Privacidad y Datos Sensibles (El cruce con el GDPR)</w:t>
      </w:r>
    </w:p>
    <w:p>
      <w:pPr>
        <w:pStyle w:val="Compact"/>
        <w:numPr>
          <w:ilvl w:val="0"/>
          <w:numId w:val="1012"/>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2"/>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42"/>
    <w:bookmarkStart w:id="43" w:name="niveles-de-acceso-y-modificaciones"/>
    <w:p>
      <w:pPr>
        <w:pStyle w:val="Heading3"/>
      </w:pPr>
      <w:r>
        <w:t xml:space="preserve">4.0.4 4. Niveles de Acceso y Modificaciones</w:t>
      </w:r>
    </w:p>
    <w:p>
      <w:pPr>
        <w:numPr>
          <w:ilvl w:val="0"/>
          <w:numId w:val="1013"/>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3"/>
        </w:numPr>
      </w:pPr>
      <w:r>
        <w:rPr>
          <w:b/>
          <w:bCs/>
        </w:rPr>
        <w:t xml:space="preserve">Acceso abierto (Open Access):</w:t>
      </w:r>
      <w:r>
        <w:t xml:space="preserve"> </w:t>
      </w:r>
      <w:r>
        <w:t xml:space="preserve">Disponible de inmediato.</w:t>
      </w:r>
    </w:p>
    <w:p>
      <w:pPr>
        <w:numPr>
          <w:ilvl w:val="0"/>
          <w:numId w:val="1013"/>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3"/>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3"/>
        </w:numPr>
      </w:pPr>
      <w:r>
        <w:rPr>
          <w:b/>
          <w:bCs/>
        </w:rPr>
        <w:t xml:space="preserve">Acceso cerrado (Closed):</w:t>
      </w:r>
      <w:r>
        <w:t xml:space="preserve"> </w:t>
      </w:r>
      <w:r>
        <w:t xml:space="preserve">Solo el propietario puede ver los archivos (utilizado principalmente para preservación interna).</w:t>
      </w:r>
    </w:p>
    <w:p>
      <w:pPr>
        <w:numPr>
          <w:ilvl w:val="0"/>
          <w:numId w:val="1013"/>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43"/>
    <w:bookmarkStart w:id="44" w:name="X72cb5341b4578a3c9b8f92aca5bb9095bfca49b"/>
    <w:p>
      <w:pPr>
        <w:pStyle w:val="Heading3"/>
      </w:pPr>
      <w:r>
        <w:t xml:space="preserve">4.0.5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4"/>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4"/>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4"/>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44"/>
    <w:bookmarkStart w:id="45" w:name="resumen-de-la-perspectiva"/>
    <w:p>
      <w:pPr>
        <w:pStyle w:val="Heading3"/>
      </w:pPr>
      <w:r>
        <w:t xml:space="preserve">4.0.6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45"/>
    <w:bookmarkStart w:id="59" w:name="X449ed843dca3d710b52a002e436b372f618f80a"/>
    <w:p>
      <w:pPr>
        <w:pStyle w:val="Heading2"/>
      </w:pPr>
      <w:r>
        <w:t xml:space="preserve">4.1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50" w:name="Xcb906d6e330e04db78d4e8b5561744b23752659"/>
    <w:p>
      <w:pPr>
        <w:pStyle w:val="Heading3"/>
      </w:pPr>
      <w:r>
        <w:t xml:space="preserve">4.1.1 1. Documentos Principales de Política y Gobernanza</w:t>
      </w:r>
    </w:p>
    <w:bookmarkStart w:id="47" w:name="X90e22729b06a9cff907c9b257486cf978898c3a"/>
    <w:p>
      <w:pPr>
        <w:pStyle w:val="Heading4"/>
      </w:pPr>
      <w:r>
        <w:t xml:space="preserve">4.1.1.1 📄 Zenodo General Policies (Políticas Generales de Zenodo)</w:t>
      </w:r>
    </w:p>
    <w:p>
      <w:pPr>
        <w:pStyle w:val="Compact"/>
        <w:numPr>
          <w:ilvl w:val="0"/>
          <w:numId w:val="1015"/>
        </w:numPr>
      </w:pPr>
      <w:r>
        <w:rPr>
          <w:b/>
          <w:bCs/>
        </w:rPr>
        <w:t xml:space="preserve">Organización:</w:t>
      </w:r>
      <w:r>
        <w:t xml:space="preserve"> </w:t>
      </w:r>
      <w:r>
        <w:t xml:space="preserve">Zenodo / OpenAIRE / CERN</w:t>
      </w:r>
    </w:p>
    <w:p>
      <w:pPr>
        <w:pStyle w:val="Compact"/>
        <w:numPr>
          <w:ilvl w:val="0"/>
          <w:numId w:val="1015"/>
        </w:numPr>
      </w:pPr>
      <w:r>
        <w:rPr>
          <w:b/>
          <w:bCs/>
        </w:rPr>
        <w:t xml:space="preserve">Ámbito:</w:t>
      </w:r>
      <w:r>
        <w:t xml:space="preserve"> </w:t>
      </w:r>
      <w:r>
        <w:t xml:space="preserve">Normativa principal para usuarios y depositantes.</w:t>
      </w:r>
    </w:p>
    <w:p>
      <w:pPr>
        <w:pStyle w:val="Compact"/>
        <w:numPr>
          <w:ilvl w:val="0"/>
          <w:numId w:val="1015"/>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5"/>
        </w:numPr>
      </w:pPr>
      <w:r>
        <w:rPr>
          <w:b/>
          <w:bCs/>
        </w:rPr>
        <w:t xml:space="preserve">Fuente/Enlace:</w:t>
      </w:r>
      <w:r>
        <w:t xml:space="preserve"> </w:t>
      </w:r>
      <w:hyperlink r:id="rId46">
        <w:r>
          <w:rPr>
            <w:rStyle w:val="Hyperlink"/>
          </w:rPr>
          <w:t xml:space="preserve">https://about.zenodo.org/policies/</w:t>
        </w:r>
      </w:hyperlink>
    </w:p>
    <w:bookmarkEnd w:id="47"/>
    <w:bookmarkStart w:id="49" w:name="X4f162501dc14a3988dcc7871e13cc20f9aec268"/>
    <w:p>
      <w:pPr>
        <w:pStyle w:val="Heading4"/>
      </w:pPr>
      <w:r>
        <w:t xml:space="preserve">4.1.1.2 📄 CERN Operational Circular No. 11 Rev. 1 (Circular Operacional del CERN No. 11)</w:t>
      </w:r>
    </w:p>
    <w:p>
      <w:pPr>
        <w:pStyle w:val="Compact"/>
        <w:numPr>
          <w:ilvl w:val="0"/>
          <w:numId w:val="1016"/>
        </w:numPr>
      </w:pPr>
      <w:r>
        <w:rPr>
          <w:b/>
          <w:bCs/>
        </w:rPr>
        <w:t xml:space="preserve">Organización:</w:t>
      </w:r>
      <w:r>
        <w:t xml:space="preserve"> </w:t>
      </w:r>
      <w:r>
        <w:t xml:space="preserve">Organización Europea para la Investigación Nuclear (CERN)</w:t>
      </w:r>
    </w:p>
    <w:p>
      <w:pPr>
        <w:pStyle w:val="Compact"/>
        <w:numPr>
          <w:ilvl w:val="0"/>
          <w:numId w:val="1016"/>
        </w:numPr>
      </w:pPr>
      <w:r>
        <w:rPr>
          <w:b/>
          <w:bCs/>
        </w:rPr>
        <w:t xml:space="preserve">Ámbito:</w:t>
      </w:r>
      <w:r>
        <w:t xml:space="preserve"> </w:t>
      </w:r>
      <w:r>
        <w:t xml:space="preserve">Marco institucional y legal de nivel macro.</w:t>
      </w:r>
    </w:p>
    <w:p>
      <w:pPr>
        <w:pStyle w:val="Compact"/>
        <w:numPr>
          <w:ilvl w:val="0"/>
          <w:numId w:val="1016"/>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6"/>
        </w:numPr>
      </w:pPr>
      <w:r>
        <w:rPr>
          <w:b/>
          <w:bCs/>
        </w:rPr>
        <w:t xml:space="preserve">Fuente/Enlace:</w:t>
      </w:r>
      <w:r>
        <w:t xml:space="preserve"> </w:t>
      </w:r>
      <w:hyperlink r:id="rId48">
        <w:r>
          <w:rPr>
            <w:rStyle w:val="Hyperlink"/>
          </w:rPr>
          <w:t xml:space="preserve">https://repository.cern/records/xgq3r-6yc67/preview/Operational%20Circular%20No.11%20Rev.1.pdf</w:t>
        </w:r>
      </w:hyperlink>
    </w:p>
    <w:bookmarkEnd w:id="49"/>
    <w:bookmarkEnd w:id="50"/>
    <w:bookmarkStart w:id="55" w:name="X310d5ae13e9b57819c0eeae54025fdcba2b8dde"/>
    <w:p>
      <w:pPr>
        <w:pStyle w:val="Heading3"/>
      </w:pPr>
      <w:r>
        <w:t xml:space="preserve">4.1.2 2. Términos de Servicio y Privacidad (Soporte Técnico-Legal)</w:t>
      </w:r>
    </w:p>
    <w:bookmarkStart w:id="52" w:name="X513cc11dfdf87eb80b2859a88a0518c526a45f9"/>
    <w:p>
      <w:pPr>
        <w:pStyle w:val="Heading4"/>
      </w:pPr>
      <w:r>
        <w:t xml:space="preserve">4.1.2.1 📄 Zenodo Terms of Service (Términos del Servicio de Zenodo)</w:t>
      </w:r>
    </w:p>
    <w:p>
      <w:pPr>
        <w:pStyle w:val="Compact"/>
        <w:numPr>
          <w:ilvl w:val="0"/>
          <w:numId w:val="1017"/>
        </w:numPr>
      </w:pPr>
      <w:r>
        <w:rPr>
          <w:b/>
          <w:bCs/>
        </w:rPr>
        <w:t xml:space="preserve">Organización:</w:t>
      </w:r>
      <w:r>
        <w:t xml:space="preserve"> </w:t>
      </w:r>
      <w:r>
        <w:t xml:space="preserve">Zenodo / CERN</w:t>
      </w:r>
    </w:p>
    <w:p>
      <w:pPr>
        <w:pStyle w:val="Compact"/>
        <w:numPr>
          <w:ilvl w:val="0"/>
          <w:numId w:val="1017"/>
        </w:numPr>
      </w:pPr>
      <w:r>
        <w:rPr>
          <w:b/>
          <w:bCs/>
        </w:rPr>
        <w:t xml:space="preserve">Ámbito:</w:t>
      </w:r>
      <w:r>
        <w:t xml:space="preserve"> </w:t>
      </w:r>
      <w:r>
        <w:t xml:space="preserve">Contrato de adhesión para los depositantes de datos.</w:t>
      </w:r>
    </w:p>
    <w:p>
      <w:pPr>
        <w:pStyle w:val="Compact"/>
        <w:numPr>
          <w:ilvl w:val="0"/>
          <w:numId w:val="1017"/>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7"/>
        </w:numPr>
      </w:pPr>
      <w:r>
        <w:rPr>
          <w:b/>
          <w:bCs/>
        </w:rPr>
        <w:t xml:space="preserve">Fuente/Enlace:</w:t>
      </w:r>
      <w:r>
        <w:t xml:space="preserve"> </w:t>
      </w:r>
      <w:hyperlink r:id="rId51">
        <w:r>
          <w:rPr>
            <w:rStyle w:val="Hyperlink"/>
          </w:rPr>
          <w:t xml:space="preserve">https://about.zenodo.org/terms/</w:t>
        </w:r>
      </w:hyperlink>
    </w:p>
    <w:bookmarkEnd w:id="52"/>
    <w:bookmarkStart w:id="54" w:name="X3984e5fdca23071096195afb4c53d62c06cd849"/>
    <w:p>
      <w:pPr>
        <w:pStyle w:val="Heading4"/>
      </w:pPr>
      <w:r>
        <w:t xml:space="preserve">4.1.2.2 📄 CERN Data Protection Privacy Notice - Zenodo (Aviso de Privacidad de Datos del CERN)</w:t>
      </w:r>
    </w:p>
    <w:p>
      <w:pPr>
        <w:pStyle w:val="Compact"/>
        <w:numPr>
          <w:ilvl w:val="0"/>
          <w:numId w:val="1018"/>
        </w:numPr>
      </w:pPr>
      <w:r>
        <w:rPr>
          <w:b/>
          <w:bCs/>
        </w:rPr>
        <w:t xml:space="preserve">Organización:</w:t>
      </w:r>
      <w:r>
        <w:t xml:space="preserve"> </w:t>
      </w:r>
      <w:r>
        <w:t xml:space="preserve">CERN Data Protection Officer</w:t>
      </w:r>
    </w:p>
    <w:p>
      <w:pPr>
        <w:pStyle w:val="Compact"/>
        <w:numPr>
          <w:ilvl w:val="0"/>
          <w:numId w:val="1018"/>
        </w:numPr>
      </w:pPr>
      <w:r>
        <w:rPr>
          <w:b/>
          <w:bCs/>
        </w:rPr>
        <w:t xml:space="preserve">Ámbito:</w:t>
      </w:r>
      <w:r>
        <w:t xml:space="preserve"> </w:t>
      </w:r>
      <w:r>
        <w:t xml:space="preserve">Cumplimiento de protección de datos personales.</w:t>
      </w:r>
    </w:p>
    <w:p>
      <w:pPr>
        <w:pStyle w:val="Compact"/>
        <w:numPr>
          <w:ilvl w:val="0"/>
          <w:numId w:val="1018"/>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8"/>
        </w:numPr>
      </w:pPr>
      <w:r>
        <w:rPr>
          <w:b/>
          <w:bCs/>
        </w:rPr>
        <w:t xml:space="preserve">Fuente/Enlace:</w:t>
      </w:r>
      <w:r>
        <w:t xml:space="preserve"> </w:t>
      </w:r>
      <w:hyperlink r:id="rId53">
        <w:r>
          <w:rPr>
            <w:rStyle w:val="Hyperlink"/>
          </w:rPr>
          <w:t xml:space="preserve">https://about.zenodo.org/privacy-policy/</w:t>
        </w:r>
      </w:hyperlink>
    </w:p>
    <w:bookmarkEnd w:id="54"/>
    <w:bookmarkEnd w:id="55"/>
    <w:bookmarkStart w:id="58" w:name="arquitectura-de-datos-y-preservación"/>
    <w:p>
      <w:pPr>
        <w:pStyle w:val="Heading3"/>
      </w:pPr>
      <w:r>
        <w:t xml:space="preserve">4.1.3 3. Arquitectura de Datos y Preservación</w:t>
      </w:r>
    </w:p>
    <w:bookmarkStart w:id="57" w:name="X2167fbb3a4db5a35156a5ab1f287fc81650a9c9"/>
    <w:p>
      <w:pPr>
        <w:pStyle w:val="Heading4"/>
      </w:pPr>
      <w:r>
        <w:t xml:space="preserve">4.1.3.1 📄 Zenodo Data Preservation Plan (Plan de Preservación a Largo Plazo)</w:t>
      </w:r>
    </w:p>
    <w:p>
      <w:pPr>
        <w:pStyle w:val="Compact"/>
        <w:numPr>
          <w:ilvl w:val="0"/>
          <w:numId w:val="1019"/>
        </w:numPr>
      </w:pPr>
      <w:r>
        <w:rPr>
          <w:b/>
          <w:bCs/>
        </w:rPr>
        <w:t xml:space="preserve">Organización:</w:t>
      </w:r>
      <w:r>
        <w:t xml:space="preserve"> </w:t>
      </w:r>
      <w:r>
        <w:t xml:space="preserve">CERN Data Centre / OpenAIRE</w:t>
      </w:r>
    </w:p>
    <w:p>
      <w:pPr>
        <w:pStyle w:val="Compact"/>
        <w:numPr>
          <w:ilvl w:val="0"/>
          <w:numId w:val="1019"/>
        </w:numPr>
      </w:pPr>
      <w:r>
        <w:rPr>
          <w:b/>
          <w:bCs/>
        </w:rPr>
        <w:t xml:space="preserve">Ámbito:</w:t>
      </w:r>
      <w:r>
        <w:t xml:space="preserve"> </w:t>
      </w:r>
      <w:r>
        <w:t xml:space="preserve">Infraestructura y resiliencia tecnológica.</w:t>
      </w:r>
    </w:p>
    <w:p>
      <w:pPr>
        <w:pStyle w:val="Compact"/>
        <w:numPr>
          <w:ilvl w:val="0"/>
          <w:numId w:val="1019"/>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9"/>
        </w:numPr>
      </w:pPr>
      <w:r>
        <w:rPr>
          <w:b/>
          <w:bCs/>
        </w:rPr>
        <w:t xml:space="preserve">Fuente/Enlace:</w:t>
      </w:r>
      <w:r>
        <w:t xml:space="preserve"> </w:t>
      </w:r>
      <w:hyperlink r:id="rId56">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7"/>
    <w:bookmarkEnd w:id="58"/>
    <w:bookmarkEnd w:id="59"/>
    <w:bookmarkEnd w:id="60"/>
    <w:bookmarkStart w:id="67" w:name="lecciones-aprendidad-de-zenodo"/>
    <w:p>
      <w:pPr>
        <w:pStyle w:val="Heading1"/>
      </w:pPr>
      <w:r>
        <w:t xml:space="preserve">5.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61" w:name="Xa6a8ff8539510f36c4fa646195cacaa258faeb1"/>
    <w:p>
      <w:pPr>
        <w:pStyle w:val="Heading3"/>
      </w:pPr>
      <w:r>
        <w:t xml:space="preserve">5.0.1 1. Inmutabilidad, Trazabilidad y el</w:t>
      </w:r>
      <w:r>
        <w:t xml:space="preserve"> </w:t>
      </w:r>
      <w:r>
        <w:t xml:space="preserve">“Falso Miedo”</w:t>
      </w:r>
      <w:r>
        <w:t xml:space="preserve"> </w:t>
      </w:r>
      <w:r>
        <w:t xml:space="preserve">al Plagio</w:t>
      </w:r>
    </w:p>
    <w:p>
      <w:pPr>
        <w:pStyle w:val="Compact"/>
        <w:numPr>
          <w:ilvl w:val="0"/>
          <w:numId w:val="1020"/>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20"/>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61"/>
    <w:bookmarkStart w:id="62" w:name="X9e58660a33098b057eb289fe2e9431833795a6d"/>
    <w:p>
      <w:pPr>
        <w:pStyle w:val="Heading3"/>
      </w:pPr>
      <w:r>
        <w:t xml:space="preserve">5.0.2 2. Deslinde de Responsabilidad Legal y Curaduría Técnica</w:t>
      </w:r>
    </w:p>
    <w:p>
      <w:pPr>
        <w:pStyle w:val="Compact"/>
        <w:numPr>
          <w:ilvl w:val="0"/>
          <w:numId w:val="1021"/>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21"/>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21"/>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62"/>
    <w:bookmarkStart w:id="63" w:name="Xb6b9af8cd6ff7779318196b98522c429f6b3dfe"/>
    <w:p>
      <w:pPr>
        <w:pStyle w:val="Heading3"/>
      </w:pPr>
      <w:r>
        <w:t xml:space="preserve">5.0.3 3. El Destino de los Metadatos en el Acceso Cerrado/Embargado</w:t>
      </w:r>
    </w:p>
    <w:p>
      <w:pPr>
        <w:pStyle w:val="Compact"/>
        <w:numPr>
          <w:ilvl w:val="0"/>
          <w:numId w:val="1022"/>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2"/>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2"/>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63"/>
    <w:bookmarkStart w:id="64" w:name="X759b13b4a7d9a58cd20c23a6a4871ef2023ce26"/>
    <w:p>
      <w:pPr>
        <w:pStyle w:val="Heading3"/>
      </w:pPr>
      <w:r>
        <w:t xml:space="preserve">5.0.4 4. Sostenibilidad Financiera y el</w:t>
      </w:r>
      <w:r>
        <w:t xml:space="preserve"> </w:t>
      </w:r>
      <w:r>
        <w:t xml:space="preserve">“Ciclo de Vida”</w:t>
      </w:r>
      <w:r>
        <w:t xml:space="preserve"> </w:t>
      </w:r>
      <w:r>
        <w:t xml:space="preserve">de la Infraestructura</w:t>
      </w:r>
    </w:p>
    <w:p>
      <w:pPr>
        <w:pStyle w:val="Compact"/>
        <w:numPr>
          <w:ilvl w:val="0"/>
          <w:numId w:val="1023"/>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3"/>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3"/>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64"/>
    <w:bookmarkStart w:id="66" w:name="Xdc44c27b2e5685044753f9c3927c7b893e0f0c6"/>
    <w:p>
      <w:pPr>
        <w:pStyle w:val="Heading2"/>
      </w:pPr>
      <w:r>
        <w:t xml:space="preserve">5.1 Sugerencias concretas para Enriquecer la propuesta</w:t>
      </w:r>
    </w:p>
    <w:p>
      <w:pPr>
        <w:pStyle w:val="Compact"/>
        <w:numPr>
          <w:ilvl w:val="0"/>
          <w:numId w:val="1024"/>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4"/>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65" w:name="X8e267c338efdbe71f92923fe4a7670fda865a75"/>
    <w:p>
      <w:pPr>
        <w:pStyle w:val="Heading3"/>
      </w:pPr>
      <w:r>
        <w:t xml:space="preserve">5.1.1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65"/>
    <w:bookmarkEnd w:id="66"/>
    <w:bookmarkEnd w:id="67"/>
    <w:bookmarkStart w:id="71" w:name="Xc2f61c3795a40a48121e131054998b241904a0c"/>
    <w:p>
      <w:pPr>
        <w:pStyle w:val="Heading1"/>
      </w:pPr>
      <w:r>
        <w:t xml:space="preserve">6. Prepublicación de Datos y Artículos de Datos (</w:t>
      </w:r>
      <w:r>
        <w:rPr>
          <w:i/>
          <w:iCs/>
        </w:rPr>
        <w:t xml:space="preserve">Data Papers</w:t>
      </w:r>
      <w:r>
        <w:t xml:space="preserve">)</w:t>
      </w:r>
    </w:p>
    <w:bookmarkStart w:id="69" w:name="X8a93c840a2af8e9e3adc91e42f49f5217ba3dba"/>
    <w:p>
      <w:pPr>
        <w:pStyle w:val="Heading3"/>
      </w:pPr>
      <w:r>
        <w:t xml:space="preserve">6.0.1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8" w:name="Xb5d00a5f3d726f6a7d8a3f6d5d595aeaf953455"/>
    <w:p>
      <w:pPr>
        <w:pStyle w:val="Heading5"/>
      </w:pPr>
      <w:r>
        <w:t xml:space="preserve">6.0.1.0.1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5"/>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5"/>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5"/>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8"/>
    <w:bookmarkEnd w:id="69"/>
    <w:bookmarkStart w:id="70" w:name="X6ffc653eb435ac1ed8481dd44f01a9004658731"/>
    <w:p>
      <w:pPr>
        <w:pStyle w:val="Heading3"/>
      </w:pPr>
      <w:r>
        <w:t xml:space="preserve">6.0.2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70"/>
    <w:bookmarkEnd w:id="71"/>
    <w:bookmarkStart w:id="77" w:name="principios-fair"/>
    <w:p>
      <w:pPr>
        <w:pStyle w:val="Heading1"/>
      </w:pPr>
      <w:r>
        <w:t xml:space="preserve">7. Principios FAIR</w:t>
      </w:r>
    </w:p>
    <w:bookmarkStart w:id="72" w:name="los-principios-fair-como-infraestructura"/>
    <w:p>
      <w:pPr>
        <w:pStyle w:val="Heading3"/>
      </w:pPr>
      <w:r>
        <w:t xml:space="preserve">7.0.1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72"/>
    <w:bookmarkStart w:id="76" w:name="sugerencias-para-los-lineamientos-inecol"/>
    <w:p>
      <w:pPr>
        <w:pStyle w:val="Heading3"/>
      </w:pPr>
      <w:r>
        <w:t xml:space="preserve">7.0.2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6"/>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6"/>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6"/>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73" w:name="X69ace5540f715b31ebbab0704a2e7e86c833f08"/>
    <w:p>
      <w:pPr>
        <w:pStyle w:val="Heading4"/>
      </w:pPr>
      <w:r>
        <w:t xml:space="preserve">7.0.2.1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7"/>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8"/>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73"/>
    <w:bookmarkStart w:id="74" w:name="X414019ba7cbbacc8cf0105242c85ea8c26429b1"/>
    <w:p>
      <w:pPr>
        <w:pStyle w:val="Heading4"/>
      </w:pPr>
      <w:r>
        <w:t xml:space="preserve">7.0.2.2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9"/>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30"/>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31"/>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2"/>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74"/>
    <w:bookmarkStart w:id="75" w:name="X441f9b4ee6a8f44196b69cd0c57fd4dccb11afd"/>
    <w:p>
      <w:pPr>
        <w:pStyle w:val="Heading4"/>
      </w:pPr>
      <w:r>
        <w:t xml:space="preserve">7.0.2.3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75"/>
    <w:bookmarkEnd w:id="76"/>
    <w:bookmarkEnd w:id="77"/>
    <w:bookmarkStart w:id="86" w:name="compendio-maestro-de-recomendaciones"/>
    <w:p>
      <w:pPr>
        <w:pStyle w:val="Heading1"/>
      </w:pPr>
      <w:r>
        <w:t xml:space="preserve">8. Compendio Maestro de Recomendaciones</w:t>
      </w:r>
    </w:p>
    <w:p>
      <w:pPr>
        <w:pStyle w:val="FirstParagraph"/>
      </w:pPr>
      <w:r>
        <w:t xml:space="preserve">Este documento consolida el conjunto integral de recomendaciones específicas, adiciones técnico-normativas y modificaciones de fondo desarrolladas para enriquecer la propuesta de</w:t>
      </w:r>
      <w:r>
        <w:t xml:space="preserve"> </w:t>
      </w:r>
      <w:r>
        <w:rPr>
          <w:b/>
          <w:bCs/>
        </w:rPr>
        <w:t xml:space="preserve">Lineamientos de Ciencia Abierta y Acceso Abierto a Datos del Instituto de Ecología, A.C. (v.7)</w:t>
      </w:r>
      <w:r>
        <w:t xml:space="preserve">.</w:t>
      </w:r>
    </w:p>
    <w:p>
      <w:pPr>
        <w:pStyle w:val="BodyText"/>
      </w:pPr>
      <w:r>
        <w:t xml:space="preserve">El objetivo es transitar de un marco normativo puramente administrativo hacia una infraestructura de datos soberana, blindada jurídicamente (armonizada con la Ley de Transparencia), alineada con los estándares mundiales FAIR, y que resuelva las preocupaciones operativas de la comunidad de investigación.</w:t>
      </w:r>
    </w:p>
    <w:bookmarkStart w:id="78" w:name="X366e889fe21bdb9cdfb512ebf2fda92c70d726c"/>
    <w:p>
      <w:pPr>
        <w:pStyle w:val="Heading3"/>
      </w:pPr>
      <w:r>
        <w:t xml:space="preserve">8.0.1 1. Adecuación Técnico-Normativa de Transición Federal (SECIHTI)</w:t>
      </w:r>
    </w:p>
    <w:p>
      <w:pPr>
        <w:pStyle w:val="FirstParagraph"/>
      </w:pPr>
      <w:r>
        <w:t xml:space="preserve">Tras la elevación del ramo de ciencia al rango de Secretaría de Estado, es obligatorio adecuar todo el cuerpo normativo para evitar anacronismos jurídicos.</w:t>
      </w:r>
      <w:r>
        <w:t xml:space="preserve"> </w:t>
      </w:r>
      <w:r>
        <w:t xml:space="preserve">*</w:t>
      </w:r>
      <w:r>
        <w:t xml:space="preserve"> </w:t>
      </w:r>
      <w:r>
        <w:rPr>
          <w:b/>
          <w:bCs/>
        </w:rPr>
        <w:t xml:space="preserve">Capítulo 2 (Definiciones):</w:t>
      </w:r>
      <w:r>
        <w:t xml:space="preserve"> </w:t>
      </w:r>
      <w:r>
        <w:t xml:space="preserve">Modificar la fracción correspondiente al Conahcyt por:</w:t>
      </w:r>
      <w:r>
        <w:t xml:space="preserve"> </w:t>
      </w:r>
      <w:r>
        <w:rPr>
          <w:i/>
          <w:iCs/>
        </w:rPr>
        <w:t xml:space="preserve">“</w:t>
      </w:r>
      <w:r>
        <w:rPr>
          <w:b/>
          <w:bCs/>
          <w:i/>
          <w:iCs/>
        </w:rPr>
        <w:t xml:space="preserve">SECIHTI:</w:t>
      </w:r>
      <w:r>
        <w:rPr>
          <w:i/>
          <w:iCs/>
        </w:rPr>
        <w:t xml:space="preserve"> </w:t>
      </w:r>
      <w:r>
        <w:rPr>
          <w:i/>
          <w:iCs/>
        </w:rPr>
        <w:t xml:space="preserve">La Secretaría de Ciencia, Humanidades, Tecnología e Innovación, como dependencia del Ejecutivo Federal encargada de diseñar, coordinar y ejecutar la política pública nacional en la materia…”</w:t>
      </w:r>
      <w:r>
        <w:t xml:space="preserve"> </w:t>
      </w:r>
      <w:r>
        <w:t xml:space="preserve">*</w:t>
      </w:r>
      <w:r>
        <w:t xml:space="preserve"> </w:t>
      </w:r>
      <w:r>
        <w:rPr>
          <w:b/>
          <w:bCs/>
        </w:rPr>
        <w:t xml:space="preserve">Repositorio Nacional:</w:t>
      </w:r>
      <w:r>
        <w:t xml:space="preserve"> </w:t>
      </w:r>
      <w:r>
        <w:t xml:space="preserve">Actualizar su definición para vincularlo a la administración de la SECIHTI.</w:t>
      </w:r>
      <w:r>
        <w:t xml:space="preserve"> </w:t>
      </w:r>
      <w:r>
        <w:t xml:space="preserve">* Sustituir toda mención analógica al</w:t>
      </w:r>
      <w:r>
        <w:t xml:space="preserve"> </w:t>
      </w:r>
      <w:r>
        <w:t xml:space="preserve">“Consejo Nacional”</w:t>
      </w:r>
      <w:r>
        <w:t xml:space="preserve"> </w:t>
      </w:r>
      <w:r>
        <w:t xml:space="preserve">a lo largo de los considerandos y artículos.</w:t>
      </w:r>
    </w:p>
    <w:bookmarkEnd w:id="78"/>
    <w:bookmarkStart w:id="79" w:name="X339465e32222396f7649db028af00000c75413a"/>
    <w:p>
      <w:pPr>
        <w:pStyle w:val="Heading3"/>
      </w:pPr>
      <w:r>
        <w:t xml:space="preserve">8.0.2 2. Armonización con la Ley General de Transparencia (LGTAIP)</w:t>
      </w:r>
    </w:p>
    <w:p>
      <w:pPr>
        <w:pStyle w:val="FirstParagraph"/>
      </w:pPr>
      <w:r>
        <w:t xml:space="preserve">El borrador v.7 poseía vacíos legales respecto a la restricción de información. Se deben integrar mecanismos obligatorios de la LGTAIP para evitar violaciones en materia de datos personales y competencia institucional.</w:t>
      </w:r>
      <w:r>
        <w:t xml:space="preserve"> </w:t>
      </w:r>
      <w:r>
        <w:t xml:space="preserve">*</w:t>
      </w:r>
      <w:r>
        <w:t xml:space="preserve"> </w:t>
      </w:r>
      <w:r>
        <w:rPr>
          <w:b/>
          <w:bCs/>
        </w:rPr>
        <w:t xml:space="preserve">Artículo 17 Bis. Versiones Públicas y Testado de Datos:</w:t>
      </w:r>
      <w:r>
        <w:t xml:space="preserve"> </w:t>
      </w:r>
      <w:r>
        <w:t xml:space="preserve">Establecer la obligación de generar versiones públicas donde se supriman, disocien o testen exclusivamente las variables o registros confidenciales, garantizando la apertura del resto de los datos útiles.</w:t>
      </w:r>
      <w:r>
        <w:t xml:space="preserve"> </w:t>
      </w:r>
      <w:r>
        <w:t xml:space="preserve">*</w:t>
      </w:r>
      <w:r>
        <w:t xml:space="preserve"> </w:t>
      </w:r>
      <w:r>
        <w:rPr>
          <w:b/>
          <w:bCs/>
        </w:rPr>
        <w:t xml:space="preserve">Artículo 17 Ter. Control y Coordinación de Clasificación:</w:t>
      </w:r>
      <w:r>
        <w:t xml:space="preserve"> </w:t>
      </w:r>
      <w:r>
        <w:t xml:space="preserve">Aclarar que las resoluciones del Comité de Ciencia Abierta sobre</w:t>
      </w:r>
      <w:r>
        <w:t xml:space="preserve"> </w:t>
      </w:r>
      <w:r>
        <w:t xml:space="preserve">“Acceso Cerrado”</w:t>
      </w:r>
      <w:r>
        <w:t xml:space="preserve"> </w:t>
      </w:r>
      <w:r>
        <w:t xml:space="preserve">deben remitirse al</w:t>
      </w:r>
      <w:r>
        <w:t xml:space="preserve"> </w:t>
      </w:r>
      <w:r>
        <w:rPr>
          <w:b/>
          <w:bCs/>
        </w:rPr>
        <w:t xml:space="preserve">Comité de Transparencia del INECOL</w:t>
      </w:r>
      <w:r>
        <w:t xml:space="preserve">, por ser la única instancia facultada por la ley para confirmar, modificar o revocar clasificaciones.</w:t>
      </w:r>
      <w:r>
        <w:t xml:space="preserve"> </w:t>
      </w:r>
      <w:r>
        <w:t xml:space="preserve">*</w:t>
      </w:r>
      <w:r>
        <w:t xml:space="preserve"> </w:t>
      </w:r>
      <w:r>
        <w:rPr>
          <w:b/>
          <w:bCs/>
        </w:rPr>
        <w:t xml:space="preserve">Artículo 17 Quater. Prueba de Daño:</w:t>
      </w:r>
      <w:r>
        <w:t xml:space="preserve"> </w:t>
      </w:r>
      <w:r>
        <w:t xml:space="preserve">Hacer obligatoria la</w:t>
      </w:r>
      <w:r>
        <w:t xml:space="preserve"> </w:t>
      </w:r>
      <w:r>
        <w:t xml:space="preserve">“Prueba de Daño”</w:t>
      </w:r>
      <w:r>
        <w:t xml:space="preserve"> </w:t>
      </w:r>
      <w:r>
        <w:t xml:space="preserve">para cualquier investigador que solicite el embargo de sus datos, obligándole a fundar y motivar que la divulgación representa un riesgo real y demostrable.</w:t>
      </w:r>
    </w:p>
    <w:bookmarkEnd w:id="79"/>
    <w:bookmarkStart w:id="80" w:name="X7c0a84c7186d48db209fb67043ae007be05f51f"/>
    <w:p>
      <w:pPr>
        <w:pStyle w:val="Heading3"/>
      </w:pPr>
      <w:r>
        <w:t xml:space="preserve">8.0.3 3. Transición Tecnológica y Software Abierto</w:t>
      </w:r>
    </w:p>
    <w:p>
      <w:pPr>
        <w:pStyle w:val="FirstParagraph"/>
      </w:pPr>
      <w:r>
        <w:t xml:space="preserve">La ciencia abierta no solo concierne a los datos, sino a las herramientas utilizadas para procesarlos.</w:t>
      </w:r>
      <w:r>
        <w:t xml:space="preserve"> </w:t>
      </w:r>
      <w:r>
        <w:t xml:space="preserve">*</w:t>
      </w:r>
      <w:r>
        <w:t xml:space="preserve"> </w:t>
      </w:r>
      <w:r>
        <w:rPr>
          <w:b/>
          <w:bCs/>
        </w:rPr>
        <w:t xml:space="preserve">Capítulo 2 (Definiciones - Datos Abiertos):</w:t>
      </w:r>
      <w:r>
        <w:t xml:space="preserve"> </w:t>
      </w:r>
      <w:r>
        <w:t xml:space="preserve">Precisar que el concepto incluye</w:t>
      </w:r>
      <w:r>
        <w:t xml:space="preserve"> </w:t>
      </w:r>
      <w:r>
        <w:rPr>
          <w:i/>
          <w:iCs/>
        </w:rPr>
        <w:t xml:space="preserve">“…el software abierto, scripts de análisis (R, Python) y código fuente desarrollado en el marco de la investigación…”</w:t>
      </w:r>
      <w:r>
        <w:t xml:space="preserve"> </w:t>
      </w:r>
      <w:r>
        <w:t xml:space="preserve">*</w:t>
      </w:r>
      <w:r>
        <w:t xml:space="preserve"> </w:t>
      </w:r>
      <w:r>
        <w:rPr>
          <w:b/>
          <w:bCs/>
        </w:rPr>
        <w:t xml:space="preserve">Capítulo 4 (Compromisos de la Dirección General):</w:t>
      </w:r>
      <w:r>
        <w:t xml:space="preserve"> </w:t>
      </w:r>
      <w:r>
        <w:t xml:space="preserve">Añadir la obligación de diseñar un programa institucional que priorice la enseñanza y adopción de software libre (particularmente en SIG), abandonando progresivamente el software privativo u obsoleto.</w:t>
      </w:r>
      <w:r>
        <w:t xml:space="preserve"> </w:t>
      </w:r>
      <w:r>
        <w:t xml:space="preserve">*</w:t>
      </w:r>
      <w:r>
        <w:t xml:space="preserve"> </w:t>
      </w:r>
      <w:r>
        <w:rPr>
          <w:b/>
          <w:bCs/>
        </w:rPr>
        <w:t xml:space="preserve">Artículo 13:</w:t>
      </w:r>
      <w:r>
        <w:t xml:space="preserve"> </w:t>
      </w:r>
      <w:r>
        <w:t xml:space="preserve">Especificar que el depósito obligatorio incluye</w:t>
      </w:r>
      <w:r>
        <w:t xml:space="preserve"> </w:t>
      </w:r>
      <w:r>
        <w:rPr>
          <w:i/>
          <w:iCs/>
        </w:rPr>
        <w:t xml:space="preserve">“…una copia de la versión final de su investigación, procedimiento, materiales y, en su caso, el software abierto diseñado y código fuente asociado”</w:t>
      </w:r>
      <w:r>
        <w:t xml:space="preserve">.</w:t>
      </w:r>
    </w:p>
    <w:bookmarkEnd w:id="80"/>
    <w:bookmarkStart w:id="81" w:name="X9bf95f71bd609892fbc6eca29c7ae958bf272a8"/>
    <w:p>
      <w:pPr>
        <w:pStyle w:val="Heading3"/>
      </w:pPr>
      <w:r>
        <w:t xml:space="preserve">8.0.4 4. Gobernanza Inclusiva y Profesionalización del Comité</w:t>
      </w:r>
    </w:p>
    <w:p>
      <w:pPr>
        <w:pStyle w:val="FirstParagraph"/>
      </w:pPr>
      <w:r>
        <w:t xml:space="preserve">El éxito del repositorio recae en el Comité de Ciencia Abierta; por ello, debe ser capacitado y representativo.</w:t>
      </w:r>
      <w:r>
        <w:t xml:space="preserve"> </w:t>
      </w:r>
      <w:r>
        <w:t xml:space="preserve">*</w:t>
      </w:r>
      <w:r>
        <w:t xml:space="preserve"> </w:t>
      </w:r>
      <w:r>
        <w:rPr>
          <w:b/>
          <w:bCs/>
        </w:rPr>
        <w:t xml:space="preserve">Artículo 5 (Composición):</w:t>
      </w:r>
      <w:r>
        <w:t xml:space="preserve"> </w:t>
      </w:r>
      <w:r>
        <w:t xml:space="preserve">Incluir como miembro, con derecho a voz, a</w:t>
      </w:r>
      <w:r>
        <w:t xml:space="preserve"> </w:t>
      </w:r>
      <w:r>
        <w:rPr>
          <w:i/>
          <w:iCs/>
        </w:rPr>
        <w:t xml:space="preserve">una persona representante de la comunidad de estudiantes de posgrado</w:t>
      </w:r>
      <w:r>
        <w:t xml:space="preserve">, reconociéndolos como críticos y principales usuarios del sistema.</w:t>
      </w:r>
      <w:r>
        <w:t xml:space="preserve"> </w:t>
      </w:r>
      <w:r>
        <w:t xml:space="preserve">*</w:t>
      </w:r>
      <w:r>
        <w:t xml:space="preserve"> </w:t>
      </w:r>
      <w:r>
        <w:rPr>
          <w:b/>
          <w:bCs/>
        </w:rPr>
        <w:t xml:space="preserve">Artículo 5 Bis (Obligación de Capacitación):</w:t>
      </w:r>
      <w:r>
        <w:t xml:space="preserve"> </w:t>
      </w:r>
      <w:r>
        <w:t xml:space="preserve">Exigir que todos los miembros del Comité (titulares y suplentes) acrediten un programa de capacitación en Ciencia Abierta y principios FAIR como requisito indispensable para ejercer su cargo.</w:t>
      </w:r>
    </w:p>
    <w:bookmarkEnd w:id="81"/>
    <w:bookmarkStart w:id="82" w:name="Xb5d3dd537f871be495f8cdc429f27e81367dd9f"/>
    <w:p>
      <w:pPr>
        <w:pStyle w:val="Heading3"/>
      </w:pPr>
      <w:r>
        <w:t xml:space="preserve">8.0.5 5. Mitigación del Plagio (Data Preprints y Versionado con DOI)</w:t>
      </w:r>
    </w:p>
    <w:p>
      <w:pPr>
        <w:pStyle w:val="FirstParagraph"/>
      </w:pPr>
      <w:r>
        <w:t xml:space="preserve">Para desactivar la resistencia de los investigadores sobre el</w:t>
      </w:r>
      <w:r>
        <w:t xml:space="preserve"> </w:t>
      </w:r>
      <w:r>
        <w:t xml:space="preserve">“robo de ideas”</w:t>
      </w:r>
      <w:r>
        <w:t xml:space="preserve">, se institucionaliza el blindaje del dato primario.</w:t>
      </w:r>
      <w:r>
        <w:t xml:space="preserve"> </w:t>
      </w:r>
      <w:r>
        <w:t xml:space="preserve">*</w:t>
      </w:r>
      <w:r>
        <w:t xml:space="preserve"> </w:t>
      </w:r>
      <w:r>
        <w:rPr>
          <w:b/>
          <w:bCs/>
        </w:rPr>
        <w:t xml:space="preserve">Adición de la figura de</w:t>
      </w:r>
      <w:r>
        <w:rPr>
          <w:b/>
          <w:bCs/>
        </w:rPr>
        <w:t xml:space="preserve"> </w:t>
      </w:r>
      <w:r>
        <w:rPr>
          <w:b/>
          <w:bCs/>
          <w:i/>
          <w:iCs/>
        </w:rPr>
        <w:t xml:space="preserve">Data Preprint</w:t>
      </w:r>
      <w:r>
        <w:rPr>
          <w:b/>
          <w:bCs/>
        </w:rPr>
        <w:t xml:space="preserve">:</w:t>
      </w:r>
      <w:r>
        <w:t xml:space="preserve"> </w:t>
      </w:r>
      <w:r>
        <w:t xml:space="preserve">Reconocer el depósito del set de datos como un acto de publicación formal que garantiza prelación temporal.</w:t>
      </w:r>
      <w:r>
        <w:t xml:space="preserve"> </w:t>
      </w:r>
      <w:r>
        <w:t xml:space="preserve">*</w:t>
      </w:r>
      <w:r>
        <w:t xml:space="preserve"> </w:t>
      </w:r>
      <w:r>
        <w:rPr>
          <w:b/>
          <w:bCs/>
        </w:rPr>
        <w:t xml:space="preserve">Artículo 12 Bis (Inmutabilidad y Versionado):</w:t>
      </w:r>
      <w:r>
        <w:t xml:space="preserve"> </w:t>
      </w:r>
      <w:r>
        <w:t xml:space="preserve">Otorgar un DOI inmutable a cada set de datos. Cualquier cambio generará una nueva versión con trazabilidad histórica.</w:t>
      </w:r>
      <w:r>
        <w:t xml:space="preserve"> </w:t>
      </w:r>
      <w:r>
        <w:t xml:space="preserve">*</w:t>
      </w:r>
      <w:r>
        <w:t xml:space="preserve"> </w:t>
      </w:r>
      <w:r>
        <w:rPr>
          <w:b/>
          <w:bCs/>
        </w:rPr>
        <w:t xml:space="preserve">Artículo 15 (Visibilidad bajo Embargo):</w:t>
      </w:r>
      <w:r>
        <w:t xml:space="preserve"> </w:t>
      </w:r>
      <w:r>
        <w:t xml:space="preserve">Establecer que, aunque los archivos estén embargados, los</w:t>
      </w:r>
      <w:r>
        <w:t xml:space="preserve"> </w:t>
      </w:r>
      <w:r>
        <w:rPr>
          <w:b/>
          <w:bCs/>
        </w:rPr>
        <w:t xml:space="preserve">metadatos</w:t>
      </w:r>
      <w:r>
        <w:t xml:space="preserve"> </w:t>
      </w:r>
      <w:r>
        <w:t xml:space="preserve">siempre se publicarán inmediatamente bajo licencia CC0 (Dominio Público) para garantizar citabilidad e indexación.</w:t>
      </w:r>
    </w:p>
    <w:bookmarkEnd w:id="82"/>
    <w:bookmarkStart w:id="83" w:name="Xaedd8db426fa267442988f35ebef51982a95599"/>
    <w:p>
      <w:pPr>
        <w:pStyle w:val="Heading3"/>
      </w:pPr>
      <w:r>
        <w:t xml:space="preserve">8.0.6 6. Refinamiento del Régimen de Excepciones (Propiedad Intelectual)</w:t>
      </w:r>
    </w:p>
    <w:p>
      <w:pPr>
        <w:pStyle w:val="Compact"/>
        <w:numPr>
          <w:ilvl w:val="0"/>
          <w:numId w:val="1033"/>
        </w:numPr>
      </w:pPr>
      <w:r>
        <w:rPr>
          <w:b/>
          <w:bCs/>
        </w:rPr>
        <w:t xml:space="preserve">Modificación al Artículo 17:</w:t>
      </w:r>
      <w:r>
        <w:t xml:space="preserve"> </w:t>
      </w:r>
      <w:r>
        <w:t xml:space="preserve">Se divide la antigua</w:t>
      </w:r>
      <w:r>
        <w:t xml:space="preserve"> </w:t>
      </w:r>
      <w:r>
        <w:t xml:space="preserve">“Fracción I”</w:t>
      </w:r>
      <w:r>
        <w:t xml:space="preserve"> </w:t>
      </w:r>
      <w:r>
        <w:t xml:space="preserve">en dos incisos independientes para mayor claridad jurídica:</w:t>
      </w:r>
    </w:p>
    <w:p>
      <w:pPr>
        <w:pStyle w:val="Compact"/>
        <w:numPr>
          <w:ilvl w:val="1"/>
          <w:numId w:val="1034"/>
        </w:numPr>
      </w:pPr>
      <w:r>
        <w:rPr>
          <w:b/>
          <w:bCs/>
        </w:rPr>
        <w:t xml:space="preserve">Inciso I:</w:t>
      </w:r>
      <w:r>
        <w:t xml:space="preserve"> </w:t>
      </w:r>
      <w:r>
        <w:t xml:space="preserve">Protege insumos de terceros con restricciones comerciales (ej. imágenes de satélite Planet), exigiendo la apertura exclusiva de los metadatos y análisis derivados.</w:t>
      </w:r>
    </w:p>
    <w:p>
      <w:pPr>
        <w:pStyle w:val="Compact"/>
        <w:numPr>
          <w:ilvl w:val="1"/>
          <w:numId w:val="1034"/>
        </w:numPr>
      </w:pPr>
      <w:r>
        <w:rPr>
          <w:b/>
          <w:bCs/>
        </w:rPr>
        <w:t xml:space="preserve">Inciso I Bis:</w:t>
      </w:r>
      <w:r>
        <w:t xml:space="preserve"> </w:t>
      </w:r>
      <w:r>
        <w:t xml:space="preserve">Protege los objetos de propiedad industrial o patentes</w:t>
      </w:r>
      <w:r>
        <w:t xml:space="preserve"> </w:t>
      </w:r>
      <w:r>
        <w:rPr>
          <w:i/>
          <w:iCs/>
        </w:rPr>
        <w:t xml:space="preserve">propias del INECOL</w:t>
      </w:r>
      <w:r>
        <w:t xml:space="preserve"> </w:t>
      </w:r>
      <w:r>
        <w:t xml:space="preserve">que se encuentren pendientes de registro.</w:t>
      </w:r>
    </w:p>
    <w:bookmarkEnd w:id="83"/>
    <w:bookmarkStart w:id="84" w:name="X8cb31a72314c57c795b4731609b9290fa11f3b5"/>
    <w:p>
      <w:pPr>
        <w:pStyle w:val="Heading3"/>
      </w:pPr>
      <w:r>
        <w:t xml:space="preserve">8.0.7 7. Implementación de Principios FAIR, Estándares de Biodiversidad y Geografía</w:t>
      </w:r>
    </w:p>
    <w:p>
      <w:pPr>
        <w:pStyle w:val="FirstParagraph"/>
      </w:pPr>
      <w:r>
        <w:t xml:space="preserve">Evitar los</w:t>
      </w:r>
      <w:r>
        <w:t xml:space="preserve"> </w:t>
      </w:r>
      <w:r>
        <w:t xml:space="preserve">“cementerios de archivos”</w:t>
      </w:r>
      <w:r>
        <w:t xml:space="preserve"> </w:t>
      </w:r>
      <w:r>
        <w:t xml:space="preserve">promoviendo datos legibles por máquina.</w:t>
      </w:r>
      <w:r>
        <w:t xml:space="preserve"> </w:t>
      </w:r>
      <w:r>
        <w:t xml:space="preserve">*</w:t>
      </w:r>
      <w:r>
        <w:t xml:space="preserve"> </w:t>
      </w:r>
      <w:r>
        <w:rPr>
          <w:b/>
          <w:bCs/>
        </w:rPr>
        <w:t xml:space="preserve">Artículo 16 Bis:</w:t>
      </w:r>
      <w:r>
        <w:t xml:space="preserve"> </w:t>
      </w:r>
      <w:r>
        <w:t xml:space="preserve">Hacer obligatoria la promoción de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w:t>
      </w:r>
      <w:r>
        <w:t xml:space="preserve"> </w:t>
      </w:r>
      <w:r>
        <w:t xml:space="preserve">*</w:t>
      </w:r>
      <w:r>
        <w:t xml:space="preserve"> </w:t>
      </w:r>
      <w:r>
        <w:rPr>
          <w:b/>
          <w:bCs/>
        </w:rPr>
        <w:t xml:space="preserve">Artículo 16 Ter:</w:t>
      </w:r>
      <w:r>
        <w:t xml:space="preserve"> </w:t>
      </w:r>
      <w:r>
        <w:t xml:space="preserve">Para datos espaciales, exigir el cumplimiento de la norma internacional</w:t>
      </w:r>
      <w:r>
        <w:t xml:space="preserve"> </w:t>
      </w:r>
      <w:r>
        <w:rPr>
          <w:b/>
          <w:bCs/>
        </w:rPr>
        <w:t xml:space="preserve">ISO 19115</w:t>
      </w:r>
      <w:r>
        <w:t xml:space="preserve"> </w:t>
      </w:r>
      <w:r>
        <w:t xml:space="preserve">y las Normas Técnicas del</w:t>
      </w:r>
      <w:r>
        <w:t xml:space="preserve"> </w:t>
      </w:r>
      <w:r>
        <w:rPr>
          <w:b/>
          <w:bCs/>
        </w:rPr>
        <w:t xml:space="preserve">INEGI</w:t>
      </w:r>
      <w:r>
        <w:t xml:space="preserve">, permitiendo que el INECOL alimente los instrumentos de política ambiental locales y federales (POET, PACMUN).</w:t>
      </w:r>
    </w:p>
    <w:bookmarkEnd w:id="84"/>
    <w:bookmarkStart w:id="85" w:name="Xd37e4100328fde0f0beb8f44dabfb59c1885fc3"/>
    <w:p>
      <w:pPr>
        <w:pStyle w:val="Heading3"/>
      </w:pPr>
      <w:r>
        <w:t xml:space="preserve">8.0.8 8. Indemnidad Legal, Sinergia Externa y Alertas Predatorias</w:t>
      </w:r>
    </w:p>
    <w:p>
      <w:pPr>
        <w:pStyle w:val="Compact"/>
        <w:numPr>
          <w:ilvl w:val="0"/>
          <w:numId w:val="1035"/>
        </w:numPr>
      </w:pPr>
      <w:r>
        <w:rPr>
          <w:b/>
          <w:bCs/>
        </w:rPr>
        <w:t xml:space="preserve">Artículo 18 (Procedimiento de Ingesta):</w:t>
      </w:r>
      <w:r>
        <w:t xml:space="preserve"> </w:t>
      </w:r>
      <w:r>
        <w:t xml:space="preserve">Implementar un</w:t>
      </w:r>
      <w:r>
        <w:t xml:space="preserve"> </w:t>
      </w:r>
      <w:r>
        <w:rPr>
          <w:i/>
          <w:iCs/>
        </w:rPr>
        <w:t xml:space="preserve">checkbox</w:t>
      </w:r>
      <w:r>
        <w:t xml:space="preserve"> </w:t>
      </w:r>
      <w:r>
        <w:t xml:space="preserve">legal donde el investigador jure poseer los derechos sobre el contenido,</w:t>
      </w:r>
      <w:r>
        <w:t xml:space="preserve"> </w:t>
      </w:r>
      <w:r>
        <w:rPr>
          <w:b/>
          <w:bCs/>
        </w:rPr>
        <w:t xml:space="preserve">deslindando al Curador y al INECOL de cualquier responsabilidad legal por violaciones de fondo</w:t>
      </w:r>
      <w:r>
        <w:t xml:space="preserve">.</w:t>
      </w:r>
    </w:p>
    <w:p>
      <w:pPr>
        <w:pStyle w:val="Compact"/>
        <w:numPr>
          <w:ilvl w:val="0"/>
          <w:numId w:val="1035"/>
        </w:numPr>
      </w:pPr>
      <w:r>
        <w:rPr>
          <w:b/>
          <w:bCs/>
        </w:rPr>
        <w:t xml:space="preserve">Sinergia Institucional:</w:t>
      </w:r>
      <w:r>
        <w:t xml:space="preserve"> </w:t>
      </w:r>
      <w:r>
        <w:t xml:space="preserve">Permitir que los investigadores registren en el Servidor el</w:t>
      </w:r>
      <w:r>
        <w:t xml:space="preserve"> </w:t>
      </w:r>
      <w:r>
        <w:rPr>
          <w:i/>
          <w:iCs/>
        </w:rPr>
        <w:t xml:space="preserve">Accession Number</w:t>
      </w:r>
      <w:r>
        <w:t xml:space="preserve"> </w:t>
      </w:r>
      <w:r>
        <w:t xml:space="preserve">de bases como</w:t>
      </w:r>
      <w:r>
        <w:t xml:space="preserve"> </w:t>
      </w:r>
      <w:r>
        <w:rPr>
          <w:b/>
          <w:bCs/>
        </w:rPr>
        <w:t xml:space="preserve">GenBank</w:t>
      </w:r>
      <w:r>
        <w:t xml:space="preserve"> </w:t>
      </w:r>
      <w:r>
        <w:t xml:space="preserve">u otros servicios de concentración de datos, evitando la resubida física masiva de datos genómicos o de colecciones ya federadas.</w:t>
      </w:r>
    </w:p>
    <w:p>
      <w:pPr>
        <w:pStyle w:val="Compact"/>
        <w:numPr>
          <w:ilvl w:val="0"/>
          <w:numId w:val="1035"/>
        </w:numPr>
      </w:pPr>
      <w:r>
        <w:rPr>
          <w:b/>
          <w:bCs/>
        </w:rPr>
        <w:t xml:space="preserve">Capítulo 6 (Alertas Predatorias):</w:t>
      </w:r>
      <w:r>
        <w:t xml:space="preserve"> </w:t>
      </w:r>
      <w:r>
        <w:t xml:space="preserve">Facultar al Comité para publicar listas de advertencia sobre</w:t>
      </w:r>
      <w:r>
        <w:t xml:space="preserve"> </w:t>
      </w:r>
      <w:r>
        <w:t xml:space="preserve">“repositorios caja negra”</w:t>
      </w:r>
      <w:r>
        <w:t xml:space="preserve"> </w:t>
      </w:r>
      <w:r>
        <w:t xml:space="preserve">o</w:t>
      </w:r>
      <w:r>
        <w:t xml:space="preserve"> </w:t>
      </w:r>
      <w:r>
        <w:t xml:space="preserve">“revistas de datos”</w:t>
      </w:r>
      <w:r>
        <w:t xml:space="preserve"> </w:t>
      </w:r>
      <w:r>
        <w:t xml:space="preserve">fraudulentas que operen sin planes de preservación a largo plazo.</w:t>
      </w:r>
    </w:p>
    <w:bookmarkEnd w:id="85"/>
    <w:bookmarkEnd w:id="86"/>
    <w:bookmarkStart w:id="126" w:name="references"/>
    <w:p>
      <w:pPr>
        <w:pStyle w:val="Heading1"/>
      </w:pPr>
      <w:r>
        <w:t xml:space="preserve">References</w:t>
      </w:r>
    </w:p>
    <w:bookmarkStart w:id="125" w:name="refs"/>
    <w:bookmarkStart w:id="88"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87">
        <w:r>
          <w:rPr>
            <w:rStyle w:val="Hyperlink"/>
          </w:rPr>
          <w:t xml:space="preserve">[https://repository.cern/records/xgq3r-6yc67/](https://repository.cern/records/xgq3r-6yc67/)</w:t>
        </w:r>
      </w:hyperlink>
      <w:r>
        <w:t xml:space="preserve">.</w:t>
      </w:r>
    </w:p>
    <w:bookmarkEnd w:id="88"/>
    <w:bookmarkStart w:id="90"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89">
        <w:r>
          <w:rPr>
            <w:rStyle w:val="Hyperlink"/>
          </w:rPr>
          <w:t xml:space="preserve">https://doi.org/10.1371/journal.pone.0311493</w:t>
        </w:r>
      </w:hyperlink>
      <w:r>
        <w:t xml:space="preserve">.</w:t>
      </w:r>
    </w:p>
    <w:bookmarkEnd w:id="90"/>
    <w:bookmarkStart w:id="92"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91">
        <w:r>
          <w:rPr>
            <w:rStyle w:val="Hyperlink"/>
          </w:rPr>
          <w:t xml:space="preserve">https://doi.org/10.1371/journal.pone.0230416</w:t>
        </w:r>
      </w:hyperlink>
      <w:r>
        <w:t xml:space="preserve">.</w:t>
      </w:r>
    </w:p>
    <w:bookmarkEnd w:id="92"/>
    <w:bookmarkStart w:id="94"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93">
        <w:r>
          <w:rPr>
            <w:rStyle w:val="Hyperlink"/>
          </w:rPr>
          <w:t xml:space="preserve">https://doi.org/10.1038/sdata.2018.259</w:t>
        </w:r>
      </w:hyperlink>
      <w:r>
        <w:t xml:space="preserve">.</w:t>
      </w:r>
    </w:p>
    <w:bookmarkEnd w:id="94"/>
    <w:bookmarkStart w:id="96"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95">
        <w:r>
          <w:rPr>
            <w:rStyle w:val="Hyperlink"/>
          </w:rPr>
          <w:t xml:space="preserve">https://doi.org/10.1080/17538947.2022.2038596</w:t>
        </w:r>
      </w:hyperlink>
      <w:r>
        <w:t xml:space="preserve">.</w:t>
      </w:r>
    </w:p>
    <w:bookmarkEnd w:id="96"/>
    <w:bookmarkStart w:id="98"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97">
        <w:r>
          <w:rPr>
            <w:rStyle w:val="Hyperlink"/>
          </w:rPr>
          <w:t xml:space="preserve">https://doi.org/10.1098/rspb.2022.1113</w:t>
        </w:r>
      </w:hyperlink>
      <w:r>
        <w:t xml:space="preserve">.</w:t>
      </w:r>
    </w:p>
    <w:bookmarkEnd w:id="98"/>
    <w:bookmarkStart w:id="100" w:name="ref-hardin1968"/>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99">
        <w:r>
          <w:rPr>
            <w:rStyle w:val="Hyperlink"/>
          </w:rPr>
          <w:t xml:space="preserve">https://doi.org/10.1126/science.162.3859.1243</w:t>
        </w:r>
      </w:hyperlink>
      <w:r>
        <w:t xml:space="preserve">.</w:t>
      </w:r>
    </w:p>
    <w:bookmarkEnd w:id="100"/>
    <w:bookmarkStart w:id="102"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101">
        <w:r>
          <w:rPr>
            <w:rStyle w:val="Hyperlink"/>
          </w:rPr>
          <w:t xml:space="preserve">https://www.inegi.org.mx/</w:t>
        </w:r>
      </w:hyperlink>
      <w:r>
        <w:t xml:space="preserve">.</w:t>
      </w:r>
    </w:p>
    <w:bookmarkEnd w:id="102"/>
    <w:bookmarkStart w:id="104"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103">
        <w:r>
          <w:rPr>
            <w:rStyle w:val="Hyperlink"/>
          </w:rPr>
          <w:t xml:space="preserve">https://doi.org/10.3897/biss.8.133089</w:t>
        </w:r>
      </w:hyperlink>
      <w:r>
        <w:t xml:space="preserve">.</w:t>
      </w:r>
    </w:p>
    <w:bookmarkEnd w:id="104"/>
    <w:bookmarkStart w:id="106"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105">
        <w:r>
          <w:rPr>
            <w:rStyle w:val="Hyperlink"/>
          </w:rPr>
          <w:t xml:space="preserve">https://doi.org/10.1016/j.ecoinf.2026.103712</w:t>
        </w:r>
      </w:hyperlink>
      <w:r>
        <w:t xml:space="preserve">.</w:t>
      </w:r>
    </w:p>
    <w:bookmarkEnd w:id="106"/>
    <w:bookmarkStart w:id="108"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107">
        <w:r>
          <w:rPr>
            <w:rStyle w:val="Hyperlink"/>
          </w:rPr>
          <w:t xml:space="preserve">https://doi.org/10.1016/j.tree.2023.10.005</w:t>
        </w:r>
      </w:hyperlink>
      <w:r>
        <w:t xml:space="preserve">.</w:t>
      </w:r>
    </w:p>
    <w:bookmarkEnd w:id="108"/>
    <w:bookmarkStart w:id="110"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109">
        <w:r>
          <w:rPr>
            <w:rStyle w:val="Hyperlink"/>
          </w:rPr>
          <w:t xml:space="preserve">https://doi.org/10.1016/j.envsci.2024.103980</w:t>
        </w:r>
      </w:hyperlink>
      <w:r>
        <w:t xml:space="preserve">.</w:t>
      </w:r>
    </w:p>
    <w:bookmarkEnd w:id="110"/>
    <w:bookmarkStart w:id="112"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111">
        <w:r>
          <w:rPr>
            <w:rStyle w:val="Hyperlink"/>
          </w:rPr>
          <w:t xml:space="preserve">https://doi.org/10.3897/rio.3.e12265</w:t>
        </w:r>
      </w:hyperlink>
      <w:r>
        <w:t xml:space="preserve">.</w:t>
      </w:r>
    </w:p>
    <w:bookmarkEnd w:id="112"/>
    <w:bookmarkStart w:id="114"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113">
        <w:r>
          <w:rPr>
            <w:rStyle w:val="Hyperlink"/>
          </w:rPr>
          <w:t xml:space="preserve">https://doi.org/10.3897/rio.10.e126588</w:t>
        </w:r>
      </w:hyperlink>
      <w:r>
        <w:t xml:space="preserve">.</w:t>
      </w:r>
    </w:p>
    <w:bookmarkEnd w:id="114"/>
    <w:bookmarkStart w:id="116"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115">
        <w:r>
          <w:rPr>
            <w:rStyle w:val="Hyperlink"/>
          </w:rPr>
          <w:t xml:space="preserve">https://doi.org/10.1007/s10531-022-02410-y</w:t>
        </w:r>
      </w:hyperlink>
      <w:r>
        <w:t xml:space="preserve">.</w:t>
      </w:r>
    </w:p>
    <w:bookmarkEnd w:id="116"/>
    <w:bookmarkStart w:id="118"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17">
        <w:r>
          <w:rPr>
            <w:rStyle w:val="Hyperlink"/>
          </w:rPr>
          <w:t xml:space="preserve">https://doi.org/10.1007/s11192-020-03437-1</w:t>
        </w:r>
      </w:hyperlink>
      <w:r>
        <w:t xml:space="preserve">.</w:t>
      </w:r>
    </w:p>
    <w:bookmarkEnd w:id="118"/>
    <w:bookmarkStart w:id="120"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19">
        <w:r>
          <w:rPr>
            <w:rStyle w:val="Hyperlink"/>
          </w:rPr>
          <w:t xml:space="preserve">https://doi.org/10.1038/sdata.2016.18</w:t>
        </w:r>
      </w:hyperlink>
      <w:r>
        <w:t xml:space="preserve">.</w:t>
      </w:r>
    </w:p>
    <w:bookmarkEnd w:id="120"/>
    <w:bookmarkStart w:id="122"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21">
        <w:r>
          <w:rPr>
            <w:rStyle w:val="Hyperlink"/>
          </w:rPr>
          <w:t xml:space="preserve">https://doi.org/10.1002/fee.2618</w:t>
        </w:r>
      </w:hyperlink>
      <w:r>
        <w:t xml:space="preserve">.</w:t>
      </w:r>
    </w:p>
    <w:bookmarkEnd w:id="122"/>
    <w:bookmarkStart w:id="124"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23">
        <w:r>
          <w:rPr>
            <w:rStyle w:val="Hyperlink"/>
          </w:rPr>
          <w:t xml:space="preserve">[Https://about.zenodo.org/policies/](https://about.zenodo.org/policies/)</w:t>
        </w:r>
      </w:hyperlink>
      <w:r>
        <w:t xml:space="preserve">; CERN / OpenAIRE.</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s://about.zenodo.org/policies/](https://about.zenodo.org/policies/)" TargetMode="External" /><Relationship Type="http://schemas.openxmlformats.org/officeDocument/2006/relationships/hyperlink" Id="rId87"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1" Target="https://doi.org/10.1002/fee.2618" TargetMode="External" /><Relationship Type="http://schemas.openxmlformats.org/officeDocument/2006/relationships/hyperlink" Id="rId115" Target="https://doi.org/10.1007/s10531-022-02410-y" TargetMode="External" /><Relationship Type="http://schemas.openxmlformats.org/officeDocument/2006/relationships/hyperlink" Id="rId117" Target="https://doi.org/10.1007/s11192-020-03437-1" TargetMode="External" /><Relationship Type="http://schemas.openxmlformats.org/officeDocument/2006/relationships/hyperlink" Id="rId105" Target="https://doi.org/10.1016/j.ecoinf.2026.103712" TargetMode="External" /><Relationship Type="http://schemas.openxmlformats.org/officeDocument/2006/relationships/hyperlink" Id="rId109" Target="https://doi.org/10.1016/j.envsci.2024.103980" TargetMode="External" /><Relationship Type="http://schemas.openxmlformats.org/officeDocument/2006/relationships/hyperlink" Id="rId107" Target="https://doi.org/10.1016/j.tree.2023.10.005" TargetMode="External" /><Relationship Type="http://schemas.openxmlformats.org/officeDocument/2006/relationships/hyperlink" Id="rId119" Target="https://doi.org/10.1038/sdata.2016.18" TargetMode="External" /><Relationship Type="http://schemas.openxmlformats.org/officeDocument/2006/relationships/hyperlink" Id="rId93" Target="https://doi.org/10.1038/sdata.2018.259" TargetMode="External" /><Relationship Type="http://schemas.openxmlformats.org/officeDocument/2006/relationships/hyperlink" Id="rId95" Target="https://doi.org/10.1080/17538947.2022.2038596" TargetMode="External" /><Relationship Type="http://schemas.openxmlformats.org/officeDocument/2006/relationships/hyperlink" Id="rId97" Target="https://doi.org/10.1098/rspb.2022.1113" TargetMode="External" /><Relationship Type="http://schemas.openxmlformats.org/officeDocument/2006/relationships/hyperlink" Id="rId99" Target="https://doi.org/10.1126/science.162.3859.1243" TargetMode="External" /><Relationship Type="http://schemas.openxmlformats.org/officeDocument/2006/relationships/hyperlink" Id="rId91" Target="https://doi.org/10.1371/journal.pone.0230416" TargetMode="External" /><Relationship Type="http://schemas.openxmlformats.org/officeDocument/2006/relationships/hyperlink" Id="rId89" Target="https://doi.org/10.1371/journal.pone.0311493" TargetMode="External" /><Relationship Type="http://schemas.openxmlformats.org/officeDocument/2006/relationships/hyperlink" Id="rId103" Target="https://doi.org/10.3897/biss.8.133089" TargetMode="External" /><Relationship Type="http://schemas.openxmlformats.org/officeDocument/2006/relationships/hyperlink" Id="rId113" Target="https://doi.org/10.3897/rio.10.e126588" TargetMode="External" /><Relationship Type="http://schemas.openxmlformats.org/officeDocument/2006/relationships/hyperlink" Id="rId111"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1"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23" Target="[https://about.zenodo.org/policies/](https://about.zenodo.org/policies/)" TargetMode="External" /><Relationship Type="http://schemas.openxmlformats.org/officeDocument/2006/relationships/hyperlink" Id="rId87"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1" Target="https://doi.org/10.1002/fee.2618" TargetMode="External" /><Relationship Type="http://schemas.openxmlformats.org/officeDocument/2006/relationships/hyperlink" Id="rId115" Target="https://doi.org/10.1007/s10531-022-02410-y" TargetMode="External" /><Relationship Type="http://schemas.openxmlformats.org/officeDocument/2006/relationships/hyperlink" Id="rId117" Target="https://doi.org/10.1007/s11192-020-03437-1" TargetMode="External" /><Relationship Type="http://schemas.openxmlformats.org/officeDocument/2006/relationships/hyperlink" Id="rId105" Target="https://doi.org/10.1016/j.ecoinf.2026.103712" TargetMode="External" /><Relationship Type="http://schemas.openxmlformats.org/officeDocument/2006/relationships/hyperlink" Id="rId109" Target="https://doi.org/10.1016/j.envsci.2024.103980" TargetMode="External" /><Relationship Type="http://schemas.openxmlformats.org/officeDocument/2006/relationships/hyperlink" Id="rId107" Target="https://doi.org/10.1016/j.tree.2023.10.005" TargetMode="External" /><Relationship Type="http://schemas.openxmlformats.org/officeDocument/2006/relationships/hyperlink" Id="rId119" Target="https://doi.org/10.1038/sdata.2016.18" TargetMode="External" /><Relationship Type="http://schemas.openxmlformats.org/officeDocument/2006/relationships/hyperlink" Id="rId93" Target="https://doi.org/10.1038/sdata.2018.259" TargetMode="External" /><Relationship Type="http://schemas.openxmlformats.org/officeDocument/2006/relationships/hyperlink" Id="rId95" Target="https://doi.org/10.1080/17538947.2022.2038596" TargetMode="External" /><Relationship Type="http://schemas.openxmlformats.org/officeDocument/2006/relationships/hyperlink" Id="rId97" Target="https://doi.org/10.1098/rspb.2022.1113" TargetMode="External" /><Relationship Type="http://schemas.openxmlformats.org/officeDocument/2006/relationships/hyperlink" Id="rId99" Target="https://doi.org/10.1126/science.162.3859.1243" TargetMode="External" /><Relationship Type="http://schemas.openxmlformats.org/officeDocument/2006/relationships/hyperlink" Id="rId91" Target="https://doi.org/10.1371/journal.pone.0230416" TargetMode="External" /><Relationship Type="http://schemas.openxmlformats.org/officeDocument/2006/relationships/hyperlink" Id="rId89" Target="https://doi.org/10.1371/journal.pone.0311493" TargetMode="External" /><Relationship Type="http://schemas.openxmlformats.org/officeDocument/2006/relationships/hyperlink" Id="rId103" Target="https://doi.org/10.3897/biss.8.133089" TargetMode="External" /><Relationship Type="http://schemas.openxmlformats.org/officeDocument/2006/relationships/hyperlink" Id="rId113" Target="https://doi.org/10.3897/rio.10.e126588" TargetMode="External" /><Relationship Type="http://schemas.openxmlformats.org/officeDocument/2006/relationships/hyperlink" Id="rId111"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1"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2026-07-02T04:00:37Z</dcterms:created>
  <dcterms:modified xsi:type="dcterms:W3CDTF">2026-07-02T04:00:37Z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