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30"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w:t>
      </w:r>
      <w:r>
        <w:t xml:space="preserve"> </w:t>
      </w:r>
      <w:r>
        <w:t xml:space="preserve">(Zenodo 2024)</w:t>
      </w:r>
      <w:r>
        <w:t xml:space="preserve">. La respuesta no radica en el aislamiento, sino en la</w:t>
      </w:r>
      <w:r>
        <w:t xml:space="preserve"> </w:t>
      </w:r>
      <w:r>
        <w:rPr>
          <w:b/>
          <w:bCs/>
        </w:rPr>
        <w:t xml:space="preserve">soberanía, la gobernanza territorial, el valor estratégico institucional, la dimensión territorial, la articulación institucional y la ciencia abierta como estrategia de incidencia local</w:t>
      </w:r>
      <w:r>
        <w:t xml:space="preserve">.</w:t>
      </w:r>
    </w:p>
    <w:p>
      <w:pPr>
        <w:pStyle w:val="BodyText"/>
      </w:pPr>
      <w:r>
        <w:t xml:space="preserve">A continuación se realiza un análisis del contexto científico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 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 SECIHTI 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w:t>
      </w:r>
      <w:r>
        <w:t xml:space="preserve"> </w:t>
      </w:r>
      <w:r>
        <w:t xml:space="preserve">(CERN 2001)</w:t>
      </w:r>
      <w:r>
        <w:t xml:space="preserve">.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w:t>
      </w:r>
      <w:r>
        <w:t xml:space="preserve"> </w:t>
      </w:r>
      <w:r>
        <w:t xml:space="preserve">(Zenodo 2024)</w:t>
      </w:r>
      <w:r>
        <w:t xml:space="preserve">. No puede validar la calidad ni la estructura especializada de los datos ecológicos. Un servidor propio en el INECOL permite implementar una</w:t>
      </w:r>
      <w:r>
        <w:t xml:space="preserve"> </w:t>
      </w:r>
      <w:r>
        <w:rPr>
          <w:b/>
          <w:bCs/>
        </w:rPr>
        <w:t xml:space="preserve">curaduría de datos especializada de alta gama</w:t>
      </w:r>
      <w:r>
        <w:t xml:space="preserve">:</w:t>
      </w:r>
    </w:p>
    <w:p>
      <w:pPr>
        <w:pStyle w:val="Compact"/>
        <w:numPr>
          <w:ilvl w:val="0"/>
          <w:numId w:val="1002"/>
        </w:numPr>
      </w:pP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(Jantzen y Vriend 2026)</w:t>
      </w:r>
      <w:r>
        <w:t xml:space="preserve">.</w:t>
      </w:r>
    </w:p>
    <w:p>
      <w:pPr>
        <w:pStyle w:val="Compact"/>
        <w:numPr>
          <w:ilvl w:val="0"/>
          <w:numId w:val="1002"/>
        </w:numPr>
      </w:pP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 la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r>
        <w:t xml:space="preserve"> </w:t>
      </w:r>
      <w:r>
        <w:t xml:space="preserve">(</w:t>
      </w:r>
      <w:r>
        <w:t xml:space="preserve">Wilkinson et al.</w:t>
      </w:r>
      <w:r>
        <w:t xml:space="preserve"> </w:t>
      </w:r>
      <w:r>
        <w:t xml:space="preserve">2016; Islam et al. 2024)</w:t>
      </w:r>
      <w:r>
        <w:t xml:space="preserve">.</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w:t>
      </w:r>
      <w:r>
        <w:t xml:space="preserve">(Zenodo 2024)</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w:t>
      </w:r>
      <w:r>
        <w:t xml:space="preserve"> </w:t>
      </w:r>
      <w:r>
        <w:t xml:space="preserve">(Colavizza et al. 2024)</w:t>
      </w:r>
      <w:r>
        <w:t xml:space="preserve">.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 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Nacional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 Sánchez-Cordero et al. 2022)</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Xeba4d5714abf2d8b1e274b99fd47e4d3057e9c6"/>
    <w:p>
      <w:pPr>
        <w:pStyle w:val="Heading3"/>
      </w:pPr>
      <w:r>
        <w:t xml:space="preserve">1.0.6 6. Ciencia Abierta con Incidencia Local: Veracruz, Michoacán y Xalapa</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y el Centro Regional de El Bajío en Pátzcuaro, Michoacán).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Compact"/>
        <w:numPr>
          <w:ilvl w:val="0"/>
          <w:numId w:val="1003"/>
        </w:numPr>
      </w:pP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p>
    <w:p>
      <w:pPr>
        <w:pStyle w:val="Compact"/>
        <w:numPr>
          <w:ilvl w:val="0"/>
          <w:numId w:val="1003"/>
        </w:numPr>
      </w:pPr>
      <w:r>
        <w:rPr>
          <w:b/>
          <w:bCs/>
        </w:rPr>
        <w:t xml:space="preserve">Resiliencia Urbana y Municipal:</w:t>
      </w:r>
      <w:r>
        <w:t xml:space="preserve"> </w:t>
      </w:r>
      <w:r>
        <w:t xml:space="preserve">Permite al Municipio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p>
    <w:p>
      <w:pPr>
        <w:pStyle w:val="Compact"/>
        <w:numPr>
          <w:ilvl w:val="0"/>
          <w:numId w:val="1003"/>
        </w:numPr>
      </w:pP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7" w:name="X9ad3748b42d4cd92f95dca0b2c2b530d83d4bd2"/>
    <w:p>
      <w:pPr>
        <w:pStyle w:val="Heading3"/>
      </w:pPr>
      <w:r>
        <w:t xml:space="preserve">1.0.7 7. Infraestructura Existente y Resultados Tangibles: eFloraMex y el Portal de Colecciones Biológicas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r>
        <w:rPr>
          <w:b/>
          <w:bCs/>
        </w:rPr>
        <w:t xml:space="preserve">eFloraMex (Flora de México en Línea)</w:t>
      </w:r>
      <w:r>
        <w:t xml:space="preserve"> </w:t>
      </w:r>
      <w:r>
        <w:t xml:space="preserve">(</w:t>
      </w:r>
      <w:hyperlink r:id="rId26">
        <w:r>
          <w:rPr>
            <w:rStyle w:val="Hyperlink"/>
          </w:rPr>
          <w:t xml:space="preserve">https://efloramex.ib.unam.mx/</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w:t>
      </w:r>
      <w:r>
        <w:t xml:space="preserve"> </w:t>
      </w:r>
      <w:r>
        <w:rPr>
          <w:b/>
          <w:bCs/>
        </w:rPr>
        <w:t xml:space="preserve">Portal de Colecciones Biológicas del INECOL</w:t>
      </w:r>
      <w:r>
        <w:t xml:space="preserve">,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 eFloraMex o al Portal de Colecciones; su objetivo es</w:t>
      </w:r>
      <w:r>
        <w:t xml:space="preserve"> </w:t>
      </w:r>
      <w:r>
        <w:rPr>
          <w:b/>
          <w:bCs/>
        </w:rPr>
        <w:t xml:space="preserve">escalar, federar y dotar de gobernanza jurídica y semántica unificada</w:t>
      </w:r>
      <w:r>
        <w:t xml:space="preserve"> </w:t>
      </w:r>
      <w:r>
        <w:t xml:space="preserve">a toda la producción científica del Instituto. El nuevo repositorio actuará como la infraestructura base que:</w:t>
      </w:r>
      <w:r>
        <w:t xml:space="preserve"> </w:t>
      </w:r>
      <w:r>
        <w:t xml:space="preserve">1.</w:t>
      </w:r>
      <w:r>
        <w:t xml:space="preserve"> </w:t>
      </w:r>
      <w:r>
        <w:rPr>
          <w:b/>
          <w:bCs/>
        </w:rPr>
        <w:t xml:space="preserve">Amplíe el Espectro del Dato:</w:t>
      </w:r>
      <w:r>
        <w:t xml:space="preserve"> </w:t>
      </w:r>
      <w:r>
        <w:t xml:space="preserve">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w:t>
      </w:r>
      <w:r>
        <w:t xml:space="preserve"> </w:t>
      </w:r>
      <w:r>
        <w:t xml:space="preserve">2.</w:t>
      </w:r>
      <w:r>
        <w:t xml:space="preserve"> </w:t>
      </w:r>
      <w:r>
        <w:rPr>
          <w:b/>
          <w:bCs/>
        </w:rPr>
        <w:t xml:space="preserve">Garantice la Preservación e Inmutabilidad:</w:t>
      </w:r>
      <w:r>
        <w:t xml:space="preserve"> </w:t>
      </w:r>
      <w:r>
        <w:t xml:space="preserve">Proveerá DOIs institucionales centralizados que blindarán la trazabilidad y la propiedad intelectual de los investigadores del INECOL en redes globales de Ciencia Abierta.</w:t>
      </w:r>
      <w:r>
        <w:t xml:space="preserve"> </w:t>
      </w:r>
      <w:r>
        <w:t xml:space="preserve">3.</w:t>
      </w:r>
      <w:r>
        <w:t xml:space="preserve"> </w:t>
      </w:r>
      <w:r>
        <w:rPr>
          <w:b/>
          <w:bCs/>
        </w:rPr>
        <w:t xml:space="preserve">Optimice la Interoperabilidad Automática:</w:t>
      </w:r>
      <w:r>
        <w:t xml:space="preserve"> </w:t>
      </w:r>
      <w:r>
        <w:t xml:space="preserve">Permitirá que los datos de colecciones existentes dialoguen automáticamente (v.gr., mediante protocolos OAI-PMH) con el Repositorio Nacional de la</w:t>
      </w:r>
      <w:r>
        <w:t xml:space="preserve"> </w:t>
      </w:r>
      <w:r>
        <w:rPr>
          <w:b/>
          <w:bCs/>
        </w:rPr>
        <w:t xml:space="preserve">SECIHTI</w:t>
      </w:r>
      <w:r>
        <w:t xml:space="preserve"> </w:t>
      </w:r>
      <w:r>
        <w:t xml:space="preserve">y el GBIF, consolidando los éxitos previos del Instituto en una sola política institucional de datos FAIR.</w:t>
      </w:r>
    </w:p>
    <w:bookmarkEnd w:id="27"/>
    <w:bookmarkStart w:id="28" w:name="X4da3fcb4ace6512eb64dd4b79298b9fe4d5bee8"/>
    <w:p>
      <w:pPr>
        <w:pStyle w:val="Heading3"/>
      </w:pPr>
      <w:r>
        <w:t xml:space="preserve">1.0.8 8. Sinergia Genómica Global: El Modelo GenBank / 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w:t>
      </w:r>
      <w:r>
        <w:t xml:space="preserve"> </w:t>
      </w:r>
      <w:r>
        <w:rPr>
          <w:b/>
          <w:bCs/>
        </w:rPr>
        <w:t xml:space="preserve">GenBank</w:t>
      </w:r>
      <w:r>
        <w:t xml:space="preserve"> </w:t>
      </w:r>
      <w:r>
        <w:t xml:space="preserve">(NCBI) y sistemas federados similares bajo el consorcio INSDC (International Nucleotide Sequence Database Collaboration).</w:t>
      </w:r>
    </w:p>
    <w:p>
      <w:pPr>
        <w:pStyle w:val="BodyText"/>
      </w:pPr>
      <w:r>
        <w:t xml:space="preserve">Lejos de representar una duplicidad de esfuerzos o una carga administrativa adicional para el personal investigador, la arquitectura del Servidor de Datos Abiertos del INECOL está diseñada para operar bajo una lógica de</w:t>
      </w:r>
      <w:r>
        <w:t xml:space="preserve"> </w:t>
      </w:r>
      <w:r>
        <w:rPr>
          <w:b/>
          <w:bCs/>
        </w:rPr>
        <w:t xml:space="preserve">acción sinérgica y complementariedad tecnológica</w:t>
      </w:r>
      <w:r>
        <w:t xml:space="preserve">.</w:t>
      </w:r>
    </w:p>
    <w:p>
      <w:pPr>
        <w:pStyle w:val="BodyText"/>
      </w:pPr>
      <w:r>
        <w:t xml:space="preserve">Bajo este modelo sinérgico, la política institucional establece que:</w:t>
      </w:r>
      <w:r>
        <w:t xml:space="preserve"> </w:t>
      </w:r>
      <w:r>
        <w:t xml:space="preserve">1.</w:t>
      </w:r>
      <w:r>
        <w:t xml:space="preserve"> </w:t>
      </w:r>
      <w:r>
        <w:rPr>
          <w:b/>
          <w:bCs/>
        </w:rPr>
        <w:t xml:space="preserve">Validación del Flujo de Trabajo Existente:</w:t>
      </w:r>
      <w:r>
        <w:t xml:space="preserve"> </w:t>
      </w:r>
      <w:r>
        <w:t xml:space="preserve">El INECOL reconoce a GenBank como la infraestructura primaria idónea para el alojamiento de datos genómicos crudos y ensamblajes moleculares debido a su nivel de especialización ultra-esencial.</w:t>
      </w:r>
      <w:r>
        <w:t xml:space="preserve"> </w:t>
      </w:r>
      <w:r>
        <w:t xml:space="preserve">2.</w:t>
      </w:r>
      <w:r>
        <w:t xml:space="preserve"> </w:t>
      </w:r>
      <w:r>
        <w:rPr>
          <w:b/>
          <w:bCs/>
        </w:rPr>
        <w:t xml:space="preserve">Cosecha de Identificadores y Enlace Institucional:</w:t>
      </w:r>
      <w:r>
        <w:t xml:space="preserve"> </w:t>
      </w:r>
      <w:r>
        <w:t xml:space="preserve">El repositorio del INECOL funcionará como un agregador institucional. En lugar de exigir la resubida física de archivos FASTQ o FASTA masivos al servidor local, el investigador registrará en el Servidor del INECOL el</w:t>
      </w:r>
      <w:r>
        <w:t xml:space="preserve"> </w:t>
      </w:r>
      <w:r>
        <w:rPr>
          <w:b/>
          <w:bCs/>
        </w:rPr>
        <w:t xml:space="preserve">número de accesión (Accession Number) o el DOI provisto por GenBank</w:t>
      </w:r>
      <w:r>
        <w:t xml:space="preserve">, acompañado de los metadatos contextuales del proyecto, la muestra biológica y la financiación de la</w:t>
      </w:r>
      <w:r>
        <w:t xml:space="preserve"> </w:t>
      </w:r>
      <w:r>
        <w:rPr>
          <w:b/>
          <w:bCs/>
        </w:rPr>
        <w:t xml:space="preserve">SECIHTI</w:t>
      </w:r>
      <w:r>
        <w:t xml:space="preserve">.</w:t>
      </w:r>
      <w:r>
        <w:t xml:space="preserve"> </w:t>
      </w:r>
      <w:r>
        <w:t xml:space="preserve">3.</w:t>
      </w:r>
      <w:r>
        <w:t xml:space="preserve"> </w:t>
      </w:r>
      <w:r>
        <w:rPr>
          <w:b/>
          <w:bCs/>
        </w:rPr>
        <w:t xml:space="preserve">Capitalización del Patrimonio Científico:</w:t>
      </w:r>
      <w:r>
        <w:t xml:space="preserve"> </w:t>
      </w:r>
      <w:r>
        <w:t xml:space="preserve">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bookmarkEnd w:id="28"/>
    <w:bookmarkStart w:id="29" w:name="X82169622ff85fa1068202aeda77feb0b6070df7"/>
    <w:p>
      <w:pPr>
        <w:pStyle w:val="Heading3"/>
      </w:pPr>
      <w:r>
        <w:t xml:space="preserve">1.0.9 Conclusión Estratégica: El Enfoque Híbrido</w:t>
      </w:r>
    </w:p>
    <w:p>
      <w:pPr>
        <w:pStyle w:val="FirstParagraph"/>
      </w:pP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Las alianzas interinstitucionales son también el núcleo estratégicon para consolidar la oferta de datos abiertos. El Servidor del INECOL, en nuestro caso, constituye así nuestra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sus científicos.</w:t>
      </w:r>
    </w:p>
    <w:bookmarkEnd w:id="29"/>
    <w:bookmarkEnd w:id="30"/>
    <w:bookmarkStart w:id="33" w:name="cambio-de-conahcyt-a-secihti"/>
    <w:p>
      <w:pPr>
        <w:pStyle w:val="Heading1"/>
      </w:pPr>
      <w:r>
        <w:t xml:space="preserve">2.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31" w:name="X39e3a0563555eae314686bd853b8310055594ac"/>
    <w:p>
      <w:pPr>
        <w:pStyle w:val="Heading3"/>
      </w:pPr>
      <w:r>
        <w:t xml:space="preserve">2.0.1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4"/>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5"/>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31"/>
    <w:bookmarkStart w:id="32" w:name="Xba4d79491cbbb18e319061a96d7b4b175a84ee8"/>
    <w:p>
      <w:pPr>
        <w:pStyle w:val="Heading3"/>
      </w:pPr>
      <w:r>
        <w:t xml:space="preserve">2.0.2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6"/>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7"/>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32"/>
    <w:bookmarkEnd w:id="33"/>
    <w:bookmarkStart w:id="54" w:name="zenodo-como-ejemplo"/>
    <w:p>
      <w:pPr>
        <w:pStyle w:val="Heading1"/>
      </w:pPr>
      <w:r>
        <w:t xml:space="preserve">3.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34" w:name="X38bc9895e841af86c922d3108004ba5bf0959df"/>
    <w:p>
      <w:pPr>
        <w:pStyle w:val="Heading3"/>
      </w:pPr>
      <w:r>
        <w:t xml:space="preserve">3.0.1 1. Alcance, Contenido y Depositantes (Políticas de Zenodo)</w:t>
      </w:r>
    </w:p>
    <w:p>
      <w:pPr>
        <w:pStyle w:val="Compact"/>
        <w:numPr>
          <w:ilvl w:val="0"/>
          <w:numId w:val="1008"/>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08"/>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08"/>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08"/>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34"/>
    <w:bookmarkStart w:id="35" w:name="Xfa8e2c8b7a0f9dfeb5c9386d331f22853c3453e"/>
    <w:p>
      <w:pPr>
        <w:pStyle w:val="Heading3"/>
      </w:pPr>
      <w:r>
        <w:t xml:space="preserve">3.0.2 2. Responsabilidad Legal y Propiedad Intelectual</w:t>
      </w:r>
    </w:p>
    <w:p>
      <w:pPr>
        <w:pStyle w:val="Compact"/>
        <w:numPr>
          <w:ilvl w:val="0"/>
          <w:numId w:val="1009"/>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09"/>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09"/>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35"/>
    <w:bookmarkStart w:id="36" w:name="X7623938980cfe5cfebf525c12cdf262807bd78a"/>
    <w:p>
      <w:pPr>
        <w:pStyle w:val="Heading3"/>
      </w:pPr>
      <w:r>
        <w:t xml:space="preserve">3.0.3 3. Privacidad y Datos Sensibles (El cruce con el GDPR)</w:t>
      </w:r>
    </w:p>
    <w:p>
      <w:pPr>
        <w:pStyle w:val="Compact"/>
        <w:numPr>
          <w:ilvl w:val="0"/>
          <w:numId w:val="1010"/>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10"/>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36"/>
    <w:bookmarkStart w:id="37" w:name="niveles-de-acceso-y-modificaciones"/>
    <w:p>
      <w:pPr>
        <w:pStyle w:val="Heading3"/>
      </w:pPr>
      <w:r>
        <w:t xml:space="preserve">3.0.4 4. Niveles de Acceso y Modificaciones</w:t>
      </w:r>
    </w:p>
    <w:p>
      <w:pPr>
        <w:numPr>
          <w:ilvl w:val="0"/>
          <w:numId w:val="1011"/>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1"/>
        </w:numPr>
      </w:pPr>
      <w:r>
        <w:rPr>
          <w:b/>
          <w:bCs/>
        </w:rPr>
        <w:t xml:space="preserve">Acceso abierto (Open Access):</w:t>
      </w:r>
      <w:r>
        <w:t xml:space="preserve"> </w:t>
      </w:r>
      <w:r>
        <w:t xml:space="preserve">Disponible de inmediato.</w:t>
      </w:r>
    </w:p>
    <w:p>
      <w:pPr>
        <w:numPr>
          <w:ilvl w:val="0"/>
          <w:numId w:val="1011"/>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1"/>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1"/>
        </w:numPr>
      </w:pPr>
      <w:r>
        <w:rPr>
          <w:b/>
          <w:bCs/>
        </w:rPr>
        <w:t xml:space="preserve">Acceso cerrado (Closed):</w:t>
      </w:r>
      <w:r>
        <w:t xml:space="preserve"> </w:t>
      </w:r>
      <w:r>
        <w:t xml:space="preserve">Solo el propietario puede ver los archivos (utilizado principalmente para preservación interna).</w:t>
      </w:r>
    </w:p>
    <w:p>
      <w:pPr>
        <w:numPr>
          <w:ilvl w:val="0"/>
          <w:numId w:val="1011"/>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37"/>
    <w:bookmarkStart w:id="38" w:name="X72cb5341b4578a3c9b8f92aca5bb9095bfca49b"/>
    <w:p>
      <w:pPr>
        <w:pStyle w:val="Heading3"/>
      </w:pPr>
      <w:r>
        <w:t xml:space="preserve">3.0.5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2"/>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2"/>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2"/>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38"/>
    <w:bookmarkStart w:id="39" w:name="resumen-de-la-perspectiva"/>
    <w:p>
      <w:pPr>
        <w:pStyle w:val="Heading3"/>
      </w:pPr>
      <w:r>
        <w:t xml:space="preserve">3.0.6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39"/>
    <w:bookmarkStart w:id="53" w:name="X449ed843dca3d710b52a002e436b372f618f80a"/>
    <w:p>
      <w:pPr>
        <w:pStyle w:val="Heading2"/>
      </w:pPr>
      <w:r>
        <w:t xml:space="preserve">3.1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44" w:name="Xcb906d6e330e04db78d4e8b5561744b23752659"/>
    <w:p>
      <w:pPr>
        <w:pStyle w:val="Heading3"/>
      </w:pPr>
      <w:r>
        <w:t xml:space="preserve">3.1.1 1. Documentos Principales de Política y Gobernanza</w:t>
      </w:r>
    </w:p>
    <w:bookmarkStart w:id="41" w:name="X90e22729b06a9cff907c9b257486cf978898c3a"/>
    <w:p>
      <w:pPr>
        <w:pStyle w:val="Heading4"/>
      </w:pPr>
      <w:r>
        <w:t xml:space="preserve">3.1.1.1 📄 Zenodo General Policies (Políticas Generales de Zenodo)</w:t>
      </w:r>
    </w:p>
    <w:p>
      <w:pPr>
        <w:pStyle w:val="Compact"/>
        <w:numPr>
          <w:ilvl w:val="0"/>
          <w:numId w:val="1013"/>
        </w:numPr>
      </w:pPr>
      <w:r>
        <w:rPr>
          <w:b/>
          <w:bCs/>
        </w:rPr>
        <w:t xml:space="preserve">Organización:</w:t>
      </w:r>
      <w:r>
        <w:t xml:space="preserve"> </w:t>
      </w:r>
      <w:r>
        <w:t xml:space="preserve">Zenodo / OpenAIRE / CERN</w:t>
      </w:r>
    </w:p>
    <w:p>
      <w:pPr>
        <w:pStyle w:val="Compact"/>
        <w:numPr>
          <w:ilvl w:val="0"/>
          <w:numId w:val="1013"/>
        </w:numPr>
      </w:pPr>
      <w:r>
        <w:rPr>
          <w:b/>
          <w:bCs/>
        </w:rPr>
        <w:t xml:space="preserve">Ámbito:</w:t>
      </w:r>
      <w:r>
        <w:t xml:space="preserve"> </w:t>
      </w:r>
      <w:r>
        <w:t xml:space="preserve">Normativa principal para usuarios y depositantes.</w:t>
      </w:r>
    </w:p>
    <w:p>
      <w:pPr>
        <w:pStyle w:val="Compact"/>
        <w:numPr>
          <w:ilvl w:val="0"/>
          <w:numId w:val="1013"/>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3"/>
        </w:numPr>
      </w:pPr>
      <w:r>
        <w:rPr>
          <w:b/>
          <w:bCs/>
        </w:rPr>
        <w:t xml:space="preserve">Fuente/Enlace:</w:t>
      </w:r>
      <w:r>
        <w:t xml:space="preserve"> </w:t>
      </w:r>
      <w:hyperlink r:id="rId40">
        <w:r>
          <w:rPr>
            <w:rStyle w:val="Hyperlink"/>
          </w:rPr>
          <w:t xml:space="preserve">https://about.zenodo.org/policies/</w:t>
        </w:r>
      </w:hyperlink>
    </w:p>
    <w:bookmarkEnd w:id="41"/>
    <w:bookmarkStart w:id="43" w:name="X4f162501dc14a3988dcc7871e13cc20f9aec268"/>
    <w:p>
      <w:pPr>
        <w:pStyle w:val="Heading4"/>
      </w:pPr>
      <w:r>
        <w:t xml:space="preserve">3.1.1.2 📄 CERN Operational Circular No. 11 Rev. 1 (Circular Operacional del CERN No. 11)</w:t>
      </w:r>
    </w:p>
    <w:p>
      <w:pPr>
        <w:pStyle w:val="Compact"/>
        <w:numPr>
          <w:ilvl w:val="0"/>
          <w:numId w:val="1014"/>
        </w:numPr>
      </w:pPr>
      <w:r>
        <w:rPr>
          <w:b/>
          <w:bCs/>
        </w:rPr>
        <w:t xml:space="preserve">Organización:</w:t>
      </w:r>
      <w:r>
        <w:t xml:space="preserve"> </w:t>
      </w:r>
      <w:r>
        <w:t xml:space="preserve">Organización Europea para la Investigación Nuclear (CERN)</w:t>
      </w:r>
    </w:p>
    <w:p>
      <w:pPr>
        <w:pStyle w:val="Compact"/>
        <w:numPr>
          <w:ilvl w:val="0"/>
          <w:numId w:val="1014"/>
        </w:numPr>
      </w:pPr>
      <w:r>
        <w:rPr>
          <w:b/>
          <w:bCs/>
        </w:rPr>
        <w:t xml:space="preserve">Ámbito:</w:t>
      </w:r>
      <w:r>
        <w:t xml:space="preserve"> </w:t>
      </w:r>
      <w:r>
        <w:t xml:space="preserve">Marco institucional y legal de nivel macro.</w:t>
      </w:r>
    </w:p>
    <w:p>
      <w:pPr>
        <w:pStyle w:val="Compact"/>
        <w:numPr>
          <w:ilvl w:val="0"/>
          <w:numId w:val="1014"/>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4"/>
        </w:numPr>
      </w:pPr>
      <w:r>
        <w:rPr>
          <w:b/>
          <w:bCs/>
        </w:rPr>
        <w:t xml:space="preserve">Fuente/Enlace:</w:t>
      </w:r>
      <w:r>
        <w:t xml:space="preserve"> </w:t>
      </w:r>
      <w:hyperlink r:id="rId42">
        <w:r>
          <w:rPr>
            <w:rStyle w:val="Hyperlink"/>
          </w:rPr>
          <w:t xml:space="preserve">https://repository.cern/records/xgq3r-6yc67/preview/Operational%20Circular%20No.11%20Rev.1.pdf</w:t>
        </w:r>
      </w:hyperlink>
    </w:p>
    <w:bookmarkEnd w:id="43"/>
    <w:bookmarkEnd w:id="44"/>
    <w:bookmarkStart w:id="49" w:name="X310d5ae13e9b57819c0eeae54025fdcba2b8dde"/>
    <w:p>
      <w:pPr>
        <w:pStyle w:val="Heading3"/>
      </w:pPr>
      <w:r>
        <w:t xml:space="preserve">3.1.2 2. Términos de Servicio y Privacidad (Soporte Técnico-Legal)</w:t>
      </w:r>
    </w:p>
    <w:bookmarkStart w:id="46" w:name="X513cc11dfdf87eb80b2859a88a0518c526a45f9"/>
    <w:p>
      <w:pPr>
        <w:pStyle w:val="Heading4"/>
      </w:pPr>
      <w:r>
        <w:t xml:space="preserve">3.1.2.1 📄 Zenodo Terms of Service (Términos del Servicio de Zenodo)</w:t>
      </w:r>
    </w:p>
    <w:p>
      <w:pPr>
        <w:pStyle w:val="Compact"/>
        <w:numPr>
          <w:ilvl w:val="0"/>
          <w:numId w:val="1015"/>
        </w:numPr>
      </w:pPr>
      <w:r>
        <w:rPr>
          <w:b/>
          <w:bCs/>
        </w:rPr>
        <w:t xml:space="preserve">Organización:</w:t>
      </w:r>
      <w:r>
        <w:t xml:space="preserve"> </w:t>
      </w:r>
      <w:r>
        <w:t xml:space="preserve">Zenodo / CERN</w:t>
      </w:r>
    </w:p>
    <w:p>
      <w:pPr>
        <w:pStyle w:val="Compact"/>
        <w:numPr>
          <w:ilvl w:val="0"/>
          <w:numId w:val="1015"/>
        </w:numPr>
      </w:pPr>
      <w:r>
        <w:rPr>
          <w:b/>
          <w:bCs/>
        </w:rPr>
        <w:t xml:space="preserve">Ámbito:</w:t>
      </w:r>
      <w:r>
        <w:t xml:space="preserve"> </w:t>
      </w:r>
      <w:r>
        <w:t xml:space="preserve">Contrato de adhesión para los depositantes de datos.</w:t>
      </w:r>
    </w:p>
    <w:p>
      <w:pPr>
        <w:pStyle w:val="Compact"/>
        <w:numPr>
          <w:ilvl w:val="0"/>
          <w:numId w:val="1015"/>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5"/>
        </w:numPr>
      </w:pPr>
      <w:r>
        <w:rPr>
          <w:b/>
          <w:bCs/>
        </w:rPr>
        <w:t xml:space="preserve">Fuente/Enlace:</w:t>
      </w:r>
      <w:r>
        <w:t xml:space="preserve"> </w:t>
      </w:r>
      <w:hyperlink r:id="rId45">
        <w:r>
          <w:rPr>
            <w:rStyle w:val="Hyperlink"/>
          </w:rPr>
          <w:t xml:space="preserve">https://about.zenodo.org/terms/</w:t>
        </w:r>
      </w:hyperlink>
    </w:p>
    <w:bookmarkEnd w:id="46"/>
    <w:bookmarkStart w:id="48" w:name="X3984e5fdca23071096195afb4c53d62c06cd849"/>
    <w:p>
      <w:pPr>
        <w:pStyle w:val="Heading4"/>
      </w:pPr>
      <w:r>
        <w:t xml:space="preserve">3.1.2.2 📄 CERN Data Protection Privacy Notice - Zenodo (Aviso de Privacidad de Datos del CERN)</w:t>
      </w:r>
    </w:p>
    <w:p>
      <w:pPr>
        <w:pStyle w:val="Compact"/>
        <w:numPr>
          <w:ilvl w:val="0"/>
          <w:numId w:val="1016"/>
        </w:numPr>
      </w:pPr>
      <w:r>
        <w:rPr>
          <w:b/>
          <w:bCs/>
        </w:rPr>
        <w:t xml:space="preserve">Organización:</w:t>
      </w:r>
      <w:r>
        <w:t xml:space="preserve"> </w:t>
      </w:r>
      <w:r>
        <w:t xml:space="preserve">CERN Data Protection Officer</w:t>
      </w:r>
    </w:p>
    <w:p>
      <w:pPr>
        <w:pStyle w:val="Compact"/>
        <w:numPr>
          <w:ilvl w:val="0"/>
          <w:numId w:val="1016"/>
        </w:numPr>
      </w:pPr>
      <w:r>
        <w:rPr>
          <w:b/>
          <w:bCs/>
        </w:rPr>
        <w:t xml:space="preserve">Ámbito:</w:t>
      </w:r>
      <w:r>
        <w:t xml:space="preserve"> </w:t>
      </w:r>
      <w:r>
        <w:t xml:space="preserve">Cumplimiento de protección de datos personales.</w:t>
      </w:r>
    </w:p>
    <w:p>
      <w:pPr>
        <w:pStyle w:val="Compact"/>
        <w:numPr>
          <w:ilvl w:val="0"/>
          <w:numId w:val="1016"/>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6"/>
        </w:numPr>
      </w:pPr>
      <w:r>
        <w:rPr>
          <w:b/>
          <w:bCs/>
        </w:rPr>
        <w:t xml:space="preserve">Fuente/Enlace:</w:t>
      </w:r>
      <w:r>
        <w:t xml:space="preserve"> </w:t>
      </w:r>
      <w:hyperlink r:id="rId47">
        <w:r>
          <w:rPr>
            <w:rStyle w:val="Hyperlink"/>
          </w:rPr>
          <w:t xml:space="preserve">https://about.zenodo.org/privacy-policy/</w:t>
        </w:r>
      </w:hyperlink>
    </w:p>
    <w:bookmarkEnd w:id="48"/>
    <w:bookmarkEnd w:id="49"/>
    <w:bookmarkStart w:id="52" w:name="arquitectura-de-datos-y-preservación"/>
    <w:p>
      <w:pPr>
        <w:pStyle w:val="Heading3"/>
      </w:pPr>
      <w:r>
        <w:t xml:space="preserve">3.1.3 3. Arquitectura de Datos y Preservación</w:t>
      </w:r>
    </w:p>
    <w:bookmarkStart w:id="51" w:name="X2167fbb3a4db5a35156a5ab1f287fc81650a9c9"/>
    <w:p>
      <w:pPr>
        <w:pStyle w:val="Heading4"/>
      </w:pPr>
      <w:r>
        <w:t xml:space="preserve">3.1.3.1 📄 Zenodo Data Preservation Plan (Plan de Preservación a Largo Plazo)</w:t>
      </w:r>
    </w:p>
    <w:p>
      <w:pPr>
        <w:pStyle w:val="Compact"/>
        <w:numPr>
          <w:ilvl w:val="0"/>
          <w:numId w:val="1017"/>
        </w:numPr>
      </w:pPr>
      <w:r>
        <w:rPr>
          <w:b/>
          <w:bCs/>
        </w:rPr>
        <w:t xml:space="preserve">Organización:</w:t>
      </w:r>
      <w:r>
        <w:t xml:space="preserve"> </w:t>
      </w:r>
      <w:r>
        <w:t xml:space="preserve">CERN Data Centre / OpenAIRE</w:t>
      </w:r>
    </w:p>
    <w:p>
      <w:pPr>
        <w:pStyle w:val="Compact"/>
        <w:numPr>
          <w:ilvl w:val="0"/>
          <w:numId w:val="1017"/>
        </w:numPr>
      </w:pPr>
      <w:r>
        <w:rPr>
          <w:b/>
          <w:bCs/>
        </w:rPr>
        <w:t xml:space="preserve">Ámbito:</w:t>
      </w:r>
      <w:r>
        <w:t xml:space="preserve"> </w:t>
      </w:r>
      <w:r>
        <w:t xml:space="preserve">Infraestructura y resiliencia tecnológica.</w:t>
      </w:r>
    </w:p>
    <w:p>
      <w:pPr>
        <w:pStyle w:val="Compact"/>
        <w:numPr>
          <w:ilvl w:val="0"/>
          <w:numId w:val="1017"/>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7"/>
        </w:numPr>
      </w:pPr>
      <w:r>
        <w:rPr>
          <w:b/>
          <w:bCs/>
        </w:rPr>
        <w:t xml:space="preserve">Fuente/Enlace:</w:t>
      </w:r>
      <w:r>
        <w:t xml:space="preserve"> </w:t>
      </w:r>
      <w:hyperlink r:id="rId50">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51"/>
    <w:bookmarkEnd w:id="52"/>
    <w:bookmarkEnd w:id="53"/>
    <w:bookmarkEnd w:id="54"/>
    <w:bookmarkStart w:id="61" w:name="lecciones-aprendidad-de-zenodo"/>
    <w:p>
      <w:pPr>
        <w:pStyle w:val="Heading1"/>
      </w:pPr>
      <w:r>
        <w:t xml:space="preserve">4.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55" w:name="Xa6a8ff8539510f36c4fa646195cacaa258faeb1"/>
    <w:p>
      <w:pPr>
        <w:pStyle w:val="Heading3"/>
      </w:pPr>
      <w:r>
        <w:t xml:space="preserve">4.0.1 1. Inmutabilidad, Trazabilidad y el</w:t>
      </w:r>
      <w:r>
        <w:t xml:space="preserve"> </w:t>
      </w:r>
      <w:r>
        <w:t xml:space="preserve">“Falso Miedo”</w:t>
      </w:r>
      <w:r>
        <w:t xml:space="preserve"> </w:t>
      </w:r>
      <w:r>
        <w:t xml:space="preserve">al Plagio</w:t>
      </w:r>
    </w:p>
    <w:p>
      <w:pPr>
        <w:pStyle w:val="Compact"/>
        <w:numPr>
          <w:ilvl w:val="0"/>
          <w:numId w:val="1018"/>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18"/>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18"/>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55"/>
    <w:bookmarkStart w:id="56" w:name="X9e58660a33098b057eb289fe2e9431833795a6d"/>
    <w:p>
      <w:pPr>
        <w:pStyle w:val="Heading3"/>
      </w:pPr>
      <w:r>
        <w:t xml:space="preserve">4.0.2 2. Deslinde de Responsabilidad Legal y Curaduría Técnica</w:t>
      </w:r>
    </w:p>
    <w:p>
      <w:pPr>
        <w:pStyle w:val="Compact"/>
        <w:numPr>
          <w:ilvl w:val="0"/>
          <w:numId w:val="1019"/>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19"/>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19"/>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56"/>
    <w:bookmarkStart w:id="57" w:name="Xb6b9af8cd6ff7779318196b98522c429f6b3dfe"/>
    <w:p>
      <w:pPr>
        <w:pStyle w:val="Heading3"/>
      </w:pPr>
      <w:r>
        <w:t xml:space="preserve">4.0.3 3. El Destino de los Metadatos en el Acceso Cerrado/Embargado</w:t>
      </w:r>
    </w:p>
    <w:p>
      <w:pPr>
        <w:pStyle w:val="Compact"/>
        <w:numPr>
          <w:ilvl w:val="0"/>
          <w:numId w:val="1020"/>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20"/>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57"/>
    <w:bookmarkStart w:id="58" w:name="X759b13b4a7d9a58cd20c23a6a4871ef2023ce26"/>
    <w:p>
      <w:pPr>
        <w:pStyle w:val="Heading3"/>
      </w:pPr>
      <w:r>
        <w:t xml:space="preserve">4.0.4 4. Sostenibilidad Financiera y el</w:t>
      </w:r>
      <w:r>
        <w:t xml:space="preserve"> </w:t>
      </w:r>
      <w:r>
        <w:t xml:space="preserve">“Ciclo de Vida”</w:t>
      </w:r>
      <w:r>
        <w:t xml:space="preserve"> </w:t>
      </w:r>
      <w:r>
        <w:t xml:space="preserve">de la Infraestructura</w:t>
      </w:r>
    </w:p>
    <w:p>
      <w:pPr>
        <w:pStyle w:val="Compact"/>
        <w:numPr>
          <w:ilvl w:val="0"/>
          <w:numId w:val="1021"/>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1"/>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1"/>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58"/>
    <w:bookmarkStart w:id="60" w:name="Xdc44c27b2e5685044753f9c3927c7b893e0f0c6"/>
    <w:p>
      <w:pPr>
        <w:pStyle w:val="Heading2"/>
      </w:pPr>
      <w:r>
        <w:t xml:space="preserve">4.1 Sugerencias concretas para Enriquecer la propuesta</w:t>
      </w:r>
    </w:p>
    <w:p>
      <w:pPr>
        <w:pStyle w:val="Compact"/>
        <w:numPr>
          <w:ilvl w:val="0"/>
          <w:numId w:val="1022"/>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2"/>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59" w:name="X8e267c338efdbe71f92923fe4a7670fda865a75"/>
    <w:p>
      <w:pPr>
        <w:pStyle w:val="Heading3"/>
      </w:pPr>
      <w:r>
        <w:t xml:space="preserve">4.1.1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59"/>
    <w:bookmarkEnd w:id="60"/>
    <w:bookmarkEnd w:id="61"/>
    <w:bookmarkStart w:id="65" w:name="Xc2f61c3795a40a48121e131054998b241904a0c"/>
    <w:p>
      <w:pPr>
        <w:pStyle w:val="Heading1"/>
      </w:pPr>
      <w:r>
        <w:t xml:space="preserve">5. Prepublicación de Datos y Artículos de Datos (</w:t>
      </w:r>
      <w:r>
        <w:rPr>
          <w:i/>
          <w:iCs/>
        </w:rPr>
        <w:t xml:space="preserve">Data Papers</w:t>
      </w:r>
      <w:r>
        <w:t xml:space="preserve">)</w:t>
      </w:r>
    </w:p>
    <w:bookmarkStart w:id="63" w:name="X8a93c840a2af8e9e3adc91e42f49f5217ba3dba"/>
    <w:p>
      <w:pPr>
        <w:pStyle w:val="Heading3"/>
      </w:pPr>
      <w:r>
        <w:t xml:space="preserve">5.0.1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62" w:name="Xb5d00a5f3d726f6a7d8a3f6d5d595aeaf953455"/>
    <w:p>
      <w:pPr>
        <w:pStyle w:val="Heading5"/>
      </w:pPr>
      <w:r>
        <w:t xml:space="preserve">5.0.1.0.1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3"/>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3"/>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3"/>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62"/>
    <w:bookmarkEnd w:id="63"/>
    <w:bookmarkStart w:id="64" w:name="X6ffc653eb435ac1ed8481dd44f01a9004658731"/>
    <w:p>
      <w:pPr>
        <w:pStyle w:val="Heading3"/>
      </w:pPr>
      <w:r>
        <w:t xml:space="preserve">5.0.2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64"/>
    <w:bookmarkEnd w:id="65"/>
    <w:bookmarkStart w:id="71" w:name="principios-fair"/>
    <w:p>
      <w:pPr>
        <w:pStyle w:val="Heading1"/>
      </w:pPr>
      <w:r>
        <w:t xml:space="preserve">6. Principios FAIR</w:t>
      </w:r>
    </w:p>
    <w:bookmarkStart w:id="66" w:name="los-principios-fair-como-infraestructura"/>
    <w:p>
      <w:pPr>
        <w:pStyle w:val="Heading3"/>
      </w:pPr>
      <w:r>
        <w:t xml:space="preserve">6.0.1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66"/>
    <w:bookmarkStart w:id="70" w:name="sugerencias-para-los-lineamientos-inecol"/>
    <w:p>
      <w:pPr>
        <w:pStyle w:val="Heading3"/>
      </w:pPr>
      <w:r>
        <w:t xml:space="preserve">6.0.2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4"/>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4"/>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4"/>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67" w:name="X69ace5540f715b31ebbab0704a2e7e86c833f08"/>
    <w:p>
      <w:pPr>
        <w:pStyle w:val="Heading4"/>
      </w:pPr>
      <w:r>
        <w:t xml:space="preserve">6.0.2.1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5"/>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6"/>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67"/>
    <w:bookmarkStart w:id="68" w:name="X414019ba7cbbacc8cf0105242c85ea8c26429b1"/>
    <w:p>
      <w:pPr>
        <w:pStyle w:val="Heading4"/>
      </w:pPr>
      <w:r>
        <w:t xml:space="preserve">6.0.2.2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7"/>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28"/>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29"/>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30"/>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68"/>
    <w:bookmarkStart w:id="69" w:name="X441f9b4ee6a8f44196b69cd0c57fd4dccb11afd"/>
    <w:p>
      <w:pPr>
        <w:pStyle w:val="Heading4"/>
      </w:pPr>
      <w:r>
        <w:t xml:space="preserve">6.0.2.3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69"/>
    <w:bookmarkEnd w:id="70"/>
    <w:bookmarkEnd w:id="71"/>
    <w:bookmarkStart w:id="109" w:name="references"/>
    <w:p>
      <w:pPr>
        <w:pStyle w:val="Heading1"/>
      </w:pPr>
      <w:r>
        <w:t xml:space="preserve">References</w:t>
      </w:r>
    </w:p>
    <w:bookmarkStart w:id="108" w:name="refs"/>
    <w:bookmarkStart w:id="73" w:name="ref-cern_oc11_2001"/>
    <w:p>
      <w:pPr>
        <w:pStyle w:val="Bibliography"/>
      </w:pPr>
      <w:r>
        <w:t xml:space="preserve">CERN. 2001.</w:t>
      </w:r>
      <w:r>
        <w:t xml:space="preserve"> </w:t>
      </w:r>
      <w:r>
        <w:rPr>
          <w:i/>
          <w:iCs/>
        </w:rPr>
        <w:t xml:space="preserve">Operational Circular No. 11 Rev. 1: Principles governing the acquisition, ownership, protection, exploitation and transfer of intellectual property at CERN</w:t>
      </w:r>
      <w:r>
        <w:t xml:space="preserve">. Operational Circular OC No.11 Rev.1. European Organization for Nuclear Research (CERN).</w:t>
      </w:r>
      <w:r>
        <w:t xml:space="preserve"> </w:t>
      </w:r>
      <w:hyperlink r:id="rId72">
        <w:r>
          <w:rPr>
            <w:rStyle w:val="Hyperlink"/>
          </w:rPr>
          <w:t xml:space="preserve">[https://repository.cern/records/xgq3r-6yc67/](https://repository.cern/records/xgq3r-6yc67/)</w:t>
        </w:r>
      </w:hyperlink>
      <w:r>
        <w:t xml:space="preserve">.</w:t>
      </w:r>
    </w:p>
    <w:bookmarkEnd w:id="73"/>
    <w:bookmarkStart w:id="75"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74">
        <w:r>
          <w:rPr>
            <w:rStyle w:val="Hyperlink"/>
          </w:rPr>
          <w:t xml:space="preserve">https://doi.org/10.1371/journal.pone.0311493</w:t>
        </w:r>
      </w:hyperlink>
      <w:r>
        <w:t xml:space="preserve">.</w:t>
      </w:r>
    </w:p>
    <w:bookmarkEnd w:id="75"/>
    <w:bookmarkStart w:id="77"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76">
        <w:r>
          <w:rPr>
            <w:rStyle w:val="Hyperlink"/>
          </w:rPr>
          <w:t xml:space="preserve">https://doi.org/10.1371/journal.pone.0230416</w:t>
        </w:r>
      </w:hyperlink>
      <w:r>
        <w:t xml:space="preserve">.</w:t>
      </w:r>
    </w:p>
    <w:bookmarkEnd w:id="77"/>
    <w:bookmarkStart w:id="79"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78">
        <w:r>
          <w:rPr>
            <w:rStyle w:val="Hyperlink"/>
          </w:rPr>
          <w:t xml:space="preserve">https://doi.org/10.1038/sdata.2018.259</w:t>
        </w:r>
      </w:hyperlink>
      <w:r>
        <w:t xml:space="preserve">.</w:t>
      </w:r>
    </w:p>
    <w:bookmarkEnd w:id="79"/>
    <w:bookmarkStart w:id="81"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80">
        <w:r>
          <w:rPr>
            <w:rStyle w:val="Hyperlink"/>
          </w:rPr>
          <w:t xml:space="preserve">https://doi.org/10.1080/17538947.2022.2038596</w:t>
        </w:r>
      </w:hyperlink>
      <w:r>
        <w:t xml:space="preserve">.</w:t>
      </w:r>
    </w:p>
    <w:bookmarkEnd w:id="81"/>
    <w:bookmarkStart w:id="83"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82">
        <w:r>
          <w:rPr>
            <w:rStyle w:val="Hyperlink"/>
          </w:rPr>
          <w:t xml:space="preserve">https://doi.org/10.1098/rspb.2022.1113</w:t>
        </w:r>
      </w:hyperlink>
      <w:r>
        <w:t xml:space="preserve">.</w:t>
      </w:r>
    </w:p>
    <w:bookmarkEnd w:id="83"/>
    <w:bookmarkStart w:id="85"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84">
        <w:r>
          <w:rPr>
            <w:rStyle w:val="Hyperlink"/>
          </w:rPr>
          <w:t xml:space="preserve">https://www.inegi.org.mx/</w:t>
        </w:r>
      </w:hyperlink>
      <w:r>
        <w:t xml:space="preserve">.</w:t>
      </w:r>
    </w:p>
    <w:bookmarkEnd w:id="85"/>
    <w:bookmarkStart w:id="87"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86">
        <w:r>
          <w:rPr>
            <w:rStyle w:val="Hyperlink"/>
          </w:rPr>
          <w:t xml:space="preserve">https://doi.org/10.3897/biss.8.133089</w:t>
        </w:r>
      </w:hyperlink>
      <w:r>
        <w:t xml:space="preserve">.</w:t>
      </w:r>
    </w:p>
    <w:bookmarkEnd w:id="87"/>
    <w:bookmarkStart w:id="89"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88">
        <w:r>
          <w:rPr>
            <w:rStyle w:val="Hyperlink"/>
          </w:rPr>
          <w:t xml:space="preserve">https://doi.org/10.1016/j.ecoinf.2026.103712</w:t>
        </w:r>
      </w:hyperlink>
      <w:r>
        <w:t xml:space="preserve">.</w:t>
      </w:r>
    </w:p>
    <w:bookmarkEnd w:id="89"/>
    <w:bookmarkStart w:id="91"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90">
        <w:r>
          <w:rPr>
            <w:rStyle w:val="Hyperlink"/>
          </w:rPr>
          <w:t xml:space="preserve">https://doi.org/10.1016/j.tree.2023.10.005</w:t>
        </w:r>
      </w:hyperlink>
      <w:r>
        <w:t xml:space="preserve">.</w:t>
      </w:r>
    </w:p>
    <w:bookmarkEnd w:id="91"/>
    <w:bookmarkStart w:id="93"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92">
        <w:r>
          <w:rPr>
            <w:rStyle w:val="Hyperlink"/>
          </w:rPr>
          <w:t xml:space="preserve">https://doi.org/10.1016/j.envsci.2024.103980</w:t>
        </w:r>
      </w:hyperlink>
      <w:r>
        <w:t xml:space="preserve">.</w:t>
      </w:r>
    </w:p>
    <w:bookmarkEnd w:id="93"/>
    <w:bookmarkStart w:id="95"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94">
        <w:r>
          <w:rPr>
            <w:rStyle w:val="Hyperlink"/>
          </w:rPr>
          <w:t xml:space="preserve">https://doi.org/10.3897/rio.3.e12265</w:t>
        </w:r>
      </w:hyperlink>
      <w:r>
        <w:t xml:space="preserve">.</w:t>
      </w:r>
    </w:p>
    <w:bookmarkEnd w:id="95"/>
    <w:bookmarkStart w:id="97"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96">
        <w:r>
          <w:rPr>
            <w:rStyle w:val="Hyperlink"/>
          </w:rPr>
          <w:t xml:space="preserve">https://doi.org/10.3897/rio.10.e126588</w:t>
        </w:r>
      </w:hyperlink>
      <w:r>
        <w:t xml:space="preserve">.</w:t>
      </w:r>
    </w:p>
    <w:bookmarkEnd w:id="97"/>
    <w:bookmarkStart w:id="99" w:name="ref-sanchez_biodiversity_2022"/>
    <w:p>
      <w:pPr>
        <w:pStyle w:val="Bibliography"/>
      </w:pPr>
      <w:r>
        <w:t xml:space="preserve">Sánchez-Cordero, Víctor, Patricia Koleff, y Mariana Schmidt. 2022.</w:t>
      </w:r>
      <w:r>
        <w:t xml:space="preserve"> </w:t>
      </w:r>
      <w:r>
        <w:t xml:space="preserve">«Data standards and inter-institutional interoperability for conservation policies: The role of national repositories in Mexico»</w:t>
      </w:r>
      <w:r>
        <w:t xml:space="preserve">.</w:t>
      </w:r>
      <w:r>
        <w:t xml:space="preserve"> </w:t>
      </w:r>
      <w:r>
        <w:rPr>
          <w:i/>
          <w:iCs/>
        </w:rPr>
        <w:t xml:space="preserve">Biodiversity and Conservation</w:t>
      </w:r>
      <w:r>
        <w:t xml:space="preserve"> </w:t>
      </w:r>
      <w:r>
        <w:t xml:space="preserve">31 (8): 1945-63.</w:t>
      </w:r>
      <w:r>
        <w:t xml:space="preserve"> </w:t>
      </w:r>
      <w:hyperlink r:id="rId98">
        <w:r>
          <w:rPr>
            <w:rStyle w:val="Hyperlink"/>
          </w:rPr>
          <w:t xml:space="preserve">https://doi.org/10.1007/s10531-022-02410-y</w:t>
        </w:r>
      </w:hyperlink>
      <w:r>
        <w:t xml:space="preserve">.</w:t>
      </w:r>
    </w:p>
    <w:bookmarkEnd w:id="99"/>
    <w:bookmarkStart w:id="101"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100">
        <w:r>
          <w:rPr>
            <w:rStyle w:val="Hyperlink"/>
          </w:rPr>
          <w:t xml:space="preserve">https://doi.org/10.1007/s11192-020-03437-1</w:t>
        </w:r>
      </w:hyperlink>
      <w:r>
        <w:t xml:space="preserve">.</w:t>
      </w:r>
    </w:p>
    <w:bookmarkEnd w:id="101"/>
    <w:bookmarkStart w:id="103"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102">
        <w:r>
          <w:rPr>
            <w:rStyle w:val="Hyperlink"/>
          </w:rPr>
          <w:t xml:space="preserve">https://doi.org/10.1038/sdata.2016.18</w:t>
        </w:r>
      </w:hyperlink>
      <w:r>
        <w:t xml:space="preserve">.</w:t>
      </w:r>
    </w:p>
    <w:bookmarkEnd w:id="103"/>
    <w:bookmarkStart w:id="105"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104">
        <w:r>
          <w:rPr>
            <w:rStyle w:val="Hyperlink"/>
          </w:rPr>
          <w:t xml:space="preserve">https://doi.org/10.1002/fee.2618</w:t>
        </w:r>
      </w:hyperlink>
      <w:r>
        <w:t xml:space="preserve">.</w:t>
      </w:r>
    </w:p>
    <w:bookmarkEnd w:id="105"/>
    <w:bookmarkStart w:id="107" w:name="ref-zenodo_policies_2024"/>
    <w:p>
      <w:pPr>
        <w:pStyle w:val="Bibliography"/>
      </w:pPr>
      <w:r>
        <w:t xml:space="preserve">Zenodo. 2024.</w:t>
      </w:r>
      <w:r>
        <w:t xml:space="preserve"> </w:t>
      </w:r>
      <w:r>
        <w:rPr>
          <w:i/>
          <w:iCs/>
        </w:rPr>
        <w:t xml:space="preserve">Zenodo General Policies</w:t>
      </w:r>
      <w:r>
        <w:t xml:space="preserve">.</w:t>
      </w:r>
      <w:r>
        <w:t xml:space="preserve"> </w:t>
      </w:r>
      <w:hyperlink r:id="rId106">
        <w:r>
          <w:rPr>
            <w:rStyle w:val="Hyperlink"/>
          </w:rPr>
          <w:t xml:space="preserve">[Https://about.zenodo.org/policies/](https://about.zenodo.org/policies/)</w:t>
        </w:r>
      </w:hyperlink>
      <w:r>
        <w:t xml:space="preserve">; CERN / OpenAIRE.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6" Target="[https://about.zenodo.org/policies/](https://about.zenodo.org/policies/)" TargetMode="External" /><Relationship Type="http://schemas.openxmlformats.org/officeDocument/2006/relationships/hyperlink" Id="rId72" Target="[https://repository.cern/records/xgq3r-6yc67/](https://repository.cern/records/xgq3r-6yc67/)" TargetMode="External" /><Relationship Type="http://schemas.openxmlformats.org/officeDocument/2006/relationships/hyperlink" Id="rId50" Target="https://about.zenodo.org/infrastructure/" TargetMode="External" /><Relationship Type="http://schemas.openxmlformats.org/officeDocument/2006/relationships/hyperlink" Id="rId40" Target="https://about.zenodo.org/policies/" TargetMode="External" /><Relationship Type="http://schemas.openxmlformats.org/officeDocument/2006/relationships/hyperlink" Id="rId47" Target="https://about.zenodo.org/privacy-policy/" TargetMode="External" /><Relationship Type="http://schemas.openxmlformats.org/officeDocument/2006/relationships/hyperlink" Id="rId45" Target="https://about.zenodo.org/terms/" TargetMode="External" /><Relationship Type="http://schemas.openxmlformats.org/officeDocument/2006/relationships/hyperlink" Id="rId104" Target="https://doi.org/10.1002/fee.2618" TargetMode="External" /><Relationship Type="http://schemas.openxmlformats.org/officeDocument/2006/relationships/hyperlink" Id="rId98" Target="https://doi.org/10.1007/s10531-022-02410-y" TargetMode="External" /><Relationship Type="http://schemas.openxmlformats.org/officeDocument/2006/relationships/hyperlink" Id="rId100" Target="https://doi.org/10.1007/s11192-020-03437-1" TargetMode="External" /><Relationship Type="http://schemas.openxmlformats.org/officeDocument/2006/relationships/hyperlink" Id="rId88" Target="https://doi.org/10.1016/j.ecoinf.2026.103712" TargetMode="External" /><Relationship Type="http://schemas.openxmlformats.org/officeDocument/2006/relationships/hyperlink" Id="rId92" Target="https://doi.org/10.1016/j.envsci.2024.103980" TargetMode="External" /><Relationship Type="http://schemas.openxmlformats.org/officeDocument/2006/relationships/hyperlink" Id="rId90" Target="https://doi.org/10.1016/j.tree.2023.10.005" TargetMode="External" /><Relationship Type="http://schemas.openxmlformats.org/officeDocument/2006/relationships/hyperlink" Id="rId102" Target="https://doi.org/10.1038/sdata.2016.18" TargetMode="External" /><Relationship Type="http://schemas.openxmlformats.org/officeDocument/2006/relationships/hyperlink" Id="rId78" Target="https://doi.org/10.1038/sdata.2018.259" TargetMode="External" /><Relationship Type="http://schemas.openxmlformats.org/officeDocument/2006/relationships/hyperlink" Id="rId80" Target="https://doi.org/10.1080/17538947.2022.2038596" TargetMode="External" /><Relationship Type="http://schemas.openxmlformats.org/officeDocument/2006/relationships/hyperlink" Id="rId82" Target="https://doi.org/10.1098/rspb.2022.1113" TargetMode="External" /><Relationship Type="http://schemas.openxmlformats.org/officeDocument/2006/relationships/hyperlink" Id="rId76" Target="https://doi.org/10.1371/journal.pone.0230416" TargetMode="External" /><Relationship Type="http://schemas.openxmlformats.org/officeDocument/2006/relationships/hyperlink" Id="rId74" Target="https://doi.org/10.1371/journal.pone.0311493" TargetMode="External" /><Relationship Type="http://schemas.openxmlformats.org/officeDocument/2006/relationships/hyperlink" Id="rId86" Target="https://doi.org/10.3897/biss.8.133089" TargetMode="External" /><Relationship Type="http://schemas.openxmlformats.org/officeDocument/2006/relationships/hyperlink" Id="rId96" Target="https://doi.org/10.3897/rio.10.e126588" TargetMode="External" /><Relationship Type="http://schemas.openxmlformats.org/officeDocument/2006/relationships/hyperlink" Id="rId94"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2" Target="https://repository.cern/records/xgq3r-6yc67/preview/Operational%20Circular%20No.11%20Rev.1.pdf" TargetMode="External" /><Relationship Type="http://schemas.openxmlformats.org/officeDocument/2006/relationships/hyperlink" Id="rId84"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106" Target="[https://about.zenodo.org/policies/](https://about.zenodo.org/policies/)" TargetMode="External" /><Relationship Type="http://schemas.openxmlformats.org/officeDocument/2006/relationships/hyperlink" Id="rId72" Target="[https://repository.cern/records/xgq3r-6yc67/](https://repository.cern/records/xgq3r-6yc67/)" TargetMode="External" /><Relationship Type="http://schemas.openxmlformats.org/officeDocument/2006/relationships/hyperlink" Id="rId50" Target="https://about.zenodo.org/infrastructure/" TargetMode="External" /><Relationship Type="http://schemas.openxmlformats.org/officeDocument/2006/relationships/hyperlink" Id="rId40" Target="https://about.zenodo.org/policies/" TargetMode="External" /><Relationship Type="http://schemas.openxmlformats.org/officeDocument/2006/relationships/hyperlink" Id="rId47" Target="https://about.zenodo.org/privacy-policy/" TargetMode="External" /><Relationship Type="http://schemas.openxmlformats.org/officeDocument/2006/relationships/hyperlink" Id="rId45" Target="https://about.zenodo.org/terms/" TargetMode="External" /><Relationship Type="http://schemas.openxmlformats.org/officeDocument/2006/relationships/hyperlink" Id="rId104" Target="https://doi.org/10.1002/fee.2618" TargetMode="External" /><Relationship Type="http://schemas.openxmlformats.org/officeDocument/2006/relationships/hyperlink" Id="rId98" Target="https://doi.org/10.1007/s10531-022-02410-y" TargetMode="External" /><Relationship Type="http://schemas.openxmlformats.org/officeDocument/2006/relationships/hyperlink" Id="rId100" Target="https://doi.org/10.1007/s11192-020-03437-1" TargetMode="External" /><Relationship Type="http://schemas.openxmlformats.org/officeDocument/2006/relationships/hyperlink" Id="rId88" Target="https://doi.org/10.1016/j.ecoinf.2026.103712" TargetMode="External" /><Relationship Type="http://schemas.openxmlformats.org/officeDocument/2006/relationships/hyperlink" Id="rId92" Target="https://doi.org/10.1016/j.envsci.2024.103980" TargetMode="External" /><Relationship Type="http://schemas.openxmlformats.org/officeDocument/2006/relationships/hyperlink" Id="rId90" Target="https://doi.org/10.1016/j.tree.2023.10.005" TargetMode="External" /><Relationship Type="http://schemas.openxmlformats.org/officeDocument/2006/relationships/hyperlink" Id="rId102" Target="https://doi.org/10.1038/sdata.2016.18" TargetMode="External" /><Relationship Type="http://schemas.openxmlformats.org/officeDocument/2006/relationships/hyperlink" Id="rId78" Target="https://doi.org/10.1038/sdata.2018.259" TargetMode="External" /><Relationship Type="http://schemas.openxmlformats.org/officeDocument/2006/relationships/hyperlink" Id="rId80" Target="https://doi.org/10.1080/17538947.2022.2038596" TargetMode="External" /><Relationship Type="http://schemas.openxmlformats.org/officeDocument/2006/relationships/hyperlink" Id="rId82" Target="https://doi.org/10.1098/rspb.2022.1113" TargetMode="External" /><Relationship Type="http://schemas.openxmlformats.org/officeDocument/2006/relationships/hyperlink" Id="rId76" Target="https://doi.org/10.1371/journal.pone.0230416" TargetMode="External" /><Relationship Type="http://schemas.openxmlformats.org/officeDocument/2006/relationships/hyperlink" Id="rId74" Target="https://doi.org/10.1371/journal.pone.0311493" TargetMode="External" /><Relationship Type="http://schemas.openxmlformats.org/officeDocument/2006/relationships/hyperlink" Id="rId86" Target="https://doi.org/10.3897/biss.8.133089" TargetMode="External" /><Relationship Type="http://schemas.openxmlformats.org/officeDocument/2006/relationships/hyperlink" Id="rId96" Target="https://doi.org/10.3897/rio.10.e126588" TargetMode="External" /><Relationship Type="http://schemas.openxmlformats.org/officeDocument/2006/relationships/hyperlink" Id="rId94"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2" Target="https://repository.cern/records/xgq3r-6yc67/preview/Operational%20Circular%20No.11%20Rev.1.pdf" TargetMode="External" /><Relationship Type="http://schemas.openxmlformats.org/officeDocument/2006/relationships/hyperlink" Id="rId84"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2026-06-25T00:05:08Z</dcterms:created>
  <dcterms:modified xsi:type="dcterms:W3CDTF">2026-06-25T00:05:08Z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