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Arial" w:hAnsi="Arial"/>
          <w:b/>
          <w:color w:val="1565C0"/>
          <w:sz w:val="32"/>
        </w:rPr>
        <w:t>Robust Gibbs Free Energy Minimization for Chemical Equilibrium Calculations with Cubic Equations of State</w:t>
      </w:r>
    </w:p>
    <w:p>
      <w:pPr>
        <w:spacing w:after="120"/>
        <w:jc w:val="center"/>
      </w:pPr>
      <w:r>
        <w:rPr>
          <w:rFonts w:ascii="Arial" w:hAnsi="Arial"/>
          <w:sz w:val="24"/>
        </w:rPr>
        <w:t>[Author Name]</w:t>
      </w:r>
    </w:p>
    <w:p>
      <w:pPr>
        <w:spacing w:after="480"/>
        <w:jc w:val="center"/>
      </w:pPr>
      <w:r>
        <w:rPr>
          <w:rFonts w:ascii="Arial" w:hAnsi="Arial"/>
          <w:i/>
          <w:sz w:val="20"/>
        </w:rPr>
        <w:t>[Department, Institution, City, Country]</w:t>
      </w:r>
    </w:p>
    <w:p>
      <w:pPr>
        <w:spacing w:before="240"/>
      </w:pPr>
      <w:r>
        <w:rPr>
          <w:rFonts w:ascii="Arial" w:hAnsi="Arial"/>
          <w:b/>
          <w:color w:val="1565C0"/>
          <w:sz w:val="24"/>
        </w:rPr>
        <w:t>Highlights</w:t>
      </w:r>
    </w:p>
    <w:p>
      <w:pPr>
        <w:spacing w:after="40" w:line="240" w:lineRule="auto"/>
        <w:ind w:left="432"/>
      </w:pPr>
      <w:r>
        <w:rPr>
          <w:rFonts w:ascii="Arial" w:hAnsi="Arial"/>
          <w:sz w:val="20"/>
        </w:rPr>
        <w:t xml:space="preserve">•  </w:t>
      </w:r>
      <w:r>
        <w:rPr>
          <w:rFonts w:ascii="Arial" w:hAnsi="Arial"/>
          <w:sz w:val="20"/>
        </w:rPr>
        <w:t>17.8x iteration reduction on stiff Claus sulfur chemical equilibrium</w:t>
      </w:r>
    </w:p>
    <w:p>
      <w:pPr>
        <w:spacing w:after="40" w:line="240" w:lineRule="auto"/>
        <w:ind w:left="432"/>
      </w:pPr>
      <w:r>
        <w:rPr>
          <w:rFonts w:ascii="Arial" w:hAnsi="Arial"/>
          <w:sz w:val="20"/>
        </w:rPr>
        <w:t xml:space="preserve">•  </w:t>
      </w:r>
      <w:r>
        <w:rPr>
          <w:rFonts w:ascii="Arial" w:hAnsi="Arial"/>
          <w:sz w:val="20"/>
        </w:rPr>
        <w:t>Armijo backtracking line search for constrained Gibbs minimization</w:t>
      </w:r>
    </w:p>
    <w:p>
      <w:pPr>
        <w:spacing w:after="40" w:line="240" w:lineRule="auto"/>
        <w:ind w:left="432"/>
      </w:pPr>
      <w:r>
        <w:rPr>
          <w:rFonts w:ascii="Arial" w:hAnsi="Arial"/>
          <w:sz w:val="20"/>
        </w:rPr>
        <w:t xml:space="preserve">•  </w:t>
      </w:r>
      <w:r>
        <w:rPr>
          <w:rFonts w:ascii="Arial" w:hAnsi="Arial"/>
          <w:sz w:val="20"/>
        </w:rPr>
        <w:t>Tikhonov regularization handles ill-conditioned KKT Jacobians</w:t>
      </w:r>
    </w:p>
    <w:p>
      <w:pPr>
        <w:spacing w:after="40" w:line="240" w:lineRule="auto"/>
        <w:ind w:left="432"/>
      </w:pPr>
      <w:r>
        <w:rPr>
          <w:rFonts w:ascii="Arial" w:hAnsi="Arial"/>
          <w:sz w:val="20"/>
        </w:rPr>
        <w:t xml:space="preserve">•  </w:t>
      </w:r>
      <w:r>
        <w:rPr>
          <w:rFonts w:ascii="Arial" w:hAnsi="Arial"/>
          <w:sz w:val="20"/>
        </w:rPr>
        <w:t>Convergence diagnostics: Gibbs energy, condition number, mass balance</w:t>
      </w:r>
    </w:p>
    <w:p>
      <w:pPr>
        <w:spacing w:after="40" w:line="240" w:lineRule="auto"/>
        <w:ind w:left="432"/>
      </w:pPr>
      <w:r>
        <w:rPr>
          <w:rFonts w:ascii="Arial" w:hAnsi="Arial"/>
          <w:sz w:val="20"/>
        </w:rPr>
        <w:t xml:space="preserve">•  </w:t>
      </w:r>
      <w:r>
        <w:rPr>
          <w:rFonts w:ascii="Arial" w:hAnsi="Arial"/>
          <w:sz w:val="20"/>
        </w:rPr>
        <w:t>Open-source implementation validated on five reactive systems</w:t>
      </w:r>
    </w:p>
    <w:p/>
    <w:p>
      <w:pPr>
        <w:spacing w:before="240"/>
      </w:pPr>
      <w:r>
        <w:rPr>
          <w:rFonts w:ascii="Arial" w:hAnsi="Arial"/>
          <w:b/>
          <w:sz w:val="24"/>
        </w:rPr>
        <w:t>Abstract</w:t>
      </w:r>
    </w:p>
    <w:p>
      <w:pPr>
        <w:spacing w:line="360" w:lineRule="auto" w:after="0" w:before="0"/>
        <w:ind w:left="432" w:right="432"/>
      </w:pPr>
      <w:r>
        <w:rPr>
          <w:rFonts w:ascii="Times New Roman" w:hAnsi="Times New Roman"/>
          <w:sz w:val="20"/>
        </w:rPr>
        <w:t>Chemical equilibrium calculations via Gibbs free energy minimization are fundamental to process simulation and reactive system design. The standard Lagrangian Newton-Raphson method solves the Karush-Kuhn-Tucker system for element-balance-constrained minimization, but is only locally convergent; practical implementations rely on ad hoc damping. This paper presents three enhancements for Gibbs minimization coupled with cubic equations of state: (1) an Armijo backtracking line search guaranteeing monotonic Gibbs energy decrease, (2) Tikhonov regularization of the KKT Jacobian for ill-conditioned systems, and (3) an adaptive step-size limiter inspired by NASA CEA. All enhancements are integrated with the Soave-Redlich-Kwong equation of state in the open-source NeqSim library. Benchmarks on five systems — including methane combustion, ammonia synthesis at 300 bar, and Claus sulfur formation — show that the combined algorithm reduces iterations by up to 17.8</w:t>
      </w:r>
      <m:oMath>
        <m:r>
          <m:t>×</m:t>
        </m:r>
      </m:oMath>
      <w:r>
        <w:rPr>
          <w:rFonts w:ascii="Times New Roman" w:hAnsi="Times New Roman"/>
          <w:sz w:val="20"/>
        </w:rPr>
        <w:t xml:space="preserve"> on stiff systems (1776 to 100) while preserving compositions to within </w:t>
      </w:r>
      <m:oMath>
        <m:r>
          <m:t>4×</m:t>
        </m:r>
        <m:sSup>
          <m:e>
            <m:r>
              <m:t>10</m:t>
            </m:r>
          </m:e>
          <m:sup>
            <m:r>
              <m:t>−5</m:t>
            </m:r>
          </m:sup>
        </m:sSup>
      </m:oMath>
      <w:r>
        <w:rPr>
          <w:rFonts w:ascii="Times New Roman" w:hAnsi="Times New Roman"/>
          <w:sz w:val="20"/>
        </w:rPr>
        <w:t xml:space="preserve"> mole fraction. Convergence diagnostics provide quantitative insight into solver behavior.</w:t>
      </w:r>
    </w:p>
    <w:p/>
    <w:p>
      <w:r>
        <w:rPr>
          <w:rFonts w:ascii="Arial" w:hAnsi="Arial"/>
          <w:b/>
          <w:sz w:val="20"/>
        </w:rPr>
        <w:t xml:space="preserve">Keywords: </w:t>
      </w:r>
      <w:r>
        <w:rPr>
          <w:rFonts w:ascii="Arial" w:hAnsi="Arial"/>
          <w:i/>
          <w:sz w:val="20"/>
        </w:rPr>
        <w:t>Gibbs free energy minimization, chemical equilibrium, Newton-Raphson method, Armijo line search, Tikhonov regularization, equation of state</w:t>
      </w:r>
    </w:p>
    <w:p/>
    <w:p>
      <w:r>
        <w:br w:type="page"/>
      </w:r>
    </w:p>
    <w:p>
      <w:pPr>
        <w:spacing w:before="360" w:after="120"/>
      </w:pPr>
      <w:r>
        <w:rPr>
          <w:rFonts w:ascii="Arial" w:hAnsi="Arial"/>
          <w:b/>
          <w:sz w:val="26"/>
        </w:rPr>
        <w:t>1. Introduction</w:t>
      </w:r>
    </w:p>
    <w:p>
      <w:pPr>
        <w:spacing w:before="240" w:after="80"/>
      </w:pPr>
      <w:r>
        <w:rPr>
          <w:rFonts w:ascii="Arial" w:hAnsi="Arial"/>
          <w:b/>
          <w:sz w:val="22"/>
        </w:rPr>
        <w:t>1.1 Background</w:t>
      </w:r>
    </w:p>
    <w:p>
      <w:pPr>
        <w:spacing w:line="480" w:lineRule="auto"/>
      </w:pPr>
      <w:r>
        <w:rPr>
          <w:rFonts w:ascii="Times New Roman" w:hAnsi="Times New Roman"/>
          <w:sz w:val="22"/>
        </w:rPr>
        <w:t>The calculation of chemical equilibrium compositions is a fundamental problem in chemical engineering, combustion science, and materials processing. Given a set of chemical species at specified temperature and pressure, the equilibrium state corresponds to the global minimum of the total Gibbs free energy subject to conservation of chemical elements [19, 25].</w:t>
      </w:r>
    </w:p>
    <w:p>
      <w:pPr>
        <w:spacing w:line="480" w:lineRule="auto"/>
      </w:pPr>
      <w:r>
        <w:rPr>
          <w:rFonts w:ascii="Times New Roman" w:hAnsi="Times New Roman"/>
          <w:sz w:val="22"/>
        </w:rPr>
        <w:t>Two principal approaches exist for computing chemical equilibrium: the stoichiometric method, which parameterizes the problem in terms of extents of independent reactions, and the non-stoichiometric (direct minimization) method, which treats all species mole numbers as variables subject to element balance constraints [20]. The non-stoichiometric approach is more general because it does not require enumeration of independent reactions and handles systems where the reaction set is large or unknown [5].</w:t>
      </w:r>
    </w:p>
    <w:p>
      <w:pPr>
        <w:spacing w:line="480" w:lineRule="auto"/>
      </w:pPr>
      <w:r>
        <w:rPr>
          <w:rFonts w:ascii="Times New Roman" w:hAnsi="Times New Roman"/>
          <w:sz w:val="22"/>
        </w:rPr>
        <w:t>The most widely used non-stoichiometric formulation introduces Lagrange multipliers for the element mass balance constraints, leading to a system of nonlinear equations known as the Karush-Kuhn-Tucker (KKT) conditions [13, 19]. Newton-Raphson iteration on this KKT system is the standard solution method, used in major equilibrium codes including NASA CEA [5, 10], STANJAN [18], SOLGAS [4], and numerous process simulators.</w:t>
      </w:r>
    </w:p>
    <w:p>
      <w:pPr>
        <w:spacing w:line="480" w:lineRule="auto"/>
      </w:pPr>
      <w:r>
        <w:rPr>
          <w:rFonts w:ascii="Times New Roman" w:hAnsi="Times New Roman"/>
          <w:sz w:val="22"/>
        </w:rPr>
        <w:t>However, the Newton-Raphson method is only locally convergent. In practice, various step-control strategies are employed to extend the convergence domain:</w:t>
      </w:r>
    </w:p>
    <w:p>
      <w:pPr>
        <w:spacing w:after="40" w:line="480" w:lineRule="auto"/>
        <w:ind w:left="576"/>
      </w:pPr>
      <w:r>
        <w:rPr>
          <w:rFonts w:ascii="Times New Roman" w:hAnsi="Times New Roman"/>
          <w:sz w:val="22"/>
        </w:rPr>
        <w:t xml:space="preserve">•  </w:t>
      </w:r>
      <w:r>
        <w:rPr>
          <w:rFonts w:ascii="Times New Roman" w:hAnsi="Times New Roman"/>
          <w:b/>
          <w:sz w:val="22"/>
        </w:rPr>
        <w:t>Fixed damping</w:t>
      </w:r>
      <w:r>
        <w:rPr>
          <w:rFonts w:ascii="Times New Roman" w:hAnsi="Times New Roman"/>
          <w:sz w:val="22"/>
        </w:rPr>
        <w:t xml:space="preserve">, multiplying the Newton step by a constant factor </w:t>
      </w:r>
      <m:oMath>
        <m:d>
          <m:dPr>
            <m:begChr m:val=""/>
            <m:sepChr m:val=""/>
            <m:endChr m:val="]"/>
          </m:dPr>
          <m:e>
            <m:r>
              <m:t>α</m:t>
            </m:r>
            <m:r>
              <m:t>∈</m:t>
            </m:r>
            <m:r>
              <m:t>(</m:t>
            </m:r>
            <m:r>
              <m:t>0</m:t>
            </m:r>
            <m:r>
              <m:t>,</m:t>
            </m:r>
            <m:r>
              <m:t>1</m:t>
            </m:r>
          </m:e>
        </m:d>
      </m:oMath>
      <w:r>
        <w:rPr>
          <w:rFonts w:ascii="Times New Roman" w:hAnsi="Times New Roman"/>
          <w:sz w:val="22"/>
        </w:rPr>
        <w:t>, typically 0.01 to 0.1 [6]. Simple but overly conservative.</w:t>
      </w:r>
    </w:p>
    <w:p>
      <w:pPr>
        <w:spacing w:after="40" w:line="480" w:lineRule="auto"/>
        <w:ind w:left="576"/>
      </w:pPr>
      <w:r>
        <w:rPr>
          <w:rFonts w:ascii="Times New Roman" w:hAnsi="Times New Roman"/>
          <w:sz w:val="22"/>
        </w:rPr>
        <w:t xml:space="preserve">•  </w:t>
      </w:r>
      <w:r>
        <w:rPr>
          <w:rFonts w:ascii="Times New Roman" w:hAnsi="Times New Roman"/>
          <w:b/>
          <w:sz w:val="22"/>
        </w:rPr>
        <w:t>NASA CEA adaptive step limiting</w:t>
      </w:r>
      <w:r>
        <w:rPr>
          <w:rFonts w:ascii="Times New Roman" w:hAnsi="Times New Roman"/>
          <w:sz w:val="22"/>
        </w:rPr>
        <w:t>, bounding the maximum change in log-mole numbers per iteration [5]. Effective but specific to the log-mole formulation.</w:t>
      </w:r>
    </w:p>
    <w:p>
      <w:pPr>
        <w:spacing w:after="40" w:line="480" w:lineRule="auto"/>
        <w:ind w:left="576"/>
      </w:pPr>
      <w:r>
        <w:rPr>
          <w:rFonts w:ascii="Times New Roman" w:hAnsi="Times New Roman"/>
          <w:sz w:val="22"/>
        </w:rPr>
        <w:t xml:space="preserve">•  </w:t>
      </w:r>
      <w:r>
        <w:rPr>
          <w:rFonts w:ascii="Times New Roman" w:hAnsi="Times New Roman"/>
          <w:b/>
          <w:sz w:val="22"/>
        </w:rPr>
        <w:t>RAND method modifications</w:t>
      </w:r>
      <w:r>
        <w:rPr>
          <w:rFonts w:ascii="Times New Roman" w:hAnsi="Times New Roman"/>
          <w:sz w:val="22"/>
        </w:rPr>
        <w:t>, scaling the step based on the ratio of actual to predicted Gibbs energy decrease [23]. Requires careful tuning.</w:t>
      </w:r>
    </w:p>
    <w:p>
      <w:pPr>
        <w:spacing w:line="480" w:lineRule="auto"/>
      </w:pPr>
      <w:r>
        <w:rPr>
          <w:rFonts w:ascii="Times New Roman" w:hAnsi="Times New Roman"/>
          <w:sz w:val="22"/>
        </w:rPr>
        <w:t>None of these approaches provides a formal guarantee of monotonic decrease in the objective function. In optimization theory, such guarantees are provided by line search methods satisfying the Armijo condition [1, 15], which are standard in unconstrained optimization but have not been systematically applied to constrained Gibbs minimization with Lagrange multipliers.</w:t>
      </w:r>
    </w:p>
    <w:p>
      <w:pPr>
        <w:spacing w:line="480" w:lineRule="auto"/>
      </w:pPr>
      <w:r>
        <w:rPr>
          <w:rFonts w:ascii="Times New Roman" w:hAnsi="Times New Roman"/>
          <w:sz w:val="22"/>
        </w:rPr>
        <w:t>A second practical difficulty arises when the KKT Jacobian matrix becomes ill-conditioned. This occurs when some species are present in trace amounts, when the element balance matrix is nearly rank-deficient, or when the equation of state produces near-singular fugacity derivative matrices [9]. Standard Newton-Raphson produces unreliable steps in these situations.</w:t>
      </w:r>
    </w:p>
    <w:p>
      <w:pPr>
        <w:spacing w:line="480" w:lineRule="auto"/>
      </w:pPr>
      <w:r>
        <w:rPr>
          <w:rFonts w:ascii="Times New Roman" w:hAnsi="Times New Roman"/>
          <w:sz w:val="22"/>
        </w:rPr>
        <w:t>Most existing implementations assume ideal gas behavior or use activity coefficient models for the excess Gibbs energy [5, 19]. For process simulation at high pressures, cubic equations of state such as Soave-Redlich-Kwong [21] or Peng-Robinson [16] introduce additional complexity through fugacity coefficient derivatives that affect the Hessian matrix.</w:t>
      </w:r>
    </w:p>
    <w:p>
      <w:pPr>
        <w:spacing w:before="240" w:after="80"/>
      </w:pPr>
      <w:r>
        <w:rPr>
          <w:rFonts w:ascii="Arial" w:hAnsi="Arial"/>
          <w:b/>
          <w:sz w:val="22"/>
        </w:rPr>
        <w:t>1.2 Prior work</w:t>
      </w:r>
    </w:p>
    <w:p>
      <w:pPr>
        <w:spacing w:line="480" w:lineRule="auto"/>
      </w:pPr>
      <w:r>
        <w:rPr>
          <w:rFonts w:ascii="Times New Roman" w:hAnsi="Times New Roman"/>
          <w:sz w:val="22"/>
        </w:rPr>
        <w:t>White et al. [25] established the mathematical framework for Gibbs minimization as a constrained optimization problem and introduced Lagrange multipliers for the element balance constraints. Villars [24] developed early successive approximation methods for combustion equilibria.</w:t>
      </w:r>
    </w:p>
    <w:p>
      <w:pPr>
        <w:spacing w:line="480" w:lineRule="auto"/>
      </w:pPr>
      <w:r>
        <w:rPr>
          <w:rFonts w:ascii="Times New Roman" w:hAnsi="Times New Roman"/>
          <w:sz w:val="22"/>
        </w:rPr>
        <w:t>Gordon and McBride [5] created the NASA CEA code, which remains the standard reference implementation. CEA works in the log-mole number space, uses a steepest-descent correction to handle trace species, and employs adaptive step limiting based on the maximum correction magnitude. However, CEA is restricted to ideal gas or ideal condensed phases and does not incorporate equation-of-state non-ideality.</w:t>
      </w:r>
    </w:p>
    <w:p>
      <w:pPr>
        <w:spacing w:line="480" w:lineRule="auto"/>
      </w:pPr>
      <w:r>
        <w:rPr>
          <w:rFonts w:ascii="Times New Roman" w:hAnsi="Times New Roman"/>
          <w:sz w:val="22"/>
        </w:rPr>
        <w:t>Eriksson [4] developed SOLGAS for high-temperature equilibria, while Reynolds [18] created STANJAN using the element potential method. These methods handle ideal systems efficiently but face difficulties with non-ideal EOS.</w:t>
      </w:r>
    </w:p>
    <w:p>
      <w:pPr>
        <w:spacing w:line="480" w:lineRule="auto"/>
      </w:pPr>
      <w:r>
        <w:rPr>
          <w:rFonts w:ascii="Times New Roman" w:hAnsi="Times New Roman"/>
          <w:sz w:val="22"/>
        </w:rPr>
        <w:t>Greiner [6] presented an efficient Newton implementation for nonideal chemical equilibria using an activity coefficient model. Koukkari and Pajarre [8] extended constrained Gibbs minimization to include non-standard constraints such as surface energies and electrochemical potentials.</w:t>
      </w:r>
    </w:p>
    <w:p>
      <w:pPr>
        <w:spacing w:line="480" w:lineRule="auto"/>
      </w:pPr>
      <w:r>
        <w:rPr>
          <w:rFonts w:ascii="Times New Roman" w:hAnsi="Times New Roman"/>
          <w:sz w:val="22"/>
        </w:rPr>
        <w:t>Tsanas et al. [23] developed a modified RAND method for multiphase chemical equilibrium that handles simultaneous phase and reaction equilibrium, providing a comprehensive framework but with significant implementation complexity.</w:t>
      </w:r>
    </w:p>
    <w:p>
      <w:pPr>
        <w:spacing w:line="480" w:lineRule="auto"/>
      </w:pPr>
      <w:r>
        <w:rPr>
          <w:rFonts w:ascii="Times New Roman" w:hAnsi="Times New Roman"/>
          <w:sz w:val="22"/>
        </w:rPr>
        <w:t>Leal et al. [9] developed the xLMA method for reactive transport, addressing the ill-conditioning challenges in geochemical systems with many trace species by reformulating the problem using extended law of mass action.</w:t>
      </w:r>
    </w:p>
    <w:p>
      <w:pPr>
        <w:spacing w:line="480" w:lineRule="auto"/>
      </w:pPr>
      <w:r>
        <w:rPr>
          <w:rFonts w:ascii="Times New Roman" w:hAnsi="Times New Roman"/>
          <w:sz w:val="22"/>
        </w:rPr>
        <w:t>Michelsen and Mollerup [13] provide the definitive treatment of thermodynamic modeling and flash calculations with cubic EOS but focus on phase equilibrium rather than chemical equilibrium.</w:t>
      </w:r>
    </w:p>
    <w:p>
      <w:pPr>
        <w:spacing w:line="480" w:lineRule="auto"/>
      </w:pPr>
      <w:r>
        <w:rPr>
          <w:rFonts w:ascii="Times New Roman" w:hAnsi="Times New Roman"/>
          <w:sz w:val="22"/>
        </w:rPr>
        <w:t>In the optimization literature, Nocedal and Wright [15] present comprehensive globalization strategies (line search and trust region) for Newton methods that guarantee convergence from any starting point, but these have not been systematically applied to the specific structure of the chemical equilibrium KKT system.</w:t>
      </w:r>
    </w:p>
    <w:p>
      <w:pPr>
        <w:spacing w:before="240" w:after="80"/>
      </w:pPr>
      <w:r>
        <w:rPr>
          <w:rFonts w:ascii="Arial" w:hAnsi="Arial"/>
          <w:b/>
          <w:sz w:val="22"/>
        </w:rPr>
        <w:t>1.3 Contributions</w:t>
      </w:r>
    </w:p>
    <w:p>
      <w:pPr>
        <w:spacing w:line="480" w:lineRule="auto"/>
      </w:pPr>
      <w:r>
        <w:rPr>
          <w:rFonts w:ascii="Times New Roman" w:hAnsi="Times New Roman"/>
          <w:sz w:val="22"/>
        </w:rPr>
        <w:t>This paper presents four contributions:</w:t>
      </w:r>
    </w:p>
    <w:p>
      <w:pPr>
        <w:spacing w:after="40" w:line="480" w:lineRule="auto"/>
        <w:ind w:left="576"/>
      </w:pPr>
      <w:r>
        <w:rPr>
          <w:rFonts w:ascii="Times New Roman" w:hAnsi="Times New Roman"/>
          <w:b/>
          <w:sz w:val="22"/>
        </w:rPr>
        <w:t xml:space="preserve">1. </w:t>
      </w:r>
      <w:r>
        <w:rPr>
          <w:rFonts w:ascii="Times New Roman" w:hAnsi="Times New Roman"/>
          <w:b/>
          <w:sz w:val="22"/>
        </w:rPr>
        <w:t>Armijo backtracking line search</w:t>
      </w:r>
      <w:r>
        <w:rPr>
          <w:rFonts w:ascii="Times New Roman" w:hAnsi="Times New Roman"/>
          <w:sz w:val="22"/>
        </w:rPr>
        <w:t xml:space="preserve"> for the Lagrangian Newton-Raphson method for Gibbs minimization, providing a formal guarantee of monotonic Gibbs energy decrease (Section 3.1).</w:t>
      </w:r>
    </w:p>
    <w:p>
      <w:pPr>
        <w:spacing w:after="40" w:line="480" w:lineRule="auto"/>
        <w:ind w:left="576"/>
      </w:pPr>
      <w:r>
        <w:rPr>
          <w:rFonts w:ascii="Times New Roman" w:hAnsi="Times New Roman"/>
          <w:b/>
          <w:sz w:val="22"/>
        </w:rPr>
        <w:t xml:space="preserve">2. </w:t>
      </w:r>
      <w:r>
        <w:rPr>
          <w:rFonts w:ascii="Times New Roman" w:hAnsi="Times New Roman"/>
          <w:b/>
          <w:sz w:val="22"/>
        </w:rPr>
        <w:t>Tikhonov regularization</w:t>
      </w:r>
      <w:r>
        <w:rPr>
          <w:rFonts w:ascii="Times New Roman" w:hAnsi="Times New Roman"/>
          <w:sz w:val="22"/>
        </w:rPr>
        <w:t xml:space="preserve"> of the KKT Jacobian with adaptive condition number monitoring, ensuring well-conditioned Newton steps for systems with trace species or singular EOS behavior (Section 3.2).</w:t>
      </w:r>
    </w:p>
    <w:p>
      <w:pPr>
        <w:spacing w:after="40" w:line="480" w:lineRule="auto"/>
        <w:ind w:left="576"/>
      </w:pPr>
      <w:r>
        <w:rPr>
          <w:rFonts w:ascii="Times New Roman" w:hAnsi="Times New Roman"/>
          <w:b/>
          <w:sz w:val="22"/>
        </w:rPr>
        <w:t xml:space="preserve">3. </w:t>
      </w:r>
      <w:r>
        <w:rPr>
          <w:rFonts w:ascii="Times New Roman" w:hAnsi="Times New Roman"/>
          <w:b/>
          <w:sz w:val="22"/>
        </w:rPr>
        <w:t>Comprehensive convergence diagnostics</w:t>
      </w:r>
      <w:r>
        <w:rPr>
          <w:rFonts w:ascii="Times New Roman" w:hAnsi="Times New Roman"/>
          <w:sz w:val="22"/>
        </w:rPr>
        <w:t xml:space="preserve"> recording Gibbs energy, condition number, step size, and element balance error at each iteration, enabling quantitative algorithm comparison (Section 3.3).</w:t>
      </w:r>
    </w:p>
    <w:p>
      <w:pPr>
        <w:spacing w:after="40" w:line="480" w:lineRule="auto"/>
        <w:ind w:left="576"/>
      </w:pPr>
      <w:r>
        <w:rPr>
          <w:rFonts w:ascii="Times New Roman" w:hAnsi="Times New Roman"/>
          <w:b/>
          <w:sz w:val="22"/>
        </w:rPr>
        <w:t xml:space="preserve">4. </w:t>
      </w:r>
      <w:r>
        <w:rPr>
          <w:rFonts w:ascii="Times New Roman" w:hAnsi="Times New Roman"/>
          <w:b/>
          <w:sz w:val="22"/>
        </w:rPr>
        <w:t>Open-source implementation</w:t>
      </w:r>
      <w:r>
        <w:rPr>
          <w:rFonts w:ascii="Times New Roman" w:hAnsi="Times New Roman"/>
          <w:sz w:val="22"/>
        </w:rPr>
        <w:t xml:space="preserve"> validated on five chemical systems with quantitative benchmarks demonstrating up to 17.8</w:t>
      </w:r>
      <m:oMath>
        <m:r>
          <m:t>×</m:t>
        </m:r>
      </m:oMath>
      <w:r>
        <w:rPr>
          <w:rFonts w:ascii="Times New Roman" w:hAnsi="Times New Roman"/>
          <w:sz w:val="22"/>
        </w:rPr>
        <w:t xml:space="preserve"> iteration reduction on stiff systems (Sections 4-5).</w:t>
      </w:r>
    </w:p>
    <w:p>
      <w:pPr>
        <w:spacing w:before="360" w:after="120"/>
      </w:pPr>
      <w:r>
        <w:rPr>
          <w:rFonts w:ascii="Arial" w:hAnsi="Arial"/>
          <w:b/>
          <w:sz w:val="26"/>
        </w:rPr>
        <w:t>2. Mathematical Framework</w:t>
      </w:r>
    </w:p>
    <w:p>
      <w:pPr>
        <w:spacing w:before="240" w:after="80"/>
      </w:pPr>
      <w:r>
        <w:rPr>
          <w:rFonts w:ascii="Arial" w:hAnsi="Arial"/>
          <w:b/>
          <w:sz w:val="22"/>
        </w:rPr>
        <w:t>2.1 Constrained Gibbs energy minimization</w:t>
      </w:r>
    </w:p>
    <w:p>
      <w:pPr>
        <w:spacing w:line="480" w:lineRule="auto"/>
      </w:pPr>
      <w:r>
        <w:rPr>
          <w:rFonts w:ascii="Times New Roman" w:hAnsi="Times New Roman"/>
          <w:sz w:val="22"/>
        </w:rPr>
        <w:t xml:space="preserve">Consider a system of </w:t>
      </w:r>
      <m:oMath>
        <m:sSub>
          <m:e>
            <m:r>
              <m:t>N</m:t>
            </m:r>
          </m:e>
          <m:sub>
            <m:r>
              <m:t>s</m:t>
            </m:r>
          </m:sub>
        </m:sSub>
      </m:oMath>
      <w:r>
        <w:rPr>
          <w:rFonts w:ascii="Times New Roman" w:hAnsi="Times New Roman"/>
          <w:sz w:val="22"/>
        </w:rPr>
        <w:t xml:space="preserve"> chemical species composed of </w:t>
      </w:r>
      <m:oMath>
        <m:sSub>
          <m:e>
            <m:r>
              <m:t>N</m:t>
            </m:r>
          </m:e>
          <m:sub>
            <m:r>
              <m:t>e</m:t>
            </m:r>
          </m:sub>
        </m:sSub>
      </m:oMath>
      <w:r>
        <w:rPr>
          <w:rFonts w:ascii="Times New Roman" w:hAnsi="Times New Roman"/>
          <w:sz w:val="22"/>
        </w:rPr>
        <w:t xml:space="preserve"> chemical elements at temperature </w:t>
      </w:r>
      <m:oMath>
        <m:r>
          <m:t>T</m:t>
        </m:r>
      </m:oMath>
      <w:r>
        <w:rPr>
          <w:rFonts w:ascii="Times New Roman" w:hAnsi="Times New Roman"/>
          <w:sz w:val="22"/>
        </w:rPr>
        <w:t xml:space="preserve"> and pressure </w:t>
      </w:r>
      <m:oMath>
        <m:r>
          <m:t>P</m:t>
        </m:r>
      </m:oMath>
      <w:r>
        <w:rPr>
          <w:rFonts w:ascii="Times New Roman" w:hAnsi="Times New Roman"/>
          <w:sz w:val="22"/>
        </w:rPr>
        <w:t>. The total Gibbs free energy is:</w:t>
      </w:r>
    </w:p>
    <w:p>
      <w:pPr>
        <w:spacing w:before="120" w:after="120"/>
        <w:jc w:val="center"/>
      </w:pPr>
      <m:oMath>
        <m:r>
          <m:t>G=</m:t>
        </m:r>
        <m:nary>
          <m:naryPr>
            <m:chr m:val="∑"/>
            <m:limLoc m:val="subSup"/>
            <m:grow m:val="1"/>
            <m:subHide m:val="off"/>
            <m:supHide m:val="off"/>
          </m:naryPr>
          <m:sub>
            <m:r>
              <m:t>i=1</m:t>
            </m:r>
          </m:sub>
          <m:sup>
            <m:sSub>
              <m:e>
                <m:r>
                  <m:t>N</m:t>
                </m:r>
              </m:e>
              <m:sub>
                <m:r>
                  <m:t>s</m:t>
                </m:r>
              </m:sub>
            </m:sSub>
          </m:sup>
          <m:e>
            <m:sSub>
              <m:e>
                <m:r>
                  <m:t>n</m:t>
                </m:r>
              </m:e>
              <m:sub>
                <m:r>
                  <m:t>i</m:t>
                </m:r>
              </m:sub>
            </m:sSub>
          </m:e>
        </m:nary>
        <m:sSub>
          <m:e>
            <m:r>
              <m:t>μ</m:t>
            </m:r>
          </m:e>
          <m:sub>
            <m:r>
              <m:t>i</m:t>
            </m:r>
          </m:sub>
        </m:sSub>
      </m:oMath>
      <w:r>
        <w:rPr>
          <w:rFonts w:ascii="Times New Roman" w:hAnsi="Times New Roman"/>
          <w:sz w:val="20"/>
        </w:rPr>
        <w:t xml:space="preserve">    (1)</w:t>
      </w:r>
    </w:p>
    <w:p>
      <w:pPr>
        <w:spacing w:line="480" w:lineRule="auto"/>
      </w:pPr>
      <w:r>
        <w:rPr>
          <w:rFonts w:ascii="Times New Roman" w:hAnsi="Times New Roman"/>
          <w:sz w:val="22"/>
        </w:rPr>
        <w:t xml:space="preserve">where </w:t>
      </w:r>
      <m:oMath>
        <m:sSub>
          <m:e>
            <m:r>
              <m:t>n</m:t>
            </m:r>
          </m:e>
          <m:sub>
            <m:r>
              <m:t>i</m:t>
            </m:r>
          </m:sub>
        </m:sSub>
      </m:oMath>
      <w:r>
        <w:rPr>
          <w:rFonts w:ascii="Times New Roman" w:hAnsi="Times New Roman"/>
          <w:sz w:val="22"/>
        </w:rPr>
        <w:t xml:space="preserve"> is the mole number and </w:t>
      </w:r>
      <m:oMath>
        <m:sSub>
          <m:e>
            <m:r>
              <m:t>μ</m:t>
            </m:r>
          </m:e>
          <m:sub>
            <m:r>
              <m:t>i</m:t>
            </m:r>
          </m:sub>
        </m:sSub>
      </m:oMath>
      <w:r>
        <w:rPr>
          <w:rFonts w:ascii="Times New Roman" w:hAnsi="Times New Roman"/>
          <w:sz w:val="22"/>
        </w:rPr>
        <w:t xml:space="preserve"> is the chemical potential of species </w:t>
      </w:r>
      <m:oMath>
        <m:r>
          <m:t>i</m:t>
        </m:r>
      </m:oMath>
      <w:r>
        <w:rPr>
          <w:rFonts w:ascii="Times New Roman" w:hAnsi="Times New Roman"/>
          <w:sz w:val="22"/>
        </w:rPr>
        <w:t>. For a system described by a cubic equation of state, the chemical potential is:</w:t>
      </w:r>
    </w:p>
    <w:p>
      <w:pPr>
        <w:spacing w:before="120" w:after="120"/>
        <w:jc w:val="center"/>
      </w:pPr>
      <m:oMath>
        <m:sSub>
          <m:e>
            <m:r>
              <m:t>μ</m:t>
            </m:r>
          </m:e>
          <m:sub>
            <m:r>
              <m:t>i</m:t>
            </m:r>
          </m:sub>
        </m:sSub>
        <m:r>
          <m:t>=</m:t>
        </m:r>
        <m:sSubSup>
          <m:e>
            <m:r>
              <m:t>G</m:t>
            </m:r>
          </m:e>
          <m:sub>
            <m:r>
              <m:t>f,i</m:t>
            </m:r>
          </m:sub>
          <m:sup>
            <m:r>
              <m:t>0</m:t>
            </m:r>
          </m:sup>
        </m:sSubSup>
        <m:r>
          <m:t>(T)+RT</m:t>
        </m:r>
        <m:r>
          <m:rPr>
            <m:sty m:val="p"/>
          </m:rPr>
          <m:t>ln</m:t>
        </m:r>
        <m:sSub>
          <m:e>
            <m:limUpp>
              <m:e>
                <m:r>
                  <m:t>ϕ</m:t>
                </m:r>
              </m:e>
              <m:lim>
                <m:r>
                  <m:t>^</m:t>
                </m:r>
              </m:lim>
            </m:limUpp>
          </m:e>
          <m:sub>
            <m:r>
              <m:t>i</m:t>
            </m:r>
          </m:sub>
        </m:sSub>
        <m:r>
          <m:t>+RT</m:t>
        </m:r>
        <m:r>
          <m:rPr>
            <m:sty m:val="p"/>
          </m:rPr>
          <m:t>ln</m:t>
        </m:r>
        <m:sSub>
          <m:e>
            <m:r>
              <m:t>y</m:t>
            </m:r>
          </m:e>
          <m:sub>
            <m:r>
              <m:t>i</m:t>
            </m:r>
          </m:sub>
        </m:sSub>
        <m:r>
          <m:t>+RT</m:t>
        </m:r>
        <m:r>
          <m:rPr>
            <m:sty m:val="p"/>
          </m:rPr>
          <m:t>ln</m:t>
        </m:r>
        <m:f>
          <m:fPr>
            <m:type m:val="bar"/>
          </m:fPr>
          <m:num>
            <m:r>
              <m:t>P</m:t>
            </m:r>
          </m:num>
          <m:den>
            <m:sSup>
              <m:e>
                <m:r>
                  <m:t>P</m:t>
                </m:r>
              </m:e>
              <m:sup>
                <m:r>
                  <m:rPr>
                    <m:sty m:val="p"/>
                  </m:rPr>
                  <m:t>ref</m:t>
                </m:r>
              </m:sup>
            </m:sSup>
          </m:den>
        </m:f>
      </m:oMath>
      <w:r>
        <w:rPr>
          <w:rFonts w:ascii="Times New Roman" w:hAnsi="Times New Roman"/>
          <w:sz w:val="20"/>
        </w:rPr>
        <w:t xml:space="preserve">    (2)</w:t>
      </w:r>
    </w:p>
    <w:p>
      <w:pPr>
        <w:spacing w:line="480" w:lineRule="auto"/>
      </w:pPr>
      <w:r>
        <w:rPr>
          <w:rFonts w:ascii="Times New Roman" w:hAnsi="Times New Roman"/>
          <w:sz w:val="22"/>
        </w:rPr>
        <w:t xml:space="preserve">where </w:t>
      </w:r>
      <m:oMath>
        <m:sSubSup>
          <m:e>
            <m:r>
              <m:t>G</m:t>
            </m:r>
          </m:e>
          <m:sub>
            <m:r>
              <m:t>f,i</m:t>
            </m:r>
          </m:sub>
          <m:sup>
            <m:r>
              <m:t>0</m:t>
            </m:r>
          </m:sup>
        </m:sSubSup>
        <m:r>
          <m:t>(T)</m:t>
        </m:r>
      </m:oMath>
      <w:r>
        <w:rPr>
          <w:rFonts w:ascii="Times New Roman" w:hAnsi="Times New Roman"/>
          <w:sz w:val="22"/>
        </w:rPr>
        <w:t xml:space="preserve"> is the standard Gibbs energy of formation, </w:t>
      </w:r>
      <m:oMath>
        <m:sSub>
          <m:e>
            <m:limUpp>
              <m:e>
                <m:r>
                  <m:t>ϕ</m:t>
                </m:r>
              </m:e>
              <m:lim>
                <m:r>
                  <m:t>^</m:t>
                </m:r>
              </m:lim>
            </m:limUpp>
          </m:e>
          <m:sub>
            <m:r>
              <m:t>i</m:t>
            </m:r>
          </m:sub>
        </m:sSub>
      </m:oMath>
      <w:r>
        <w:rPr>
          <w:rFonts w:ascii="Times New Roman" w:hAnsi="Times New Roman"/>
          <w:sz w:val="22"/>
        </w:rPr>
        <w:t xml:space="preserve"> is the fugacity coefficient from the EOS, </w:t>
      </w:r>
      <m:oMath>
        <m:sSub>
          <m:e>
            <m:r>
              <m:t>y</m:t>
            </m:r>
          </m:e>
          <m:sub>
            <m:r>
              <m:t>i</m:t>
            </m:r>
          </m:sub>
        </m:sSub>
        <m:r>
          <m:t>=</m:t>
        </m:r>
        <m:sSub>
          <m:e>
            <m:r>
              <m:t>n</m:t>
            </m:r>
          </m:e>
          <m:sub>
            <m:r>
              <m:t>i</m:t>
            </m:r>
          </m:sub>
        </m:sSub>
        <m:r>
          <m:t>/</m:t>
        </m:r>
        <m:sSub>
          <m:e>
            <m:r>
              <m:t>n</m:t>
            </m:r>
          </m:e>
          <m:sub>
            <m:r>
              <m:t>T</m:t>
            </m:r>
          </m:sub>
        </m:sSub>
      </m:oMath>
      <w:r>
        <w:rPr>
          <w:rFonts w:ascii="Times New Roman" w:hAnsi="Times New Roman"/>
          <w:sz w:val="22"/>
        </w:rPr>
        <w:t xml:space="preserve"> is the mole fraction, </w:t>
      </w:r>
      <m:oMath>
        <m:sSub>
          <m:e>
            <m:r>
              <m:t>n</m:t>
            </m:r>
          </m:e>
          <m:sub>
            <m:r>
              <m:t>T</m:t>
            </m:r>
          </m:sub>
        </m:sSub>
        <m:r>
          <m:t>=</m:t>
        </m:r>
        <m:nary>
          <m:naryPr>
            <m:chr m:val="∑"/>
            <m:limLoc m:val="subSup"/>
            <m:grow m:val="1"/>
            <m:subHide m:val="off"/>
            <m:supHide m:val="on"/>
          </m:naryPr>
          <m:sub>
            <m:r>
              <m:t>j</m:t>
            </m:r>
          </m:sub>
          <m:sup/>
          <m:e>
            <m:sSub>
              <m:e>
                <m:r>
                  <m:t>n</m:t>
                </m:r>
              </m:e>
              <m:sub>
                <m:r>
                  <m:t>j</m:t>
                </m:r>
              </m:sub>
            </m:sSub>
          </m:e>
        </m:nary>
      </m:oMath>
      <w:r>
        <w:rPr>
          <w:rFonts w:ascii="Times New Roman" w:hAnsi="Times New Roman"/>
          <w:sz w:val="22"/>
        </w:rPr>
        <w:t xml:space="preserve"> is the total moles, and </w:t>
      </w:r>
      <m:oMath>
        <m:sSup>
          <m:e>
            <m:r>
              <m:t>P</m:t>
            </m:r>
          </m:e>
          <m:sup>
            <m:r>
              <m:rPr>
                <m:sty m:val="p"/>
              </m:rPr>
              <m:t>ref</m:t>
            </m:r>
          </m:sup>
        </m:sSup>
        <m:r>
          <m:t>=1</m:t>
        </m:r>
      </m:oMath>
      <w:r>
        <w:rPr>
          <w:rFonts w:ascii="Times New Roman" w:hAnsi="Times New Roman"/>
          <w:sz w:val="22"/>
        </w:rPr>
        <w:t xml:space="preserve"> bar.</w:t>
      </w:r>
    </w:p>
    <w:p>
      <w:pPr>
        <w:spacing w:line="480" w:lineRule="auto"/>
      </w:pPr>
      <w:r>
        <w:rPr>
          <w:rFonts w:ascii="Times New Roman" w:hAnsi="Times New Roman"/>
          <w:sz w:val="22"/>
        </w:rPr>
        <w:t>The element mass balance constraints require:</w:t>
      </w:r>
    </w:p>
    <w:p>
      <w:pPr>
        <w:spacing w:before="120" w:after="120"/>
        <w:jc w:val="center"/>
      </w:pPr>
      <m:oMath>
        <m:nary>
          <m:naryPr>
            <m:chr m:val="∑"/>
            <m:limLoc m:val="subSup"/>
            <m:grow m:val="1"/>
            <m:subHide m:val="off"/>
            <m:supHide m:val="off"/>
          </m:naryPr>
          <m:sub>
            <m:r>
              <m:t>i=1</m:t>
            </m:r>
          </m:sub>
          <m:sup>
            <m:sSub>
              <m:e>
                <m:r>
                  <m:t>N</m:t>
                </m:r>
              </m:e>
              <m:sub>
                <m:r>
                  <m:t>s</m:t>
                </m:r>
              </m:sub>
            </m:sSub>
          </m:sup>
          <m:e>
            <m:sSub>
              <m:e>
                <m:r>
                  <m:t>a</m:t>
                </m:r>
              </m:e>
              <m:sub>
                <m:r>
                  <m:t>ki</m:t>
                </m:r>
              </m:sub>
            </m:sSub>
          </m:e>
        </m:nary>
        <m:sSub>
          <m:e>
            <m:r>
              <m:t>n</m:t>
            </m:r>
          </m:e>
          <m:sub>
            <m:r>
              <m:t>i</m:t>
            </m:r>
          </m:sub>
        </m:sSub>
        <m:r>
          <m:t>=</m:t>
        </m:r>
        <m:sSub>
          <m:e>
            <m:r>
              <m:t>b</m:t>
            </m:r>
          </m:e>
          <m:sub>
            <m:r>
              <m:t>k</m:t>
            </m:r>
          </m:sub>
        </m:sSub>
        <m:r>
          <m:t>,</m:t>
        </m:r>
        <m:r>
          <m:t>k=1,…,</m:t>
        </m:r>
        <m:sSub>
          <m:e>
            <m:r>
              <m:t>N</m:t>
            </m:r>
          </m:e>
          <m:sub>
            <m:r>
              <m:t>e</m:t>
            </m:r>
          </m:sub>
        </m:sSub>
      </m:oMath>
      <w:r>
        <w:rPr>
          <w:rFonts w:ascii="Times New Roman" w:hAnsi="Times New Roman"/>
          <w:sz w:val="20"/>
        </w:rPr>
        <w:t xml:space="preserve">    (3)</w:t>
      </w:r>
    </w:p>
    <w:p>
      <w:pPr>
        <w:spacing w:line="480" w:lineRule="auto"/>
      </w:pPr>
      <w:r>
        <w:rPr>
          <w:rFonts w:ascii="Times New Roman" w:hAnsi="Times New Roman"/>
          <w:sz w:val="22"/>
        </w:rPr>
        <w:t xml:space="preserve">where </w:t>
      </w:r>
      <m:oMath>
        <m:sSub>
          <m:e>
            <m:r>
              <m:t>a</m:t>
            </m:r>
          </m:e>
          <m:sub>
            <m:r>
              <m:t>ki</m:t>
            </m:r>
          </m:sub>
        </m:sSub>
      </m:oMath>
      <w:r>
        <w:rPr>
          <w:rFonts w:ascii="Times New Roman" w:hAnsi="Times New Roman"/>
          <w:sz w:val="22"/>
        </w:rPr>
        <w:t xml:space="preserve"> is the number of atoms of element </w:t>
      </w:r>
      <m:oMath>
        <m:r>
          <m:t>k</m:t>
        </m:r>
      </m:oMath>
      <w:r>
        <w:rPr>
          <w:rFonts w:ascii="Times New Roman" w:hAnsi="Times New Roman"/>
          <w:sz w:val="22"/>
        </w:rPr>
        <w:t xml:space="preserve"> in species </w:t>
      </w:r>
      <m:oMath>
        <m:r>
          <m:t>i</m:t>
        </m:r>
      </m:oMath>
      <w:r>
        <w:rPr>
          <w:rFonts w:ascii="Times New Roman" w:hAnsi="Times New Roman"/>
          <w:sz w:val="22"/>
        </w:rPr>
        <w:t xml:space="preserve">, and </w:t>
      </w:r>
      <m:oMath>
        <m:sSub>
          <m:e>
            <m:r>
              <m:t>b</m:t>
            </m:r>
          </m:e>
          <m:sub>
            <m:r>
              <m:t>k</m:t>
            </m:r>
          </m:sub>
        </m:sSub>
      </m:oMath>
      <w:r>
        <w:rPr>
          <w:rFonts w:ascii="Times New Roman" w:hAnsi="Times New Roman"/>
          <w:sz w:val="22"/>
        </w:rPr>
        <w:t xml:space="preserve"> is the total moles of element </w:t>
      </w:r>
      <m:oMath>
        <m:r>
          <m:t>k</m:t>
        </m:r>
      </m:oMath>
      <w:r>
        <w:rPr>
          <w:rFonts w:ascii="Times New Roman" w:hAnsi="Times New Roman"/>
          <w:sz w:val="22"/>
        </w:rPr>
        <w:t>.</w:t>
      </w:r>
    </w:p>
    <w:p>
      <w:pPr>
        <w:spacing w:before="240" w:after="80"/>
      </w:pPr>
      <w:r>
        <w:rPr>
          <w:rFonts w:ascii="Arial" w:hAnsi="Arial"/>
          <w:b/>
          <w:sz w:val="22"/>
        </w:rPr>
        <w:t>2.2 KKT system and Newton-Raphson method</w:t>
      </w:r>
    </w:p>
    <w:p>
      <w:pPr>
        <w:spacing w:line="480" w:lineRule="auto"/>
      </w:pPr>
      <w:r>
        <w:rPr>
          <w:rFonts w:ascii="Times New Roman" w:hAnsi="Times New Roman"/>
          <w:sz w:val="22"/>
        </w:rPr>
        <w:t xml:space="preserve">Introducing Lagrange multipliers </w:t>
      </w:r>
      <m:oMath>
        <m:sSub>
          <m:e>
            <m:r>
              <m:t>λ</m:t>
            </m:r>
          </m:e>
          <m:sub>
            <m:r>
              <m:t>k</m:t>
            </m:r>
          </m:sub>
        </m:sSub>
      </m:oMath>
      <w:r>
        <w:rPr>
          <w:rFonts w:ascii="Times New Roman" w:hAnsi="Times New Roman"/>
          <w:sz w:val="22"/>
        </w:rPr>
        <w:t>, the Lagrangian is:</w:t>
      </w:r>
    </w:p>
    <w:p>
      <w:pPr>
        <w:spacing w:before="120" w:after="120"/>
        <w:jc w:val="center"/>
      </w:pPr>
      <m:oMath>
        <m:r>
          <m:t>ℒ=G−</m:t>
        </m:r>
        <m:nary>
          <m:naryPr>
            <m:chr m:val="∑"/>
            <m:limLoc m:val="subSup"/>
            <m:grow m:val="1"/>
            <m:subHide m:val="off"/>
            <m:supHide m:val="off"/>
          </m:naryPr>
          <m:sub>
            <m:r>
              <m:t>k=1</m:t>
            </m:r>
          </m:sub>
          <m:sup>
            <m:sSub>
              <m:e>
                <m:r>
                  <m:t>N</m:t>
                </m:r>
              </m:e>
              <m:sub>
                <m:r>
                  <m:t>e</m:t>
                </m:r>
              </m:sub>
            </m:sSub>
          </m:sup>
          <m:e>
            <m:sSub>
              <m:e>
                <m:r>
                  <m:t>λ</m:t>
                </m:r>
              </m:e>
              <m:sub>
                <m:r>
                  <m:t>k</m:t>
                </m:r>
              </m:sub>
            </m:sSub>
          </m:e>
        </m:nary>
        <m:r>
          <m:t>(</m:t>
        </m:r>
        <m:nary>
          <m:naryPr>
            <m:chr m:val="∑"/>
            <m:limLoc m:val="subSup"/>
            <m:grow m:val="1"/>
            <m:subHide m:val="off"/>
            <m:supHide m:val="off"/>
          </m:naryPr>
          <m:sub>
            <m:r>
              <m:t>i=1</m:t>
            </m:r>
          </m:sub>
          <m:sup>
            <m:sSub>
              <m:e>
                <m:r>
                  <m:t>N</m:t>
                </m:r>
              </m:e>
              <m:sub>
                <m:r>
                  <m:t>s</m:t>
                </m:r>
              </m:sub>
            </m:sSub>
          </m:sup>
          <m:e>
            <m:sSub>
              <m:e>
                <m:r>
                  <m:t>a</m:t>
                </m:r>
              </m:e>
              <m:sub>
                <m:r>
                  <m:t>ki</m:t>
                </m:r>
              </m:sub>
            </m:sSub>
          </m:e>
        </m:nary>
        <m:sSub>
          <m:e>
            <m:r>
              <m:t>n</m:t>
            </m:r>
          </m:e>
          <m:sub>
            <m:r>
              <m:t>i</m:t>
            </m:r>
          </m:sub>
        </m:sSub>
        <m:r>
          <m:t>−</m:t>
        </m:r>
        <m:sSub>
          <m:e>
            <m:r>
              <m:t>b</m:t>
            </m:r>
          </m:e>
          <m:sub>
            <m:r>
              <m:t>k</m:t>
            </m:r>
          </m:sub>
        </m:sSub>
        <m:r>
          <m:t>)</m:t>
        </m:r>
      </m:oMath>
      <w:r>
        <w:rPr>
          <w:rFonts w:ascii="Times New Roman" w:hAnsi="Times New Roman"/>
          <w:sz w:val="20"/>
        </w:rPr>
        <w:t xml:space="preserve">    (4)</w:t>
      </w:r>
    </w:p>
    <w:p>
      <w:pPr>
        <w:spacing w:line="480" w:lineRule="auto"/>
      </w:pPr>
      <w:r>
        <w:rPr>
          <w:rFonts w:ascii="Times New Roman" w:hAnsi="Times New Roman"/>
          <w:sz w:val="22"/>
        </w:rPr>
        <w:t xml:space="preserve">The KKT conditions yield </w:t>
      </w:r>
      <m:oMath>
        <m:sSub>
          <m:e>
            <m:r>
              <m:t>N</m:t>
            </m:r>
          </m:e>
          <m:sub>
            <m:r>
              <m:t>s</m:t>
            </m:r>
          </m:sub>
        </m:sSub>
        <m:r>
          <m:t>+</m:t>
        </m:r>
        <m:sSub>
          <m:e>
            <m:r>
              <m:t>N</m:t>
            </m:r>
          </m:e>
          <m:sub>
            <m:r>
              <m:t>e</m:t>
            </m:r>
          </m:sub>
        </m:sSub>
      </m:oMath>
      <w:r>
        <w:rPr>
          <w:rFonts w:ascii="Times New Roman" w:hAnsi="Times New Roman"/>
          <w:sz w:val="22"/>
        </w:rPr>
        <w:t xml:space="preserve"> equations in </w:t>
      </w:r>
      <m:oMath>
        <m:sSub>
          <m:e>
            <m:r>
              <m:t>N</m:t>
            </m:r>
          </m:e>
          <m:sub>
            <m:r>
              <m:t>s</m:t>
            </m:r>
          </m:sub>
        </m:sSub>
        <m:r>
          <m:t>+</m:t>
        </m:r>
        <m:sSub>
          <m:e>
            <m:r>
              <m:t>N</m:t>
            </m:r>
          </m:e>
          <m:sub>
            <m:r>
              <m:t>e</m:t>
            </m:r>
          </m:sub>
        </m:sSub>
      </m:oMath>
      <w:r>
        <w:rPr>
          <w:rFonts w:ascii="Times New Roman" w:hAnsi="Times New Roman"/>
          <w:sz w:val="22"/>
        </w:rPr>
        <w:t xml:space="preserve"> unknowns:</w:t>
      </w:r>
    </w:p>
    <w:p>
      <w:pPr>
        <w:spacing w:before="120" w:after="120"/>
        <w:jc w:val="center"/>
      </w:pPr>
      <m:oMath>
        <m:f>
          <m:fPr>
            <m:type m:val="bar"/>
          </m:fPr>
          <m:num>
            <m:r>
              <m:t>∂ℒ</m:t>
            </m:r>
          </m:num>
          <m:den>
            <m:r>
              <m:t>∂</m:t>
            </m:r>
            <m:sSub>
              <m:e>
                <m:r>
                  <m:t>n</m:t>
                </m:r>
              </m:e>
              <m:sub>
                <m:r>
                  <m:t>i</m:t>
                </m:r>
              </m:sub>
            </m:sSub>
          </m:den>
        </m:f>
        <m:r>
          <m:t>=</m:t>
        </m:r>
        <m:sSub>
          <m:e>
            <m:r>
              <m:t>μ</m:t>
            </m:r>
          </m:e>
          <m:sub>
            <m:r>
              <m:t>i</m:t>
            </m:r>
          </m:sub>
        </m:sSub>
        <m:r>
          <m:t>−</m:t>
        </m:r>
        <m:nary>
          <m:naryPr>
            <m:chr m:val="∑"/>
            <m:limLoc m:val="subSup"/>
            <m:grow m:val="1"/>
            <m:subHide m:val="off"/>
            <m:supHide m:val="off"/>
          </m:naryPr>
          <m:sub>
            <m:r>
              <m:t>k=1</m:t>
            </m:r>
          </m:sub>
          <m:sup>
            <m:sSub>
              <m:e>
                <m:r>
                  <m:t>N</m:t>
                </m:r>
              </m:e>
              <m:sub>
                <m:r>
                  <m:t>e</m:t>
                </m:r>
              </m:sub>
            </m:sSub>
          </m:sup>
          <m:e>
            <m:sSub>
              <m:e>
                <m:r>
                  <m:t>λ</m:t>
                </m:r>
              </m:e>
              <m:sub>
                <m:r>
                  <m:t>k</m:t>
                </m:r>
              </m:sub>
            </m:sSub>
          </m:e>
        </m:nary>
        <m:sSub>
          <m:e>
            <m:r>
              <m:t>a</m:t>
            </m:r>
          </m:e>
          <m:sub>
            <m:r>
              <m:t>ki</m:t>
            </m:r>
          </m:sub>
        </m:sSub>
        <m:r>
          <m:t>=0,</m:t>
        </m:r>
        <m:r>
          <m:t>i=1,…,</m:t>
        </m:r>
        <m:sSub>
          <m:e>
            <m:r>
              <m:t>N</m:t>
            </m:r>
          </m:e>
          <m:sub>
            <m:r>
              <m:t>s</m:t>
            </m:r>
          </m:sub>
        </m:sSub>
      </m:oMath>
      <w:r>
        <w:rPr>
          <w:rFonts w:ascii="Times New Roman" w:hAnsi="Times New Roman"/>
          <w:sz w:val="20"/>
        </w:rPr>
        <w:t xml:space="preserve">    (5)</w:t>
      </w:r>
    </w:p>
    <w:p>
      <w:pPr>
        <w:spacing w:before="120" w:after="120"/>
        <w:jc w:val="center"/>
      </w:pPr>
      <m:oMath>
        <m:nary>
          <m:naryPr>
            <m:chr m:val="∑"/>
            <m:limLoc m:val="subSup"/>
            <m:grow m:val="1"/>
            <m:subHide m:val="off"/>
            <m:supHide m:val="off"/>
          </m:naryPr>
          <m:sub>
            <m:r>
              <m:t>i=1</m:t>
            </m:r>
          </m:sub>
          <m:sup>
            <m:sSub>
              <m:e>
                <m:r>
                  <m:t>N</m:t>
                </m:r>
              </m:e>
              <m:sub>
                <m:r>
                  <m:t>s</m:t>
                </m:r>
              </m:sub>
            </m:sSub>
          </m:sup>
          <m:e>
            <m:sSub>
              <m:e>
                <m:r>
                  <m:t>a</m:t>
                </m:r>
              </m:e>
              <m:sub>
                <m:r>
                  <m:t>ki</m:t>
                </m:r>
              </m:sub>
            </m:sSub>
          </m:e>
        </m:nary>
        <m:sSub>
          <m:e>
            <m:r>
              <m:t>n</m:t>
            </m:r>
          </m:e>
          <m:sub>
            <m:r>
              <m:t>i</m:t>
            </m:r>
          </m:sub>
        </m:sSub>
        <m:r>
          <m:t>=</m:t>
        </m:r>
        <m:sSub>
          <m:e>
            <m:r>
              <m:t>b</m:t>
            </m:r>
          </m:e>
          <m:sub>
            <m:r>
              <m:t>k</m:t>
            </m:r>
          </m:sub>
        </m:sSub>
        <m:r>
          <m:t>,</m:t>
        </m:r>
        <m:r>
          <m:t>k=1,…,</m:t>
        </m:r>
        <m:sSub>
          <m:e>
            <m:r>
              <m:t>N</m:t>
            </m:r>
          </m:e>
          <m:sub>
            <m:r>
              <m:t>e</m:t>
            </m:r>
          </m:sub>
        </m:sSub>
      </m:oMath>
      <w:r>
        <w:rPr>
          <w:rFonts w:ascii="Times New Roman" w:hAnsi="Times New Roman"/>
          <w:sz w:val="20"/>
        </w:rPr>
        <w:t xml:space="preserve">    (6)</w:t>
      </w:r>
    </w:p>
    <w:p>
      <w:pPr>
        <w:spacing w:line="480" w:lineRule="auto"/>
      </w:pPr>
      <w:r>
        <w:rPr>
          <w:rFonts w:ascii="Times New Roman" w:hAnsi="Times New Roman"/>
          <w:sz w:val="22"/>
        </w:rPr>
        <w:t>Newton-Raphson iteration solves the linear system:</w:t>
      </w:r>
    </w:p>
    <w:p>
      <w:pPr>
        <w:spacing w:before="120" w:after="120"/>
        <w:jc w:val="center"/>
      </w:pPr>
      <m:oMath>
        <m:r>
          <m:t>JΔx=−F(x)</m:t>
        </m:r>
      </m:oMath>
      <w:r>
        <w:rPr>
          <w:rFonts w:ascii="Times New Roman" w:hAnsi="Times New Roman"/>
          <w:sz w:val="20"/>
        </w:rPr>
        <w:t xml:space="preserve">    (7)</w:t>
      </w:r>
    </w:p>
    <w:p>
      <w:pPr>
        <w:spacing w:line="480" w:lineRule="auto"/>
      </w:pPr>
      <w:r>
        <w:rPr>
          <w:rFonts w:ascii="Times New Roman" w:hAnsi="Times New Roman"/>
          <w:sz w:val="22"/>
        </w:rPr>
        <w:t xml:space="preserve">where </w:t>
      </w:r>
      <m:oMath>
        <m:r>
          <m:t>x=[n;λ]</m:t>
        </m:r>
      </m:oMath>
      <w:r>
        <w:rPr>
          <w:rFonts w:ascii="Times New Roman" w:hAnsi="Times New Roman"/>
          <w:sz w:val="22"/>
        </w:rPr>
        <w:t xml:space="preserve">, </w:t>
      </w:r>
      <m:oMath>
        <m:r>
          <m:t>F(x)</m:t>
        </m:r>
      </m:oMath>
      <w:r>
        <w:rPr>
          <w:rFonts w:ascii="Times New Roman" w:hAnsi="Times New Roman"/>
          <w:sz w:val="22"/>
        </w:rPr>
        <w:t xml:space="preserve"> is the residual vector, and </w:t>
      </w:r>
      <m:oMath>
        <m:r>
          <m:t>J</m:t>
        </m:r>
      </m:oMath>
      <w:r>
        <w:rPr>
          <w:rFonts w:ascii="Times New Roman" w:hAnsi="Times New Roman"/>
          <w:sz w:val="22"/>
        </w:rPr>
        <w:t xml:space="preserve"> has the saddle-point structure:</w:t>
      </w:r>
    </w:p>
    <w:p>
      <w:pPr>
        <w:spacing w:before="120" w:after="120"/>
        <w:jc w:val="center"/>
      </w:pPr>
      <m:oMath>
        <m:r>
          <m:t>J=[</m:t>
        </m:r>
        <m:eqArr>
          <m:e>
            <m:r>
              <m:t>H−</m:t>
            </m:r>
            <m:sSup>
              <m:e>
                <m:r>
                  <m:t>A</m:t>
                </m:r>
              </m:e>
              <m:sup>
                <m:r>
                  <m:t>T</m:t>
                </m:r>
              </m:sup>
            </m:sSup>
            <m:r>
              <m:t>A0</m:t>
            </m:r>
          </m:e>
        </m:eqArr>
        <m:r>
          <m:t>]</m:t>
        </m:r>
      </m:oMath>
      <w:r>
        <w:rPr>
          <w:rFonts w:ascii="Times New Roman" w:hAnsi="Times New Roman"/>
          <w:sz w:val="20"/>
        </w:rPr>
        <w:t xml:space="preserve">    (8)</w:t>
      </w:r>
    </w:p>
    <w:p>
      <w:pPr>
        <w:spacing w:line="480" w:lineRule="auto"/>
      </w:pPr>
      <w:r>
        <w:rPr>
          <w:rFonts w:ascii="Times New Roman" w:hAnsi="Times New Roman"/>
          <w:sz w:val="22"/>
        </w:rPr>
        <w:t xml:space="preserve">Here </w:t>
      </w:r>
      <m:oMath>
        <m:sSub>
          <m:e>
            <m:r>
              <m:t>H</m:t>
            </m:r>
          </m:e>
          <m:sub>
            <m:r>
              <m:t>ij</m:t>
            </m:r>
          </m:sub>
        </m:sSub>
        <m:r>
          <m:t>=∂</m:t>
        </m:r>
        <m:sSub>
          <m:e>
            <m:r>
              <m:t>μ</m:t>
            </m:r>
          </m:e>
          <m:sub>
            <m:r>
              <m:t>i</m:t>
            </m:r>
          </m:sub>
        </m:sSub>
        <m:r>
          <m:t>/∂</m:t>
        </m:r>
        <m:sSub>
          <m:e>
            <m:r>
              <m:t>n</m:t>
            </m:r>
          </m:e>
          <m:sub>
            <m:r>
              <m:t>j</m:t>
            </m:r>
          </m:sub>
        </m:sSub>
      </m:oMath>
      <w:r>
        <w:rPr>
          <w:rFonts w:ascii="Times New Roman" w:hAnsi="Times New Roman"/>
          <w:sz w:val="22"/>
        </w:rPr>
        <w:t xml:space="preserve"> is the Hessian of </w:t>
      </w:r>
      <m:oMath>
        <m:r>
          <m:t>G</m:t>
        </m:r>
      </m:oMath>
      <w:r>
        <w:rPr>
          <w:rFonts w:ascii="Times New Roman" w:hAnsi="Times New Roman"/>
          <w:sz w:val="22"/>
        </w:rPr>
        <w:t xml:space="preserve"> and </w:t>
      </w:r>
      <m:oMath>
        <m:r>
          <m:t>A=[</m:t>
        </m:r>
        <m:sSub>
          <m:e>
            <m:r>
              <m:t>a</m:t>
            </m:r>
          </m:e>
          <m:sub>
            <m:r>
              <m:t>ki</m:t>
            </m:r>
          </m:sub>
        </m:sSub>
        <m:r>
          <m:t>]</m:t>
        </m:r>
      </m:oMath>
      <w:r>
        <w:rPr>
          <w:rFonts w:ascii="Times New Roman" w:hAnsi="Times New Roman"/>
          <w:sz w:val="22"/>
        </w:rPr>
        <w:t xml:space="preserve"> is the element-species matrix.</w:t>
      </w:r>
    </w:p>
    <w:p>
      <w:pPr>
        <w:spacing w:before="240" w:after="80"/>
      </w:pPr>
      <w:r>
        <w:rPr>
          <w:rFonts w:ascii="Arial" w:hAnsi="Arial"/>
          <w:b/>
          <w:sz w:val="22"/>
        </w:rPr>
        <w:t>2.3 Equation of state integration</w:t>
      </w:r>
    </w:p>
    <w:p>
      <w:pPr>
        <w:spacing w:line="480" w:lineRule="auto"/>
      </w:pPr>
      <w:r>
        <w:rPr>
          <w:rFonts w:ascii="Times New Roman" w:hAnsi="Times New Roman"/>
          <w:sz w:val="22"/>
        </w:rPr>
        <w:t>For the SRK equation of state, the Hessian elements combine ideal and non-ideal contributions:</w:t>
      </w:r>
    </w:p>
    <w:p>
      <w:pPr>
        <w:spacing w:before="120" w:after="120"/>
        <w:jc w:val="center"/>
      </w:pPr>
      <m:oMath>
        <m:sSub>
          <m:e>
            <m:r>
              <m:t>H</m:t>
            </m:r>
          </m:e>
          <m:sub>
            <m:r>
              <m:t>ij</m:t>
            </m:r>
          </m:sub>
        </m:sSub>
        <m:r>
          <m:t>=</m:t>
        </m:r>
        <m:f>
          <m:fPr>
            <m:type m:val="bar"/>
          </m:fPr>
          <m:num>
            <m:r>
              <m:t>RT</m:t>
            </m:r>
          </m:num>
          <m:den>
            <m:sSub>
              <m:e>
                <m:r>
                  <m:t>n</m:t>
                </m:r>
              </m:e>
              <m:sub>
                <m:r>
                  <m:t>j</m:t>
                </m:r>
              </m:sub>
            </m:sSub>
          </m:den>
        </m:f>
        <m:sSub>
          <m:e>
            <m:r>
              <m:t>δ</m:t>
            </m:r>
          </m:e>
          <m:sub>
            <m:r>
              <m:t>ij</m:t>
            </m:r>
          </m:sub>
        </m:sSub>
        <m:r>
          <m:t>−</m:t>
        </m:r>
        <m:f>
          <m:fPr>
            <m:type m:val="bar"/>
          </m:fPr>
          <m:num>
            <m:r>
              <m:t>RT</m:t>
            </m:r>
          </m:num>
          <m:den>
            <m:sSub>
              <m:e>
                <m:r>
                  <m:t>n</m:t>
                </m:r>
              </m:e>
              <m:sub>
                <m:r>
                  <m:t>T</m:t>
                </m:r>
              </m:sub>
            </m:sSub>
          </m:den>
        </m:f>
        <m:r>
          <m:t>+RT</m:t>
        </m:r>
        <m:f>
          <m:fPr>
            <m:type m:val="bar"/>
          </m:fPr>
          <m:num>
            <m:r>
              <m:t>∂</m:t>
            </m:r>
            <m:r>
              <m:rPr>
                <m:sty m:val="p"/>
              </m:rPr>
              <m:t>ln</m:t>
            </m:r>
            <m:sSub>
              <m:e>
                <m:limUpp>
                  <m:e>
                    <m:r>
                      <m:t>ϕ</m:t>
                    </m:r>
                  </m:e>
                  <m:lim>
                    <m:r>
                      <m:t>^</m:t>
                    </m:r>
                  </m:lim>
                </m:limUpp>
              </m:e>
              <m:sub>
                <m:r>
                  <m:t>i</m:t>
                </m:r>
              </m:sub>
            </m:sSub>
          </m:num>
          <m:den>
            <m:r>
              <m:t>∂</m:t>
            </m:r>
            <m:sSub>
              <m:e>
                <m:r>
                  <m:t>n</m:t>
                </m:r>
              </m:e>
              <m:sub>
                <m:r>
                  <m:t>j</m:t>
                </m:r>
              </m:sub>
            </m:sSub>
          </m:den>
        </m:f>
      </m:oMath>
      <w:r>
        <w:rPr>
          <w:rFonts w:ascii="Times New Roman" w:hAnsi="Times New Roman"/>
          <w:sz w:val="20"/>
        </w:rPr>
        <w:t xml:space="preserve">    (9)</w:t>
      </w:r>
    </w:p>
    <w:p>
      <w:pPr>
        <w:spacing w:line="480" w:lineRule="auto"/>
      </w:pPr>
      <w:r>
        <w:rPr>
          <w:rFonts w:ascii="Times New Roman" w:hAnsi="Times New Roman"/>
          <w:sz w:val="22"/>
        </w:rPr>
        <w:t xml:space="preserve">The first two terms represent ideal mixing, while the third captures non-ideality through the fugacity coefficient derivative </w:t>
      </w:r>
      <m:oMath>
        <m:r>
          <m:t>∂</m:t>
        </m:r>
        <m:r>
          <m:rPr>
            <m:sty m:val="p"/>
          </m:rPr>
          <m:t>ln</m:t>
        </m:r>
        <m:sSub>
          <m:e>
            <m:limUpp>
              <m:e>
                <m:r>
                  <m:t>ϕ</m:t>
                </m:r>
              </m:e>
              <m:lim>
                <m:r>
                  <m:t>^</m:t>
                </m:r>
              </m:lim>
            </m:limUpp>
          </m:e>
          <m:sub>
            <m:r>
              <m:t>i</m:t>
            </m:r>
          </m:sub>
        </m:sSub>
        <m:r>
          <m:t>/∂</m:t>
        </m:r>
        <m:sSub>
          <m:e>
            <m:r>
              <m:t>n</m:t>
            </m:r>
          </m:e>
          <m:sub>
            <m:r>
              <m:t>j</m:t>
            </m:r>
          </m:sub>
        </m:sSub>
      </m:oMath>
      <w:r>
        <w:rPr>
          <w:rFonts w:ascii="Times New Roman" w:hAnsi="Times New Roman"/>
          <w:sz w:val="22"/>
        </w:rPr>
        <w:t xml:space="preserve">. Note that all three terms are multiplied by </w:t>
      </w:r>
      <m:oMath>
        <m:r>
          <m:t>RT</m:t>
        </m:r>
      </m:oMath>
      <w:r>
        <w:rPr>
          <w:rFonts w:ascii="Times New Roman" w:hAnsi="Times New Roman"/>
          <w:sz w:val="22"/>
        </w:rPr>
        <w:t xml:space="preserve">; in the implementation, </w:t>
      </w:r>
      <w:r>
        <w:rPr>
          <w:rFonts w:ascii="Consolas" w:hAnsi="Consolas"/>
          <w:color w:val="333399"/>
          <w:sz w:val="18"/>
        </w:rPr>
        <w:t>getdfugdn(j)</w:t>
      </w:r>
      <w:r>
        <w:rPr>
          <w:rFonts w:ascii="Times New Roman" w:hAnsi="Times New Roman"/>
          <w:sz w:val="22"/>
        </w:rPr>
        <w:t xml:space="preserve"> returns the dimensionless quantity </w:t>
      </w:r>
      <m:oMath>
        <m:r>
          <m:t>∂</m:t>
        </m:r>
        <m:r>
          <m:rPr>
            <m:sty m:val="p"/>
          </m:rPr>
          <m:t>ln</m:t>
        </m:r>
        <m:sSub>
          <m:e>
            <m:limUpp>
              <m:e>
                <m:r>
                  <m:t>ϕ</m:t>
                </m:r>
              </m:e>
              <m:lim>
                <m:r>
                  <m:t>^</m:t>
                </m:r>
              </m:lim>
            </m:limUpp>
          </m:e>
          <m:sub>
            <m:r>
              <m:t>i</m:t>
            </m:r>
          </m:sub>
        </m:sSub>
        <m:r>
          <m:t>/∂</m:t>
        </m:r>
        <m:sSub>
          <m:e>
            <m:r>
              <m:t>n</m:t>
            </m:r>
          </m:e>
          <m:sub>
            <m:r>
              <m:t>j</m:t>
            </m:r>
          </m:sub>
        </m:sSub>
      </m:oMath>
      <w:r>
        <w:rPr>
          <w:rFonts w:ascii="Times New Roman" w:hAnsi="Times New Roman"/>
          <w:sz w:val="22"/>
        </w:rPr>
        <w:t xml:space="preserve">, so the </w:t>
      </w:r>
      <m:oMath>
        <m:r>
          <m:t>RT</m:t>
        </m:r>
      </m:oMath>
      <w:r>
        <w:rPr>
          <w:rFonts w:ascii="Times New Roman" w:hAnsi="Times New Roman"/>
          <w:sz w:val="22"/>
        </w:rPr>
        <w:t xml:space="preserve"> prefactor must be applied consistently to the entire expression. The diagonal dominance from the </w:t>
      </w:r>
      <m:oMath>
        <m:f>
          <m:fPr>
            <m:type m:val="lin"/>
          </m:fPr>
          <m:num>
            <m:r>
              <m:t>1</m:t>
            </m:r>
          </m:num>
          <m:den>
            <m:sSub>
              <m:e>
                <m:r>
                  <m:t>n</m:t>
                </m:r>
              </m:e>
              <m:sub>
                <m:r>
                  <m:t>j</m:t>
                </m:r>
              </m:sub>
            </m:sSub>
          </m:den>
        </m:f>
      </m:oMath>
      <w:r>
        <w:rPr>
          <w:rFonts w:ascii="Times New Roman" w:hAnsi="Times New Roman"/>
          <w:sz w:val="22"/>
        </w:rPr>
        <w:t xml:space="preserve"> term ensures positive definiteness when all mole numbers are positive, but trace species with very small </w:t>
      </w:r>
      <m:oMath>
        <m:sSub>
          <m:e>
            <m:r>
              <m:t>n</m:t>
            </m:r>
          </m:e>
          <m:sub>
            <m:r>
              <m:t>j</m:t>
            </m:r>
          </m:sub>
        </m:sSub>
      </m:oMath>
      <w:r>
        <w:rPr>
          <w:rFonts w:ascii="Times New Roman" w:hAnsi="Times New Roman"/>
          <w:sz w:val="22"/>
        </w:rPr>
        <w:t xml:space="preserve"> cause </w:t>
      </w:r>
      <m:oMath>
        <m:sSub>
          <m:e>
            <m:r>
              <m:t>H</m:t>
            </m:r>
          </m:e>
          <m:sub>
            <m:r>
              <m:t>jj</m:t>
            </m:r>
          </m:sub>
        </m:sSub>
        <m:r>
          <m:t>→∞</m:t>
        </m:r>
      </m:oMath>
      <w:r>
        <w:rPr>
          <w:rFonts w:ascii="Times New Roman" w:hAnsi="Times New Roman"/>
          <w:sz w:val="22"/>
        </w:rPr>
        <w:t>, leading to ill-conditioning.</w:t>
      </w:r>
    </w:p>
    <w:p>
      <w:pPr>
        <w:spacing w:before="360" w:after="120"/>
      </w:pPr>
      <w:r>
        <w:rPr>
          <w:rFonts w:ascii="Arial" w:hAnsi="Arial"/>
          <w:b/>
          <w:sz w:val="26"/>
        </w:rPr>
        <w:t>3. Algorithmic Enhancements</w:t>
      </w:r>
    </w:p>
    <w:p>
      <w:pPr>
        <w:spacing w:before="240" w:after="80"/>
      </w:pPr>
      <w:r>
        <w:rPr>
          <w:rFonts w:ascii="Arial" w:hAnsi="Arial"/>
          <w:b/>
          <w:sz w:val="22"/>
        </w:rPr>
        <w:t>3.1 Armijo backtracking line search</w:t>
      </w:r>
    </w:p>
    <w:p>
      <w:pPr>
        <w:spacing w:line="480" w:lineRule="auto"/>
      </w:pPr>
      <w:r>
        <w:rPr>
          <w:rFonts w:ascii="Times New Roman" w:hAnsi="Times New Roman"/>
          <w:sz w:val="22"/>
        </w:rPr>
        <w:t xml:space="preserve">The standard Newton update </w:t>
      </w:r>
      <m:oMath>
        <m:sSup>
          <m:e>
            <m:r>
              <m:t>x</m:t>
            </m:r>
          </m:e>
          <m:sup>
            <m:d>
              <m:dPr>
                <m:sepChr m:val="+"/>
              </m:dPr>
              <m:e>
                <m:r>
                  <m:t>k</m:t>
                </m:r>
              </m:e>
              <m:e>
                <m:r>
                  <m:t>1</m:t>
                </m:r>
              </m:e>
            </m:d>
          </m:sup>
        </m:sSup>
        <m:r>
          <m:t>=</m:t>
        </m:r>
        <m:sSup>
          <m:e>
            <m:r>
              <m:t>x</m:t>
            </m:r>
          </m:e>
          <m:sup>
            <m:d>
              <m:dPr>
                <m:sepChr m:val=""/>
              </m:dPr>
              <m:e>
                <m:r>
                  <m:t>k</m:t>
                </m:r>
              </m:e>
            </m:d>
          </m:sup>
        </m:sSup>
        <m:r>
          <m:t>+αΔ</m:t>
        </m:r>
        <m:sSup>
          <m:e>
            <m:r>
              <m:t>x</m:t>
            </m:r>
          </m:e>
          <m:sup>
            <m:d>
              <m:dPr>
                <m:sepChr m:val=""/>
              </m:dPr>
              <m:e>
                <m:r>
                  <m:t>k</m:t>
                </m:r>
              </m:e>
            </m:d>
          </m:sup>
        </m:sSup>
      </m:oMath>
      <w:r>
        <w:rPr>
          <w:rFonts w:ascii="Times New Roman" w:hAnsi="Times New Roman"/>
          <w:sz w:val="22"/>
        </w:rPr>
        <w:t xml:space="preserve"> with fixed </w:t>
      </w:r>
      <m:oMath>
        <m:r>
          <m:t>α</m:t>
        </m:r>
      </m:oMath>
      <w:r>
        <w:rPr>
          <w:rFonts w:ascii="Times New Roman" w:hAnsi="Times New Roman"/>
          <w:sz w:val="22"/>
        </w:rPr>
        <w:t xml:space="preserve"> may diverge far from the solution. We replace fixed damping with an Armijo backtracking line search [1, 15] that adapts </w:t>
      </w:r>
      <m:oMath>
        <m:r>
          <m:t>α</m:t>
        </m:r>
      </m:oMath>
      <w:r>
        <w:rPr>
          <w:rFonts w:ascii="Times New Roman" w:hAnsi="Times New Roman"/>
          <w:sz w:val="22"/>
        </w:rPr>
        <w:t xml:space="preserve"> to ensure sufficient decrease:</w:t>
      </w:r>
    </w:p>
    <w:p>
      <w:pPr>
        <w:spacing w:before="120" w:after="120"/>
        <w:jc w:val="center"/>
      </w:pPr>
      <m:oMath>
        <m:r>
          <m:t>G(n+αΔn)≤G(n)+</m:t>
        </m:r>
        <m:sSub>
          <m:e>
            <m:r>
              <m:t>c</m:t>
            </m:r>
          </m:e>
          <m:sub>
            <m:r>
              <m:t>1</m:t>
            </m:r>
          </m:sub>
        </m:sSub>
        <m:r>
          <m:t>α∇</m:t>
        </m:r>
        <m:sSup>
          <m:e>
            <m:r>
              <m:t>G</m:t>
            </m:r>
          </m:e>
          <m:sup>
            <m:r>
              <m:t>T</m:t>
            </m:r>
          </m:sup>
        </m:sSup>
        <m:r>
          <m:t>Δn</m:t>
        </m:r>
      </m:oMath>
      <w:r>
        <w:rPr>
          <w:rFonts w:ascii="Times New Roman" w:hAnsi="Times New Roman"/>
          <w:sz w:val="20"/>
        </w:rPr>
        <w:t xml:space="preserve">    (10)</w:t>
      </w:r>
    </w:p>
    <w:p>
      <w:pPr>
        <w:spacing w:line="480" w:lineRule="auto"/>
      </w:pPr>
      <w:r>
        <w:rPr>
          <w:rFonts w:ascii="Times New Roman" w:hAnsi="Times New Roman"/>
          <w:sz w:val="22"/>
        </w:rPr>
        <w:t xml:space="preserve">where </w:t>
      </w:r>
      <m:oMath>
        <m:sSub>
          <m:e>
            <m:r>
              <m:t>c</m:t>
            </m:r>
          </m:e>
          <m:sub>
            <m:r>
              <m:t>1</m:t>
            </m:r>
          </m:sub>
        </m:sSub>
        <m:r>
          <m:t>=</m:t>
        </m:r>
        <m:sSup>
          <m:e>
            <m:r>
              <m:t>10</m:t>
            </m:r>
          </m:e>
          <m:sup>
            <m:r>
              <m:t>−4</m:t>
            </m:r>
          </m:sup>
        </m:sSup>
      </m:oMath>
      <w:r>
        <w:rPr>
          <w:rFonts w:ascii="Times New Roman" w:hAnsi="Times New Roman"/>
          <w:sz w:val="22"/>
        </w:rPr>
        <w:t xml:space="preserve"> is the sufficient decrease parameter and </w:t>
      </w:r>
      <m:oMath>
        <m:r>
          <m:t>∇</m:t>
        </m:r>
        <m:sSup>
          <m:e>
            <m:r>
              <m:t>G</m:t>
            </m:r>
          </m:e>
          <m:sup>
            <m:r>
              <m:t>T</m:t>
            </m:r>
          </m:sup>
        </m:sSup>
        <m:r>
          <m:t>Δn&lt;0</m:t>
        </m:r>
      </m:oMath>
      <w:r>
        <w:rPr>
          <w:rFonts w:ascii="Times New Roman" w:hAnsi="Times New Roman"/>
          <w:sz w:val="22"/>
        </w:rPr>
        <w:t xml:space="preserve"> is the directional derivative (negative for descent directions).</w:t>
      </w:r>
    </w:p>
    <w:p>
      <w:pPr>
        <w:spacing w:line="480" w:lineRule="auto"/>
      </w:pPr>
      <w:r>
        <w:rPr>
          <w:rFonts w:ascii="Times New Roman" w:hAnsi="Times New Roman"/>
          <w:b/>
          <w:sz w:val="22"/>
        </w:rPr>
        <w:t>Algorithm 1:</w:t>
      </w:r>
      <w:r>
        <w:rPr>
          <w:rFonts w:ascii="Times New Roman" w:hAnsi="Times New Roman"/>
          <w:sz w:val="22"/>
        </w:rPr>
        <w:t xml:space="preserve"> Armijo line search for Gibbs minimization</w:t>
      </w:r>
    </w:p>
    <w:p>
      <w:pPr>
        <w:spacing w:after="40" w:line="480" w:lineRule="auto"/>
        <w:ind w:left="576"/>
      </w:pPr>
      <w:r>
        <w:rPr>
          <w:rFonts w:ascii="Times New Roman" w:hAnsi="Times New Roman"/>
          <w:b/>
          <w:sz w:val="22"/>
        </w:rPr>
        <w:t xml:space="preserve">1. </w:t>
      </w:r>
      <w:r>
        <w:rPr>
          <w:rFonts w:ascii="Times New Roman" w:hAnsi="Times New Roman"/>
          <w:sz w:val="22"/>
        </w:rPr>
        <w:t xml:space="preserve">Compute initial step </w:t>
      </w:r>
      <m:oMath>
        <m:sSub>
          <m:e>
            <m:r>
              <m:t>α</m:t>
            </m:r>
          </m:e>
          <m:sub>
            <m:r>
              <m:t>0</m:t>
            </m:r>
          </m:sub>
        </m:sSub>
      </m:oMath>
      <w:r>
        <w:rPr>
          <w:rFonts w:ascii="Times New Roman" w:hAnsi="Times New Roman"/>
          <w:sz w:val="22"/>
        </w:rPr>
        <w:t xml:space="preserve"> from adaptive step limiter</w:t>
      </w:r>
    </w:p>
    <w:p>
      <w:pPr>
        <w:spacing w:after="40" w:line="480" w:lineRule="auto"/>
        <w:ind w:left="576"/>
      </w:pPr>
      <w:r>
        <w:rPr>
          <w:rFonts w:ascii="Times New Roman" w:hAnsi="Times New Roman"/>
          <w:b/>
          <w:sz w:val="22"/>
        </w:rPr>
        <w:t xml:space="preserve">2. </w:t>
      </w:r>
      <w:r>
        <w:rPr>
          <w:rFonts w:ascii="Times New Roman" w:hAnsi="Times New Roman"/>
          <w:sz w:val="22"/>
        </w:rPr>
        <w:t xml:space="preserve">Set </w:t>
      </w:r>
      <m:oMath>
        <m:r>
          <m:t>α←</m:t>
        </m:r>
        <m:sSub>
          <m:e>
            <m:r>
              <m:t>α</m:t>
            </m:r>
          </m:e>
          <m:sub>
            <m:r>
              <m:t>0</m:t>
            </m:r>
          </m:sub>
        </m:sSub>
      </m:oMath>
    </w:p>
    <w:p>
      <w:pPr>
        <w:spacing w:after="40" w:line="480" w:lineRule="auto"/>
        <w:ind w:left="576"/>
      </w:pPr>
      <w:r>
        <w:rPr>
          <w:rFonts w:ascii="Times New Roman" w:hAnsi="Times New Roman"/>
          <w:b/>
          <w:sz w:val="22"/>
        </w:rPr>
        <w:t xml:space="preserve">3. </w:t>
      </w:r>
      <w:r>
        <w:rPr>
          <w:rFonts w:ascii="Times New Roman" w:hAnsi="Times New Roman"/>
          <w:sz w:val="22"/>
        </w:rPr>
        <w:t xml:space="preserve">Save current state </w:t>
      </w:r>
      <m:oMath>
        <m:d>
          <m:dPr>
            <m:sepChr m:val=","/>
          </m:dPr>
          <m:e>
            <m:r>
              <m:t>n</m:t>
            </m:r>
          </m:e>
          <m:e>
            <m:r>
              <m:t>λ</m:t>
            </m:r>
          </m:e>
        </m:d>
      </m:oMath>
    </w:p>
    <w:p>
      <w:pPr>
        <w:spacing w:after="40" w:line="480" w:lineRule="auto"/>
        <w:ind w:left="576"/>
      </w:pPr>
      <w:r>
        <w:rPr>
          <w:rFonts w:ascii="Times New Roman" w:hAnsi="Times New Roman"/>
          <w:b/>
          <w:sz w:val="22"/>
        </w:rPr>
        <w:t xml:space="preserve">4. </w:t>
      </w:r>
      <w:r>
        <w:rPr>
          <w:rFonts w:ascii="Times New Roman" w:hAnsi="Times New Roman"/>
          <w:b/>
          <w:sz w:val="22"/>
        </w:rPr>
        <w:t>For</w:t>
      </w:r>
      <w:r>
        <w:rPr>
          <w:rFonts w:ascii="Times New Roman" w:hAnsi="Times New Roman"/>
          <w:sz w:val="22"/>
        </w:rPr>
        <w:t xml:space="preserve"> </w:t>
      </w:r>
      <m:oMath>
        <m:r>
          <m:t>k=0,1,…,</m:t>
        </m:r>
        <m:sSub>
          <m:e>
            <m:r>
              <m:t>K</m:t>
            </m:r>
          </m:e>
          <m:sub>
            <m:r>
              <m:t>max</m:t>
            </m:r>
          </m:sub>
        </m:sSub>
      </m:oMath>
      <w:r>
        <w:rPr>
          <w:rFonts w:ascii="Times New Roman" w:hAnsi="Times New Roman"/>
          <w:sz w:val="22"/>
        </w:rPr>
        <w:t>:</w:t>
      </w:r>
    </w:p>
    <w:p>
      <w:pPr>
        <w:spacing w:line="480" w:lineRule="auto"/>
      </w:pPr>
      <w:r>
        <w:rPr>
          <w:rFonts w:ascii="Times New Roman" w:hAnsi="Times New Roman"/>
          <w:sz w:val="22"/>
        </w:rPr>
        <w:t xml:space="preserve">a. Compute trial point: </w:t>
      </w:r>
      <m:oMath>
        <m:sSup>
          <m:e>
            <m:r>
              <m:t>n</m:t>
            </m:r>
          </m:e>
          <m:sup>
            <m:r>
              <m:rPr>
                <m:sty m:val="p"/>
              </m:rPr>
              <m:t>trial</m:t>
            </m:r>
          </m:sup>
        </m:sSup>
        <m:r>
          <m:t>=n+αΔn</m:t>
        </m:r>
      </m:oMath>
      <w:r>
        <w:rPr>
          <w:rFonts w:ascii="Times New Roman" w:hAnsi="Times New Roman"/>
          <w:sz w:val="22"/>
        </w:rPr>
        <w:t xml:space="preserve"> b. Evaluate </w:t>
      </w:r>
      <m:oMath>
        <m:r>
          <m:t>G(</m:t>
        </m:r>
        <m:sSup>
          <m:e>
            <m:r>
              <m:t>n</m:t>
            </m:r>
          </m:e>
          <m:sup>
            <m:r>
              <m:rPr>
                <m:sty m:val="p"/>
              </m:rPr>
              <m:t>trial</m:t>
            </m:r>
          </m:sup>
        </m:sSup>
        <m:r>
          <m:t>)</m:t>
        </m:r>
      </m:oMath>
      <w:r>
        <w:rPr>
          <w:rFonts w:ascii="Times New Roman" w:hAnsi="Times New Roman"/>
          <w:sz w:val="22"/>
        </w:rPr>
        <w:t xml:space="preserve"> using EOS c. </w:t>
      </w:r>
      <w:r>
        <w:rPr>
          <w:rFonts w:ascii="Times New Roman" w:hAnsi="Times New Roman"/>
          <w:b/>
          <w:sz w:val="22"/>
        </w:rPr>
        <w:t>If</w:t>
      </w:r>
      <w:r>
        <w:rPr>
          <w:rFonts w:ascii="Times New Roman" w:hAnsi="Times New Roman"/>
          <w:sz w:val="22"/>
        </w:rPr>
        <w:t xml:space="preserve"> Armijo condition satisfied: accept </w:t>
      </w:r>
      <m:oMath>
        <m:r>
          <m:t>α</m:t>
        </m:r>
      </m:oMath>
      <w:r>
        <w:rPr>
          <w:rFonts w:ascii="Times New Roman" w:hAnsi="Times New Roman"/>
          <w:sz w:val="22"/>
        </w:rPr>
        <w:t xml:space="preserve">, restore state, </w:t>
      </w:r>
      <w:r>
        <w:rPr>
          <w:rFonts w:ascii="Times New Roman" w:hAnsi="Times New Roman"/>
          <w:b/>
          <w:sz w:val="22"/>
        </w:rPr>
        <w:t>return</w:t>
      </w:r>
      <w:r>
        <w:rPr>
          <w:rFonts w:ascii="Times New Roman" w:hAnsi="Times New Roman"/>
          <w:sz w:val="22"/>
        </w:rPr>
        <w:t xml:space="preserve"> d. Contract: </w:t>
      </w:r>
      <m:oMath>
        <m:r>
          <m:t>α←ρα</m:t>
        </m:r>
      </m:oMath>
      <w:r>
        <w:rPr>
          <w:rFonts w:ascii="Times New Roman" w:hAnsi="Times New Roman"/>
          <w:sz w:val="22"/>
        </w:rPr>
        <w:t xml:space="preserve"> with </w:t>
      </w:r>
      <m:oMath>
        <m:r>
          <m:t>ρ=0.5</m:t>
        </m:r>
      </m:oMath>
    </w:p>
    <w:p>
      <w:pPr>
        <w:spacing w:after="40" w:line="480" w:lineRule="auto"/>
        <w:ind w:left="576"/>
      </w:pPr>
      <w:r>
        <w:rPr>
          <w:rFonts w:ascii="Times New Roman" w:hAnsi="Times New Roman"/>
          <w:b/>
          <w:sz w:val="22"/>
        </w:rPr>
        <w:t xml:space="preserve">5. </w:t>
      </w:r>
      <w:r>
        <w:rPr>
          <w:rFonts w:ascii="Times New Roman" w:hAnsi="Times New Roman"/>
          <w:sz w:val="22"/>
        </w:rPr>
        <w:t xml:space="preserve">Restore state, </w:t>
      </w:r>
      <w:r>
        <w:rPr>
          <w:rFonts w:ascii="Times New Roman" w:hAnsi="Times New Roman"/>
          <w:b/>
          <w:sz w:val="22"/>
        </w:rPr>
        <w:t>return</w:t>
      </w:r>
      <w:r>
        <w:rPr>
          <w:rFonts w:ascii="Times New Roman" w:hAnsi="Times New Roman"/>
          <w:sz w:val="22"/>
        </w:rPr>
        <w:t xml:space="preserve"> </w:t>
      </w:r>
      <m:oMath>
        <m:r>
          <m:t>α</m:t>
        </m:r>
      </m:oMath>
    </w:p>
    <w:p>
      <w:pPr>
        <w:spacing w:line="480" w:lineRule="auto"/>
      </w:pPr>
      <w:r>
        <w:rPr>
          <w:rFonts w:ascii="Times New Roman" w:hAnsi="Times New Roman"/>
          <w:sz w:val="22"/>
        </w:rPr>
        <w:t xml:space="preserve">The directional derivative is computed from the composition residuals </w:t>
      </w:r>
      <m:oMath>
        <m:sSub>
          <m:e>
            <m:r>
              <m:t>f</m:t>
            </m:r>
          </m:e>
          <m:sub>
            <m:r>
              <m:t>i</m:t>
            </m:r>
          </m:sub>
        </m:sSub>
        <m:r>
          <m:t>=</m:t>
        </m:r>
        <m:sSub>
          <m:e>
            <m:r>
              <m:t>μ</m:t>
            </m:r>
          </m:e>
          <m:sub>
            <m:r>
              <m:t>i</m:t>
            </m:r>
          </m:sub>
        </m:sSub>
        <m:r>
          <m:t>−</m:t>
        </m:r>
        <m:nary>
          <m:naryPr>
            <m:chr m:val="∑"/>
            <m:limLoc m:val="subSup"/>
            <m:grow m:val="1"/>
            <m:subHide m:val="off"/>
            <m:supHide m:val="on"/>
          </m:naryPr>
          <m:sub>
            <m:r>
              <m:t>k</m:t>
            </m:r>
          </m:sub>
          <m:sup/>
          <m:e>
            <m:sSub>
              <m:e>
                <m:r>
                  <m:t>λ</m:t>
                </m:r>
              </m:e>
              <m:sub>
                <m:r>
                  <m:t>k</m:t>
                </m:r>
              </m:sub>
            </m:sSub>
          </m:e>
        </m:nary>
        <m:sSub>
          <m:e>
            <m:r>
              <m:t>a</m:t>
            </m:r>
          </m:e>
          <m:sub>
            <m:r>
              <m:t>ki</m:t>
            </m:r>
          </m:sub>
        </m:sSub>
      </m:oMath>
      <w:r>
        <w:rPr>
          <w:rFonts w:ascii="Times New Roman" w:hAnsi="Times New Roman"/>
          <w:sz w:val="22"/>
        </w:rPr>
        <w:t xml:space="preserve">, which equal </w:t>
      </w:r>
      <m:oMath>
        <m:sSub>
          <m:e>
            <m:r>
              <m:t>∇</m:t>
            </m:r>
          </m:e>
          <m:sub>
            <m:r>
              <m:t>n</m:t>
            </m:r>
          </m:sub>
        </m:sSub>
        <m:r>
          <m:t>G−</m:t>
        </m:r>
        <m:sSup>
          <m:e>
            <m:r>
              <m:t>A</m:t>
            </m:r>
          </m:e>
          <m:sup>
            <m:r>
              <m:t>T</m:t>
            </m:r>
          </m:sup>
        </m:sSup>
        <m:r>
          <m:t>λ</m:t>
        </m:r>
      </m:oMath>
      <w:r>
        <w:rPr>
          <w:rFonts w:ascii="Times New Roman" w:hAnsi="Times New Roman"/>
          <w:sz w:val="22"/>
        </w:rPr>
        <w:t xml:space="preserve">. Since </w:t>
      </w:r>
      <m:oMath>
        <m:r>
          <m:t>Δn</m:t>
        </m:r>
      </m:oMath>
      <w:r>
        <w:rPr>
          <w:rFonts w:ascii="Times New Roman" w:hAnsi="Times New Roman"/>
          <w:sz w:val="22"/>
        </w:rPr>
        <w:t xml:space="preserve"> is the composition portion of the Newton step, </w:t>
      </w:r>
      <m:oMath>
        <m:r>
          <m:t>∇</m:t>
        </m:r>
        <m:sSup>
          <m:e>
            <m:r>
              <m:t>G</m:t>
            </m:r>
          </m:e>
          <m:sup>
            <m:r>
              <m:t>T</m:t>
            </m:r>
          </m:sup>
        </m:sSup>
        <m:r>
          <m:t>Δn≈</m:t>
        </m:r>
        <m:nary>
          <m:naryPr>
            <m:chr m:val="∑"/>
            <m:limLoc m:val="subSup"/>
            <m:grow m:val="1"/>
            <m:subHide m:val="off"/>
            <m:supHide m:val="on"/>
          </m:naryPr>
          <m:sub>
            <m:r>
              <m:t>i</m:t>
            </m:r>
          </m:sub>
          <m:sup/>
          <m:e>
            <m:sSub>
              <m:e>
                <m:r>
                  <m:t>f</m:t>
                </m:r>
              </m:e>
              <m:sub>
                <m:r>
                  <m:t>i</m:t>
                </m:r>
              </m:sub>
            </m:sSub>
          </m:e>
        </m:nary>
        <m:r>
          <m:t>Δ</m:t>
        </m:r>
        <m:sSub>
          <m:e>
            <m:r>
              <m:t>n</m:t>
            </m:r>
          </m:e>
          <m:sub>
            <m:r>
              <m:t>i</m:t>
            </m:r>
          </m:sub>
        </m:sSub>
      </m:oMath>
      <w:r>
        <w:rPr>
          <w:rFonts w:ascii="Times New Roman" w:hAnsi="Times New Roman"/>
          <w:sz w:val="22"/>
        </w:rPr>
        <w:t>.</w:t>
      </w:r>
    </w:p>
    <w:p>
      <w:pPr>
        <w:spacing w:line="480" w:lineRule="auto"/>
      </w:pPr>
      <w:r>
        <w:rPr>
          <w:rFonts w:ascii="Times New Roman" w:hAnsi="Times New Roman"/>
          <w:sz w:val="22"/>
        </w:rPr>
        <w:t xml:space="preserve">The key property, from [15], Theorem 3.1: if </w:t>
      </w:r>
      <m:oMath>
        <m:r>
          <m:t>Δn</m:t>
        </m:r>
      </m:oMath>
      <w:r>
        <w:rPr>
          <w:rFonts w:ascii="Times New Roman" w:hAnsi="Times New Roman"/>
          <w:sz w:val="22"/>
        </w:rPr>
        <w:t xml:space="preserve"> is a descent direction (negative directional derivative) and </w:t>
      </w:r>
      <m:oMath>
        <m:r>
          <m:t>G</m:t>
        </m:r>
      </m:oMath>
      <w:r>
        <w:rPr>
          <w:rFonts w:ascii="Times New Roman" w:hAnsi="Times New Roman"/>
          <w:sz w:val="22"/>
        </w:rPr>
        <w:t xml:space="preserve"> is Lipschitz continuous, then the Armijo condition is satisfiable for sufficiently small </w:t>
      </w:r>
      <m:oMath>
        <m:r>
          <m:t>α</m:t>
        </m:r>
      </m:oMath>
      <w:r>
        <w:rPr>
          <w:rFonts w:ascii="Times New Roman" w:hAnsi="Times New Roman"/>
          <w:sz w:val="22"/>
        </w:rPr>
        <w:t xml:space="preserve">, guaranteeing monotonic decrease of </w:t>
      </w:r>
      <m:oMath>
        <m:r>
          <m:t>G</m:t>
        </m:r>
      </m:oMath>
      <w:r>
        <w:rPr>
          <w:rFonts w:ascii="Times New Roman" w:hAnsi="Times New Roman"/>
          <w:sz w:val="22"/>
        </w:rPr>
        <w:t>.</w:t>
      </w:r>
    </w:p>
    <w:p>
      <w:pPr>
        <w:spacing w:before="240" w:after="80"/>
      </w:pPr>
      <w:r>
        <w:rPr>
          <w:rFonts w:ascii="Arial" w:hAnsi="Arial"/>
          <w:b/>
          <w:sz w:val="22"/>
        </w:rPr>
        <w:t>3.2 Tikhonov regularization</w:t>
      </w:r>
    </w:p>
    <w:p>
      <w:pPr>
        <w:spacing w:line="480" w:lineRule="auto"/>
      </w:pPr>
      <w:r>
        <w:rPr>
          <w:rFonts w:ascii="Times New Roman" w:hAnsi="Times New Roman"/>
          <w:sz w:val="22"/>
        </w:rPr>
        <w:t xml:space="preserve">When the condition number </w:t>
      </w:r>
      <m:oMath>
        <m:r>
          <m:t>κ(J)=‖J‖·‖</m:t>
        </m:r>
        <m:sSup>
          <m:e>
            <m:r>
              <m:t>J</m:t>
            </m:r>
          </m:e>
          <m:sup>
            <m:r>
              <m:t>−1</m:t>
            </m:r>
          </m:sup>
        </m:sSup>
        <m:r>
          <m:t>‖</m:t>
        </m:r>
      </m:oMath>
      <w:r>
        <w:rPr>
          <w:rFonts w:ascii="Times New Roman" w:hAnsi="Times New Roman"/>
          <w:sz w:val="22"/>
        </w:rPr>
        <w:t xml:space="preserve"> exceeds a threshold </w:t>
      </w:r>
      <m:oMath>
        <m:sSub>
          <m:e>
            <m:r>
              <m:t>κ</m:t>
            </m:r>
          </m:e>
          <m:sub>
            <m:r>
              <m:t>max</m:t>
            </m:r>
          </m:sub>
        </m:sSub>
      </m:oMath>
      <w:r>
        <w:rPr>
          <w:rFonts w:ascii="Times New Roman" w:hAnsi="Times New Roman"/>
          <w:sz w:val="22"/>
        </w:rPr>
        <w:t>, the computed Newton step becomes unreliable. We apply Tikhonov regularization [7, 22] to the Hessian block:</w:t>
      </w:r>
    </w:p>
    <w:p>
      <w:pPr>
        <w:spacing w:before="120" w:after="120"/>
        <w:jc w:val="center"/>
      </w:pPr>
      <m:oMath>
        <m:limUpp>
          <m:e>
            <m:r>
              <m:t>H</m:t>
            </m:r>
          </m:e>
          <m:lim>
            <m:r>
              <m:t>~</m:t>
            </m:r>
          </m:lim>
        </m:limUpp>
        <m:r>
          <m:t>=H+τI,</m:t>
        </m:r>
        <m:r>
          <m:t>τ=</m:t>
        </m:r>
        <m:sSub>
          <m:e>
            <m:r>
              <m:t>τ</m:t>
            </m:r>
          </m:e>
          <m:sub>
            <m:r>
              <m:t>0</m:t>
            </m:r>
          </m:sub>
        </m:sSub>
        <m:r>
          <m:t>·</m:t>
        </m:r>
        <m:sSub>
          <m:e>
            <m:r>
              <m:t>max</m:t>
            </m:r>
          </m:e>
          <m:sub>
            <m:r>
              <m:t>i</m:t>
            </m:r>
          </m:sub>
        </m:sSub>
        <m:r>
          <m:t>|</m:t>
        </m:r>
        <m:sSub>
          <m:e>
            <m:r>
              <m:t>H</m:t>
            </m:r>
          </m:e>
          <m:sub>
            <m:r>
              <m:t>ii</m:t>
            </m:r>
          </m:sub>
        </m:sSub>
        <m:r>
          <m:t>|</m:t>
        </m:r>
        <m:r>
          <m:rPr>
            <m:sty m:val="p"/>
          </m:rPr>
          <m:t>if</m:t>
        </m:r>
        <m:r>
          <m:t>κ(J)&gt;</m:t>
        </m:r>
        <m:sSub>
          <m:e>
            <m:r>
              <m:t>κ</m:t>
            </m:r>
          </m:e>
          <m:sub>
            <m:r>
              <m:t>max</m:t>
            </m:r>
          </m:sub>
        </m:sSub>
        <m:r>
          <m:t>0</m:t>
        </m:r>
        <m:r>
          <m:rPr>
            <m:sty m:val="p"/>
          </m:rPr>
          <m:t>otherwise</m:t>
        </m:r>
      </m:oMath>
      <w:r>
        <w:rPr>
          <w:rFonts w:ascii="Times New Roman" w:hAnsi="Times New Roman"/>
          <w:sz w:val="20"/>
        </w:rPr>
        <w:t xml:space="preserve">    (11)</w:t>
      </w:r>
    </w:p>
    <w:p>
      <w:pPr>
        <w:spacing w:line="480" w:lineRule="auto"/>
      </w:pPr>
      <w:r>
        <w:rPr>
          <w:rFonts w:ascii="Times New Roman" w:hAnsi="Times New Roman"/>
          <w:sz w:val="22"/>
        </w:rPr>
        <w:t xml:space="preserve">with default parameters </w:t>
      </w:r>
      <m:oMath>
        <m:sSub>
          <m:e>
            <m:r>
              <m:t>τ</m:t>
            </m:r>
          </m:e>
          <m:sub>
            <m:r>
              <m:t>0</m:t>
            </m:r>
          </m:sub>
        </m:sSub>
        <m:r>
          <m:t>=</m:t>
        </m:r>
        <m:sSup>
          <m:e>
            <m:r>
              <m:t>10</m:t>
            </m:r>
          </m:e>
          <m:sup>
            <m:r>
              <m:t>−6</m:t>
            </m:r>
          </m:sup>
        </m:sSup>
      </m:oMath>
      <w:r>
        <w:rPr>
          <w:rFonts w:ascii="Times New Roman" w:hAnsi="Times New Roman"/>
          <w:sz w:val="22"/>
        </w:rPr>
        <w:t xml:space="preserve"> and </w:t>
      </w:r>
      <m:oMath>
        <m:sSub>
          <m:e>
            <m:r>
              <m:t>κ</m:t>
            </m:r>
          </m:e>
          <m:sub>
            <m:r>
              <m:t>max</m:t>
            </m:r>
          </m:sub>
        </m:sSub>
        <m:r>
          <m:t>=</m:t>
        </m:r>
        <m:sSup>
          <m:e>
            <m:r>
              <m:t>10</m:t>
            </m:r>
          </m:e>
          <m:sup>
            <m:r>
              <m:t>10</m:t>
            </m:r>
          </m:sup>
        </m:sSup>
      </m:oMath>
      <w:r>
        <w:rPr>
          <w:rFonts w:ascii="Times New Roman" w:hAnsi="Times New Roman"/>
          <w:sz w:val="22"/>
        </w:rPr>
        <w:t>.</w:t>
      </w:r>
    </w:p>
    <w:p>
      <w:pPr>
        <w:spacing w:line="480" w:lineRule="auto"/>
      </w:pPr>
      <w:r>
        <w:rPr>
          <w:rFonts w:ascii="Times New Roman" w:hAnsi="Times New Roman"/>
          <w:sz w:val="22"/>
        </w:rPr>
        <w:t>This is a Levenberg-Marquardt-type modification [3] that interpolates between the Newton direction (</w:t>
      </w:r>
      <m:oMath>
        <m:r>
          <m:t>τ=0</m:t>
        </m:r>
      </m:oMath>
      <w:r>
        <w:rPr>
          <w:rFonts w:ascii="Times New Roman" w:hAnsi="Times New Roman"/>
          <w:sz w:val="22"/>
        </w:rPr>
        <w:t>) and the steepest descent direction (</w:t>
      </w:r>
      <m:oMath>
        <m:r>
          <m:t>τ→∞</m:t>
        </m:r>
      </m:oMath>
      <w:r>
        <w:rPr>
          <w:rFonts w:ascii="Times New Roman" w:hAnsi="Times New Roman"/>
          <w:sz w:val="22"/>
        </w:rPr>
        <w:t xml:space="preserve">). The scaling by </w:t>
      </w:r>
      <m:oMath>
        <m:sSub>
          <m:e>
            <m:r>
              <m:t>max</m:t>
            </m:r>
          </m:e>
          <m:sub>
            <m:r>
              <m:t>i</m:t>
            </m:r>
          </m:sub>
        </m:sSub>
        <m:r>
          <m:t>|</m:t>
        </m:r>
        <m:sSub>
          <m:e>
            <m:r>
              <m:t>H</m:t>
            </m:r>
          </m:e>
          <m:sub>
            <m:r>
              <m:t>ii</m:t>
            </m:r>
          </m:sub>
        </m:sSub>
        <m:r>
          <m:t>|</m:t>
        </m:r>
      </m:oMath>
      <w:r>
        <w:rPr>
          <w:rFonts w:ascii="Times New Roman" w:hAnsi="Times New Roman"/>
          <w:sz w:val="22"/>
        </w:rPr>
        <w:t xml:space="preserve"> ensures the regularization magnitude adapts to the problem scale.</w:t>
      </w:r>
    </w:p>
    <w:p>
      <w:pPr>
        <w:spacing w:line="480" w:lineRule="auto"/>
      </w:pPr>
      <w:r>
        <w:rPr>
          <w:rFonts w:ascii="Times New Roman" w:hAnsi="Times New Roman"/>
          <w:sz w:val="22"/>
        </w:rPr>
        <w:t>When regularization is applied, the linear system is re-solved with the modified Jacobian, producing a slightly biased but well-conditioned step.</w:t>
      </w:r>
    </w:p>
    <w:p>
      <w:pPr>
        <w:spacing w:before="240" w:after="80"/>
      </w:pPr>
      <w:r>
        <w:rPr>
          <w:rFonts w:ascii="Arial" w:hAnsi="Arial"/>
          <w:b/>
          <w:sz w:val="22"/>
        </w:rPr>
        <w:t>3.3 Convergence diagnostics</w:t>
      </w:r>
    </w:p>
    <w:p>
      <w:pPr>
        <w:spacing w:line="480" w:lineRule="auto"/>
      </w:pPr>
      <w:r>
        <w:rPr>
          <w:rFonts w:ascii="Times New Roman" w:hAnsi="Times New Roman"/>
          <w:sz w:val="22"/>
        </w:rPr>
        <w:t>At each iteration, the following quantities are recorded:</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3120"/>
        <w:gridCol w:w="3120"/>
        <w:gridCol w:w="3120"/>
      </w:tblGrid>
      <w:tr>
        <w:tc>
          <w:tcPr>
            <w:tcW w:type="dxa" w:w="3120"/>
            <w:shd w:fill="E3F2FD"/>
            <w:tcBorders>
              <w:top w:val="single" w:sz="12" w:space="0" w:color="000000"/>
              <w:bottom w:val="single" w:sz="8" w:space="0" w:color="000000"/>
            </w:tcBorders>
          </w:tcPr>
          <w:p>
            <w:pPr>
              <w:jc w:val="center"/>
            </w:pPr>
            <w:r/>
            <w:r>
              <w:rPr>
                <w:rFonts w:ascii="Arial" w:hAnsi="Arial"/>
                <w:b/>
                <w:sz w:val="18"/>
              </w:rPr>
              <w:t>Diagnostic</w:t>
            </w:r>
          </w:p>
        </w:tc>
        <w:tc>
          <w:tcPr>
            <w:tcW w:type="dxa" w:w="3120"/>
            <w:shd w:fill="E3F2FD"/>
            <w:tcBorders>
              <w:top w:val="single" w:sz="12" w:space="0" w:color="000000"/>
              <w:bottom w:val="single" w:sz="8" w:space="0" w:color="000000"/>
            </w:tcBorders>
          </w:tcPr>
          <w:p>
            <w:pPr>
              <w:jc w:val="center"/>
            </w:pPr>
            <w:r/>
            <w:r>
              <w:rPr>
                <w:rFonts w:ascii="Arial" w:hAnsi="Arial"/>
                <w:b/>
                <w:sz w:val="18"/>
              </w:rPr>
              <w:t>Symbol</w:t>
            </w:r>
          </w:p>
        </w:tc>
        <w:tc>
          <w:tcPr>
            <w:tcW w:type="dxa" w:w="3120"/>
            <w:shd w:fill="E3F2FD"/>
            <w:tcBorders>
              <w:top w:val="single" w:sz="12" w:space="0" w:color="000000"/>
              <w:bottom w:val="single" w:sz="8" w:space="0" w:color="000000"/>
            </w:tcBorders>
          </w:tcPr>
          <w:p>
            <w:pPr>
              <w:jc w:val="center"/>
            </w:pPr>
            <w:r/>
            <w:r>
              <w:rPr>
                <w:rFonts w:ascii="Arial" w:hAnsi="Arial"/>
                <w:b/>
                <w:sz w:val="18"/>
              </w:rPr>
              <w:t>Purpose</w:t>
            </w:r>
          </w:p>
        </w:tc>
      </w:tr>
      <w:tr>
        <w:tc>
          <w:tcPr>
            <w:tcW w:type="dxa" w:w="3120"/>
          </w:tcPr>
          <w:p>
            <w:pPr>
              <w:jc w:val="left"/>
            </w:pPr>
            <w:r/>
            <w:r>
              <w:rPr>
                <w:rFonts w:ascii="Arial" w:hAnsi="Arial"/>
                <w:sz w:val="18"/>
              </w:rPr>
              <w:t>Total Gibbs energy</w:t>
            </w:r>
          </w:p>
        </w:tc>
        <w:tc>
          <w:tcPr>
            <w:tcW w:type="dxa" w:w="3120"/>
          </w:tcPr>
          <w:p>
            <w:pPr>
              <w:jc w:val="center"/>
            </w:pPr>
            <w:r/>
            <w:r>
              <w:rPr>
                <w:rFonts w:ascii="Arial" w:hAnsi="Arial"/>
                <w:sz w:val="18"/>
              </w:rPr>
              <w:t>$G^(k)$</w:t>
            </w:r>
          </w:p>
        </w:tc>
        <w:tc>
          <w:tcPr>
            <w:tcW w:type="dxa" w:w="3120"/>
          </w:tcPr>
          <w:p>
            <w:pPr>
              <w:jc w:val="center"/>
            </w:pPr>
            <w:r/>
            <w:r>
              <w:rPr>
                <w:rFonts w:ascii="Arial" w:hAnsi="Arial"/>
                <w:sz w:val="18"/>
              </w:rPr>
              <w:t>Verify monotonic decrease</w:t>
            </w:r>
          </w:p>
        </w:tc>
      </w:tr>
      <w:tr>
        <w:tc>
          <w:tcPr>
            <w:tcW w:type="dxa" w:w="3120"/>
          </w:tcPr>
          <w:p>
            <w:pPr>
              <w:jc w:val="left"/>
            </w:pPr>
            <w:r/>
            <w:r>
              <w:rPr>
                <w:rFonts w:ascii="Arial" w:hAnsi="Arial"/>
                <w:sz w:val="18"/>
              </w:rPr>
              <w:t>Condition number</w:t>
            </w:r>
          </w:p>
        </w:tc>
        <w:tc>
          <w:tcPr>
            <w:tcW w:type="dxa" w:w="3120"/>
          </w:tcPr>
          <w:p>
            <w:pPr>
              <w:jc w:val="center"/>
            </w:pPr>
            <w:r/>
            <w:r>
              <w:rPr>
                <w:rFonts w:ascii="Arial" w:hAnsi="Arial"/>
                <w:sz w:val="18"/>
              </w:rPr>
              <w:t>$κ(J^(k))$</w:t>
            </w:r>
          </w:p>
        </w:tc>
        <w:tc>
          <w:tcPr>
            <w:tcW w:type="dxa" w:w="3120"/>
          </w:tcPr>
          <w:p>
            <w:pPr>
              <w:jc w:val="center"/>
            </w:pPr>
            <w:r/>
            <w:r>
              <w:rPr>
                <w:rFonts w:ascii="Arial" w:hAnsi="Arial"/>
                <w:sz w:val="18"/>
              </w:rPr>
              <w:t>Monitor numerical stability</w:t>
            </w:r>
          </w:p>
        </w:tc>
      </w:tr>
      <w:tr>
        <w:tc>
          <w:tcPr>
            <w:tcW w:type="dxa" w:w="3120"/>
          </w:tcPr>
          <w:p>
            <w:pPr>
              <w:jc w:val="left"/>
            </w:pPr>
            <w:r/>
            <w:r>
              <w:rPr>
                <w:rFonts w:ascii="Arial" w:hAnsi="Arial"/>
                <w:sz w:val="18"/>
              </w:rPr>
              <w:t>Step size</w:t>
            </w:r>
          </w:p>
        </w:tc>
        <w:tc>
          <w:tcPr>
            <w:tcW w:type="dxa" w:w="3120"/>
          </w:tcPr>
          <w:p>
            <w:pPr>
              <w:jc w:val="center"/>
            </w:pPr>
            <w:r/>
            <w:r>
              <w:rPr>
                <w:rFonts w:ascii="Arial" w:hAnsi="Arial"/>
                <w:sz w:val="18"/>
              </w:rPr>
              <w:t>$α^(k)$</w:t>
            </w:r>
          </w:p>
        </w:tc>
        <w:tc>
          <w:tcPr>
            <w:tcW w:type="dxa" w:w="3120"/>
          </w:tcPr>
          <w:p>
            <w:pPr>
              <w:jc w:val="center"/>
            </w:pPr>
            <w:r/>
            <w:r>
              <w:rPr>
                <w:rFonts w:ascii="Arial" w:hAnsi="Arial"/>
                <w:sz w:val="18"/>
              </w:rPr>
              <w:t>Track step control behavior</w:t>
            </w:r>
          </w:p>
        </w:tc>
      </w:tr>
      <w:tr>
        <w:tc>
          <w:tcPr>
            <w:tcW w:type="dxa" w:w="3120"/>
            <w:tcBorders>
              <w:bottom w:val="single" w:sz="12" w:space="0" w:color="000000"/>
            </w:tcBorders>
          </w:tcPr>
          <w:p>
            <w:pPr>
              <w:jc w:val="left"/>
            </w:pPr>
            <w:r/>
            <w:r>
              <w:rPr>
                <w:rFonts w:ascii="Arial" w:hAnsi="Arial"/>
                <w:sz w:val="18"/>
              </w:rPr>
              <w:t>Element balance error</w:t>
            </w:r>
          </w:p>
        </w:tc>
        <w:tc>
          <w:tcPr>
            <w:tcW w:type="dxa" w:w="3120"/>
            <w:tcBorders>
              <w:bottom w:val="single" w:sz="12" w:space="0" w:color="000000"/>
            </w:tcBorders>
          </w:tcPr>
          <w:p>
            <w:pPr>
              <w:jc w:val="center"/>
            </w:pPr>
            <w:r/>
            <w:r>
              <w:rPr>
                <w:rFonts w:ascii="Arial" w:hAnsi="Arial"/>
                <w:sz w:val="18"/>
              </w:rPr>
              <w:t>$\</w:t>
            </w:r>
          </w:p>
        </w:tc>
        <w:tc>
          <w:tcPr>
            <w:tcW w:type="dxa" w:w="3120"/>
            <w:tcBorders>
              <w:bottom w:val="single" w:sz="12" w:space="0" w:color="000000"/>
            </w:tcBorders>
          </w:tcPr>
          <w:p>
            <w:pPr>
              <w:jc w:val="center"/>
            </w:pPr>
            <w:r/>
            <w:r>
              <w:rPr>
                <w:rFonts w:ascii="Arial" w:hAnsi="Arial"/>
                <w:sz w:val="18"/>
              </w:rPr>
              <w:t>An^(k) - b\</w:t>
            </w:r>
          </w:p>
        </w:tc>
      </w:tr>
    </w:tbl>
    <w:p/>
    <w:p>
      <w:pPr>
        <w:spacing w:line="480" w:lineRule="auto"/>
      </w:pPr>
      <w:r>
        <w:rPr>
          <w:rFonts w:ascii="Times New Roman" w:hAnsi="Times New Roman"/>
          <w:sz w:val="22"/>
        </w:rPr>
        <w:t>These histories enable post-hoc analysis of convergence difficulties and inform parameter tuning for similar systems.</w:t>
      </w:r>
    </w:p>
    <w:p>
      <w:pPr>
        <w:spacing w:before="360" w:after="120"/>
      </w:pPr>
      <w:r>
        <w:rPr>
          <w:rFonts w:ascii="Arial" w:hAnsi="Arial"/>
          <w:b/>
          <w:sz w:val="26"/>
        </w:rPr>
        <w:t>4. Test Systems and Computational Setup</w:t>
      </w:r>
    </w:p>
    <w:p>
      <w:pPr>
        <w:spacing w:before="240" w:after="80"/>
      </w:pPr>
      <w:r>
        <w:rPr>
          <w:rFonts w:ascii="Arial" w:hAnsi="Arial"/>
          <w:b/>
          <w:sz w:val="22"/>
        </w:rPr>
        <w:t>4.1 Test matrix</w:t>
      </w:r>
    </w:p>
    <w:p>
      <w:pPr>
        <w:spacing w:line="480" w:lineRule="auto"/>
      </w:pPr>
      <w:r>
        <w:rPr>
          <w:rFonts w:ascii="Times New Roman" w:hAnsi="Times New Roman"/>
          <w:sz w:val="22"/>
        </w:rPr>
        <w:t>Five chemical systems are used, covering a range of chemistries and conditions:</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1040"/>
        <w:gridCol w:w="1040"/>
        <w:gridCol w:w="1040"/>
        <w:gridCol w:w="1040"/>
        <w:gridCol w:w="1040"/>
        <w:gridCol w:w="1040"/>
        <w:gridCol w:w="1040"/>
        <w:gridCol w:w="1040"/>
        <w:gridCol w:w="1040"/>
      </w:tblGrid>
      <w:tr>
        <w:tc>
          <w:tcPr>
            <w:tcW w:type="dxa" w:w="1040"/>
            <w:shd w:fill="E3F2FD"/>
            <w:tcBorders>
              <w:top w:val="single" w:sz="12" w:space="0" w:color="000000"/>
              <w:bottom w:val="single" w:sz="8" w:space="0" w:color="000000"/>
            </w:tcBorders>
          </w:tcPr>
          <w:p>
            <w:pPr>
              <w:jc w:val="center"/>
            </w:pPr>
            <w:r/>
            <w:r>
              <w:rPr>
                <w:rFonts w:ascii="Arial" w:hAnsi="Arial"/>
                <w:b/>
                <w:sz w:val="18"/>
              </w:rPr>
              <w:t>ID</w:t>
            </w:r>
          </w:p>
        </w:tc>
        <w:tc>
          <w:tcPr>
            <w:tcW w:type="dxa" w:w="1040"/>
            <w:shd w:fill="E3F2FD"/>
            <w:tcBorders>
              <w:top w:val="single" w:sz="12" w:space="0" w:color="000000"/>
              <w:bottom w:val="single" w:sz="8" w:space="0" w:color="000000"/>
            </w:tcBorders>
          </w:tcPr>
          <w:p>
            <w:pPr>
              <w:jc w:val="center"/>
            </w:pPr>
            <w:r/>
            <w:r>
              <w:rPr>
                <w:rFonts w:ascii="Arial" w:hAnsi="Arial"/>
                <w:b/>
                <w:sz w:val="18"/>
              </w:rPr>
              <w:t>System</w:t>
            </w:r>
          </w:p>
        </w:tc>
        <w:tc>
          <w:tcPr>
            <w:tcW w:type="dxa" w:w="1040"/>
            <w:shd w:fill="E3F2FD"/>
            <w:tcBorders>
              <w:top w:val="single" w:sz="12" w:space="0" w:color="000000"/>
              <w:bottom w:val="single" w:sz="8" w:space="0" w:color="000000"/>
            </w:tcBorders>
          </w:tcPr>
          <w:p>
            <w:pPr>
              <w:jc w:val="center"/>
            </w:pPr>
            <w:r/>
            <w:r>
              <w:rPr>
                <w:rFonts w:ascii="Arial" w:hAnsi="Arial"/>
                <w:b/>
                <w:sz w:val="18"/>
              </w:rPr>
              <w:t>Species</w:t>
            </w:r>
          </w:p>
        </w:tc>
        <w:tc>
          <w:tcPr>
            <w:tcW w:type="dxa" w:w="1040"/>
            <w:shd w:fill="E3F2FD"/>
            <w:tcBorders>
              <w:top w:val="single" w:sz="12" w:space="0" w:color="000000"/>
              <w:bottom w:val="single" w:sz="8" w:space="0" w:color="000000"/>
            </w:tcBorders>
          </w:tcPr>
          <w:p>
            <w:pPr>
              <w:jc w:val="center"/>
            </w:pPr>
            <w:r/>
            <w:r>
              <w:rPr>
                <w:rFonts w:ascii="Arial" w:hAnsi="Arial"/>
                <w:b/>
                <w:sz w:val="18"/>
              </w:rPr>
              <w:t>T (K)</w:t>
            </w:r>
          </w:p>
        </w:tc>
        <w:tc>
          <w:tcPr>
            <w:tcW w:type="dxa" w:w="1040"/>
            <w:shd w:fill="E3F2FD"/>
            <w:tcBorders>
              <w:top w:val="single" w:sz="12" w:space="0" w:color="000000"/>
              <w:bottom w:val="single" w:sz="8" w:space="0" w:color="000000"/>
            </w:tcBorders>
          </w:tcPr>
          <w:p>
            <w:pPr>
              <w:jc w:val="center"/>
            </w:pPr>
            <w:r/>
            <w:r>
              <w:rPr>
                <w:rFonts w:ascii="Arial" w:hAnsi="Arial"/>
                <w:b/>
                <w:sz w:val="18"/>
              </w:rPr>
              <w:t>P (bar)</w:t>
            </w:r>
          </w:p>
        </w:tc>
        <w:tc>
          <w:tcPr>
            <w:tcW w:type="dxa" w:w="1040"/>
            <w:shd w:fill="E3F2FD"/>
            <w:tcBorders>
              <w:top w:val="single" w:sz="12" w:space="0" w:color="000000"/>
              <w:bottom w:val="single" w:sz="8" w:space="0" w:color="000000"/>
            </w:tcBorders>
          </w:tcPr>
          <w:p>
            <w:pPr>
              <w:jc w:val="center"/>
            </w:pPr>
            <w:r/>
            <w:r>
              <w:rPr>
                <w:rFonts w:ascii="Arial" w:hAnsi="Arial"/>
                <w:b/>
                <w:sz w:val="18"/>
              </w:rPr>
              <w:t>EOS</w:t>
            </w:r>
          </w:p>
        </w:tc>
        <w:tc>
          <w:tcPr>
            <w:tcW w:type="dxa" w:w="1040"/>
            <w:shd w:fill="E3F2FD"/>
            <w:tcBorders>
              <w:top w:val="single" w:sz="12" w:space="0" w:color="000000"/>
              <w:bottom w:val="single" w:sz="8" w:space="0" w:color="000000"/>
            </w:tcBorders>
          </w:tcPr>
          <w:p>
            <w:pPr>
              <w:jc w:val="center"/>
            </w:pPr>
            <w:r/>
            <w:r>
              <w:rPr>
                <w:rFonts w:ascii="Arial" w:hAnsi="Arial"/>
                <w:b/>
                <w:sz w:val="18"/>
              </w:rPr>
              <w:t>Energy mode</w:t>
            </w:r>
          </w:p>
        </w:tc>
        <w:tc>
          <w:tcPr>
            <w:tcW w:type="dxa" w:w="1040"/>
            <w:shd w:fill="E3F2FD"/>
            <w:tcBorders>
              <w:top w:val="single" w:sz="12" w:space="0" w:color="000000"/>
              <w:bottom w:val="single" w:sz="8" w:space="0" w:color="000000"/>
            </w:tcBorders>
          </w:tcPr>
          <w:p>
            <w:pPr>
              <w:jc w:val="center"/>
            </w:pPr>
            <w:r/>
            <w:r>
              <w:rPr>
                <w:rFonts w:ascii="Arial" w:hAnsi="Arial"/>
                <w:b/>
                <w:sz w:val="18"/>
              </w:rPr>
              <w:t>$α$</w:t>
            </w:r>
          </w:p>
        </w:tc>
        <w:tc>
          <w:tcPr>
            <w:tcW w:type="dxa" w:w="1040"/>
            <w:shd w:fill="E3F2FD"/>
            <w:tcBorders>
              <w:top w:val="single" w:sz="12" w:space="0" w:color="000000"/>
              <w:bottom w:val="single" w:sz="8" w:space="0" w:color="000000"/>
            </w:tcBorders>
          </w:tcPr>
          <w:p>
            <w:pPr>
              <w:jc w:val="center"/>
            </w:pPr>
            <w:r/>
            <w:r>
              <w:rPr>
                <w:rFonts w:ascii="Arial" w:hAnsi="Arial"/>
                <w:b/>
                <w:sz w:val="18"/>
              </w:rPr>
              <w:t>Challenge</w:t>
            </w:r>
          </w:p>
        </w:tc>
      </w:tr>
      <w:tr>
        <w:tc>
          <w:tcPr>
            <w:tcW w:type="dxa" w:w="1040"/>
          </w:tcPr>
          <w:p>
            <w:pPr>
              <w:jc w:val="left"/>
            </w:pPr>
            <w:r/>
            <w:r>
              <w:rPr>
                <w:rFonts w:ascii="Arial" w:hAnsi="Arial"/>
                <w:sz w:val="18"/>
              </w:rPr>
              <w:t>S1</w:t>
            </w:r>
          </w:p>
        </w:tc>
        <w:tc>
          <w:tcPr>
            <w:tcW w:type="dxa" w:w="1040"/>
          </w:tcPr>
          <w:p>
            <w:pPr>
              <w:jc w:val="center"/>
            </w:pPr>
            <w:r/>
            <w:r>
              <w:rPr>
                <w:rFonts w:ascii="Arial" w:hAnsi="Arial"/>
                <w:sz w:val="18"/>
              </w:rPr>
              <w:t>CH$_4$ combustion</w:t>
            </w:r>
          </w:p>
        </w:tc>
        <w:tc>
          <w:tcPr>
            <w:tcW w:type="dxa" w:w="1040"/>
          </w:tcPr>
          <w:p>
            <w:pPr>
              <w:jc w:val="center"/>
            </w:pPr>
            <w:r/>
            <w:r>
              <w:rPr>
                <w:rFonts w:ascii="Arial" w:hAnsi="Arial"/>
                <w:sz w:val="18"/>
              </w:rPr>
              <w:t>4</w:t>
            </w:r>
          </w:p>
        </w:tc>
        <w:tc>
          <w:tcPr>
            <w:tcW w:type="dxa" w:w="1040"/>
          </w:tcPr>
          <w:p>
            <w:pPr>
              <w:jc w:val="center"/>
            </w:pPr>
            <w:r/>
            <w:r>
              <w:rPr>
                <w:rFonts w:ascii="Arial" w:hAnsi="Arial"/>
                <w:sz w:val="18"/>
              </w:rPr>
              <w:t>298</w:t>
            </w:r>
          </w:p>
        </w:tc>
        <w:tc>
          <w:tcPr>
            <w:tcW w:type="dxa" w:w="1040"/>
          </w:tcPr>
          <w:p>
            <w:pPr>
              <w:jc w:val="center"/>
            </w:pPr>
            <w:r/>
            <w:r>
              <w:rPr>
                <w:rFonts w:ascii="Arial" w:hAnsi="Arial"/>
                <w:sz w:val="18"/>
              </w:rPr>
              <w:t>100</w:t>
            </w:r>
          </w:p>
        </w:tc>
        <w:tc>
          <w:tcPr>
            <w:tcW w:type="dxa" w:w="1040"/>
          </w:tcPr>
          <w:p>
            <w:pPr>
              <w:jc w:val="center"/>
            </w:pPr>
            <w:r/>
            <w:r>
              <w:rPr>
                <w:rFonts w:ascii="Arial" w:hAnsi="Arial"/>
                <w:sz w:val="18"/>
              </w:rPr>
              <w:t>SRK</w:t>
            </w:r>
          </w:p>
        </w:tc>
        <w:tc>
          <w:tcPr>
            <w:tcW w:type="dxa" w:w="1040"/>
          </w:tcPr>
          <w:p>
            <w:pPr>
              <w:jc w:val="center"/>
            </w:pPr>
            <w:r/>
            <w:r>
              <w:rPr>
                <w:rFonts w:ascii="Arial" w:hAnsi="Arial"/>
                <w:sz w:val="18"/>
              </w:rPr>
              <w:t>Adiabatic</w:t>
            </w:r>
          </w:p>
        </w:tc>
        <w:tc>
          <w:tcPr>
            <w:tcW w:type="dxa" w:w="1040"/>
          </w:tcPr>
          <w:p>
            <w:pPr>
              <w:jc w:val="center"/>
            </w:pPr>
            <w:r/>
            <w:r>
              <w:rPr>
                <w:rFonts w:ascii="Arial" w:hAnsi="Arial"/>
                <w:sz w:val="18"/>
              </w:rPr>
              <w:t>0.01</w:t>
            </w:r>
          </w:p>
        </w:tc>
        <w:tc>
          <w:tcPr>
            <w:tcW w:type="dxa" w:w="1040"/>
          </w:tcPr>
          <w:p>
            <w:pPr>
              <w:jc w:val="center"/>
            </w:pPr>
            <w:r/>
            <w:r>
              <w:rPr>
                <w:rFonts w:ascii="Arial" w:hAnsi="Arial"/>
                <w:sz w:val="18"/>
              </w:rPr>
              <w:t>Standard benchmark</w:t>
            </w:r>
          </w:p>
        </w:tc>
      </w:tr>
      <w:tr>
        <w:tc>
          <w:tcPr>
            <w:tcW w:type="dxa" w:w="1040"/>
          </w:tcPr>
          <w:p>
            <w:pPr>
              <w:jc w:val="left"/>
            </w:pPr>
            <w:r/>
            <w:r>
              <w:rPr>
                <w:rFonts w:ascii="Arial" w:hAnsi="Arial"/>
                <w:sz w:val="18"/>
              </w:rPr>
              <w:t>S2</w:t>
            </w:r>
          </w:p>
        </w:tc>
        <w:tc>
          <w:tcPr>
            <w:tcW w:type="dxa" w:w="1040"/>
          </w:tcPr>
          <w:p>
            <w:pPr>
              <w:jc w:val="center"/>
            </w:pPr>
            <w:r/>
            <w:r>
              <w:rPr>
                <w:rFonts w:ascii="Arial" w:hAnsi="Arial"/>
                <w:sz w:val="18"/>
              </w:rPr>
              <w:t>CH$_4$ combustion + CO</w:t>
            </w:r>
          </w:p>
        </w:tc>
        <w:tc>
          <w:tcPr>
            <w:tcW w:type="dxa" w:w="1040"/>
          </w:tcPr>
          <w:p>
            <w:pPr>
              <w:jc w:val="center"/>
            </w:pPr>
            <w:r/>
            <w:r>
              <w:rPr>
                <w:rFonts w:ascii="Arial" w:hAnsi="Arial"/>
                <w:sz w:val="18"/>
              </w:rPr>
              <w:t>5</w:t>
            </w:r>
          </w:p>
        </w:tc>
        <w:tc>
          <w:tcPr>
            <w:tcW w:type="dxa" w:w="1040"/>
          </w:tcPr>
          <w:p>
            <w:pPr>
              <w:jc w:val="center"/>
            </w:pPr>
            <w:r/>
            <w:r>
              <w:rPr>
                <w:rFonts w:ascii="Arial" w:hAnsi="Arial"/>
                <w:sz w:val="18"/>
              </w:rPr>
              <w:t>298</w:t>
            </w:r>
          </w:p>
        </w:tc>
        <w:tc>
          <w:tcPr>
            <w:tcW w:type="dxa" w:w="1040"/>
          </w:tcPr>
          <w:p>
            <w:pPr>
              <w:jc w:val="center"/>
            </w:pPr>
            <w:r/>
            <w:r>
              <w:rPr>
                <w:rFonts w:ascii="Arial" w:hAnsi="Arial"/>
                <w:sz w:val="18"/>
              </w:rPr>
              <w:t>100</w:t>
            </w:r>
          </w:p>
        </w:tc>
        <w:tc>
          <w:tcPr>
            <w:tcW w:type="dxa" w:w="1040"/>
          </w:tcPr>
          <w:p>
            <w:pPr>
              <w:jc w:val="center"/>
            </w:pPr>
            <w:r/>
            <w:r>
              <w:rPr>
                <w:rFonts w:ascii="Arial" w:hAnsi="Arial"/>
                <w:sz w:val="18"/>
              </w:rPr>
              <w:t>SRK</w:t>
            </w:r>
          </w:p>
        </w:tc>
        <w:tc>
          <w:tcPr>
            <w:tcW w:type="dxa" w:w="1040"/>
          </w:tcPr>
          <w:p>
            <w:pPr>
              <w:jc w:val="center"/>
            </w:pPr>
            <w:r/>
            <w:r>
              <w:rPr>
                <w:rFonts w:ascii="Arial" w:hAnsi="Arial"/>
                <w:sz w:val="18"/>
              </w:rPr>
              <w:t>Adiabatic</w:t>
            </w:r>
          </w:p>
        </w:tc>
        <w:tc>
          <w:tcPr>
            <w:tcW w:type="dxa" w:w="1040"/>
          </w:tcPr>
          <w:p>
            <w:pPr>
              <w:jc w:val="center"/>
            </w:pPr>
            <w:r/>
            <w:r>
              <w:rPr>
                <w:rFonts w:ascii="Arial" w:hAnsi="Arial"/>
                <w:sz w:val="18"/>
              </w:rPr>
              <w:t>0.01</w:t>
            </w:r>
          </w:p>
        </w:tc>
        <w:tc>
          <w:tcPr>
            <w:tcW w:type="dxa" w:w="1040"/>
          </w:tcPr>
          <w:p>
            <w:pPr>
              <w:jc w:val="center"/>
            </w:pPr>
            <w:r/>
            <w:r>
              <w:rPr>
                <w:rFonts w:ascii="Arial" w:hAnsi="Arial"/>
                <w:sz w:val="18"/>
              </w:rPr>
              <w:t>Competing equilibria</w:t>
            </w:r>
          </w:p>
        </w:tc>
      </w:tr>
      <w:tr>
        <w:tc>
          <w:tcPr>
            <w:tcW w:type="dxa" w:w="1040"/>
          </w:tcPr>
          <w:p>
            <w:pPr>
              <w:jc w:val="left"/>
            </w:pPr>
            <w:r/>
            <w:r>
              <w:rPr>
                <w:rFonts w:ascii="Arial" w:hAnsi="Arial"/>
                <w:sz w:val="18"/>
              </w:rPr>
              <w:t>S3</w:t>
            </w:r>
          </w:p>
        </w:tc>
        <w:tc>
          <w:tcPr>
            <w:tcW w:type="dxa" w:w="1040"/>
          </w:tcPr>
          <w:p>
            <w:pPr>
              <w:jc w:val="center"/>
            </w:pPr>
            <w:r/>
            <w:r>
              <w:rPr>
                <w:rFonts w:ascii="Arial" w:hAnsi="Arial"/>
                <w:sz w:val="18"/>
              </w:rPr>
              <w:t>H$_2$/O$_2$ reaction</w:t>
            </w:r>
          </w:p>
        </w:tc>
        <w:tc>
          <w:tcPr>
            <w:tcW w:type="dxa" w:w="1040"/>
          </w:tcPr>
          <w:p>
            <w:pPr>
              <w:jc w:val="center"/>
            </w:pPr>
            <w:r/>
            <w:r>
              <w:rPr>
                <w:rFonts w:ascii="Arial" w:hAnsi="Arial"/>
                <w:sz w:val="18"/>
              </w:rPr>
              <w:t>3</w:t>
            </w:r>
          </w:p>
        </w:tc>
        <w:tc>
          <w:tcPr>
            <w:tcW w:type="dxa" w:w="1040"/>
          </w:tcPr>
          <w:p>
            <w:pPr>
              <w:jc w:val="center"/>
            </w:pPr>
            <w:r/>
            <w:r>
              <w:rPr>
                <w:rFonts w:ascii="Arial" w:hAnsi="Arial"/>
                <w:sz w:val="18"/>
              </w:rPr>
              <w:t>298</w:t>
            </w:r>
          </w:p>
        </w:tc>
        <w:tc>
          <w:tcPr>
            <w:tcW w:type="dxa" w:w="1040"/>
          </w:tcPr>
          <w:p>
            <w:pPr>
              <w:jc w:val="center"/>
            </w:pPr>
            <w:r/>
            <w:r>
              <w:rPr>
                <w:rFonts w:ascii="Arial" w:hAnsi="Arial"/>
                <w:sz w:val="18"/>
              </w:rPr>
              <w:t>1</w:t>
            </w:r>
          </w:p>
        </w:tc>
        <w:tc>
          <w:tcPr>
            <w:tcW w:type="dxa" w:w="1040"/>
          </w:tcPr>
          <w:p>
            <w:pPr>
              <w:jc w:val="center"/>
            </w:pPr>
            <w:r/>
            <w:r>
              <w:rPr>
                <w:rFonts w:ascii="Arial" w:hAnsi="Arial"/>
                <w:sz w:val="18"/>
              </w:rPr>
              <w:t>SRK</w:t>
            </w:r>
          </w:p>
        </w:tc>
        <w:tc>
          <w:tcPr>
            <w:tcW w:type="dxa" w:w="1040"/>
          </w:tcPr>
          <w:p>
            <w:pPr>
              <w:jc w:val="center"/>
            </w:pPr>
            <w:r/>
            <w:r>
              <w:rPr>
                <w:rFonts w:ascii="Arial" w:hAnsi="Arial"/>
                <w:sz w:val="18"/>
              </w:rPr>
              <w:t>Isothermal</w:t>
            </w:r>
          </w:p>
        </w:tc>
        <w:tc>
          <w:tcPr>
            <w:tcW w:type="dxa" w:w="1040"/>
          </w:tcPr>
          <w:p>
            <w:pPr>
              <w:jc w:val="center"/>
            </w:pPr>
            <w:r/>
            <w:r>
              <w:rPr>
                <w:rFonts w:ascii="Arial" w:hAnsi="Arial"/>
                <w:sz w:val="18"/>
              </w:rPr>
              <w:t>0.01</w:t>
            </w:r>
          </w:p>
        </w:tc>
        <w:tc>
          <w:tcPr>
            <w:tcW w:type="dxa" w:w="1040"/>
          </w:tcPr>
          <w:p>
            <w:pPr>
              <w:jc w:val="center"/>
            </w:pPr>
            <w:r/>
            <w:r>
              <w:rPr>
                <w:rFonts w:ascii="Arial" w:hAnsi="Arial"/>
                <w:sz w:val="18"/>
              </w:rPr>
              <w:t>Nearly complete conversion</w:t>
            </w:r>
          </w:p>
        </w:tc>
      </w:tr>
      <w:tr>
        <w:tc>
          <w:tcPr>
            <w:tcW w:type="dxa" w:w="1040"/>
          </w:tcPr>
          <w:p>
            <w:pPr>
              <w:jc w:val="left"/>
            </w:pPr>
            <w:r/>
            <w:r>
              <w:rPr>
                <w:rFonts w:ascii="Arial" w:hAnsi="Arial"/>
                <w:sz w:val="18"/>
              </w:rPr>
              <w:t>S4</w:t>
            </w:r>
          </w:p>
        </w:tc>
        <w:tc>
          <w:tcPr>
            <w:tcW w:type="dxa" w:w="1040"/>
          </w:tcPr>
          <w:p>
            <w:pPr>
              <w:jc w:val="center"/>
            </w:pPr>
            <w:r/>
            <w:r>
              <w:rPr>
                <w:rFonts w:ascii="Arial" w:hAnsi="Arial"/>
                <w:sz w:val="18"/>
              </w:rPr>
              <w:t>NH$_3$ synthesis</w:t>
            </w:r>
          </w:p>
        </w:tc>
        <w:tc>
          <w:tcPr>
            <w:tcW w:type="dxa" w:w="1040"/>
          </w:tcPr>
          <w:p>
            <w:pPr>
              <w:jc w:val="center"/>
            </w:pPr>
            <w:r/>
            <w:r>
              <w:rPr>
                <w:rFonts w:ascii="Arial" w:hAnsi="Arial"/>
                <w:sz w:val="18"/>
              </w:rPr>
              <w:t>3</w:t>
            </w:r>
          </w:p>
        </w:tc>
        <w:tc>
          <w:tcPr>
            <w:tcW w:type="dxa" w:w="1040"/>
          </w:tcPr>
          <w:p>
            <w:pPr>
              <w:jc w:val="center"/>
            </w:pPr>
            <w:r/>
            <w:r>
              <w:rPr>
                <w:rFonts w:ascii="Arial" w:hAnsi="Arial"/>
                <w:sz w:val="18"/>
              </w:rPr>
              <w:t>450</w:t>
            </w:r>
          </w:p>
        </w:tc>
        <w:tc>
          <w:tcPr>
            <w:tcW w:type="dxa" w:w="1040"/>
          </w:tcPr>
          <w:p>
            <w:pPr>
              <w:jc w:val="center"/>
            </w:pPr>
            <w:r/>
            <w:r>
              <w:rPr>
                <w:rFonts w:ascii="Arial" w:hAnsi="Arial"/>
                <w:sz w:val="18"/>
              </w:rPr>
              <w:t>300</w:t>
            </w:r>
          </w:p>
        </w:tc>
        <w:tc>
          <w:tcPr>
            <w:tcW w:type="dxa" w:w="1040"/>
          </w:tcPr>
          <w:p>
            <w:pPr>
              <w:jc w:val="center"/>
            </w:pPr>
            <w:r/>
            <w:r>
              <w:rPr>
                <w:rFonts w:ascii="Arial" w:hAnsi="Arial"/>
                <w:sz w:val="18"/>
              </w:rPr>
              <w:t>SRK</w:t>
            </w:r>
          </w:p>
        </w:tc>
        <w:tc>
          <w:tcPr>
            <w:tcW w:type="dxa" w:w="1040"/>
          </w:tcPr>
          <w:p>
            <w:pPr>
              <w:jc w:val="center"/>
            </w:pPr>
            <w:r/>
            <w:r>
              <w:rPr>
                <w:rFonts w:ascii="Arial" w:hAnsi="Arial"/>
                <w:sz w:val="18"/>
              </w:rPr>
              <w:t>Isothermal</w:t>
            </w:r>
          </w:p>
        </w:tc>
        <w:tc>
          <w:tcPr>
            <w:tcW w:type="dxa" w:w="1040"/>
          </w:tcPr>
          <w:p>
            <w:pPr>
              <w:jc w:val="center"/>
            </w:pPr>
            <w:r/>
            <w:r>
              <w:rPr>
                <w:rFonts w:ascii="Arial" w:hAnsi="Arial"/>
                <w:sz w:val="18"/>
              </w:rPr>
              <w:t>0.05</w:t>
            </w:r>
          </w:p>
        </w:tc>
        <w:tc>
          <w:tcPr>
            <w:tcW w:type="dxa" w:w="1040"/>
          </w:tcPr>
          <w:p>
            <w:pPr>
              <w:jc w:val="center"/>
            </w:pPr>
            <w:r/>
            <w:r>
              <w:rPr>
                <w:rFonts w:ascii="Arial" w:hAnsi="Arial"/>
                <w:sz w:val="18"/>
              </w:rPr>
              <w:t>High-pressure EOS effects</w:t>
            </w:r>
          </w:p>
        </w:tc>
      </w:tr>
      <w:tr>
        <w:tc>
          <w:tcPr>
            <w:tcW w:type="dxa" w:w="1040"/>
            <w:tcBorders>
              <w:bottom w:val="single" w:sz="12" w:space="0" w:color="000000"/>
            </w:tcBorders>
          </w:tcPr>
          <w:p>
            <w:pPr>
              <w:jc w:val="left"/>
            </w:pPr>
            <w:r/>
            <w:r>
              <w:rPr>
                <w:rFonts w:ascii="Arial" w:hAnsi="Arial"/>
                <w:sz w:val="18"/>
              </w:rPr>
              <w:t>S5</w:t>
            </w:r>
          </w:p>
        </w:tc>
        <w:tc>
          <w:tcPr>
            <w:tcW w:type="dxa" w:w="1040"/>
            <w:tcBorders>
              <w:bottom w:val="single" w:sz="12" w:space="0" w:color="000000"/>
            </w:tcBorders>
          </w:tcPr>
          <w:p>
            <w:pPr>
              <w:jc w:val="center"/>
            </w:pPr>
            <w:r/>
            <w:r>
              <w:rPr>
                <w:rFonts w:ascii="Arial" w:hAnsi="Arial"/>
                <w:sz w:val="18"/>
              </w:rPr>
              <w:t>Claus sulfur</w:t>
            </w:r>
          </w:p>
        </w:tc>
        <w:tc>
          <w:tcPr>
            <w:tcW w:type="dxa" w:w="1040"/>
            <w:tcBorders>
              <w:bottom w:val="single" w:sz="12" w:space="0" w:color="000000"/>
            </w:tcBorders>
          </w:tcPr>
          <w:p>
            <w:pPr>
              <w:jc w:val="center"/>
            </w:pPr>
            <w:r/>
            <w:r>
              <w:rPr>
                <w:rFonts w:ascii="Arial" w:hAnsi="Arial"/>
                <w:sz w:val="18"/>
              </w:rPr>
              <w:t>6</w:t>
            </w:r>
          </w:p>
        </w:tc>
        <w:tc>
          <w:tcPr>
            <w:tcW w:type="dxa" w:w="1040"/>
            <w:tcBorders>
              <w:bottom w:val="single" w:sz="12" w:space="0" w:color="000000"/>
            </w:tcBorders>
          </w:tcPr>
          <w:p>
            <w:pPr>
              <w:jc w:val="center"/>
            </w:pPr>
            <w:r/>
            <w:r>
              <w:rPr>
                <w:rFonts w:ascii="Arial" w:hAnsi="Arial"/>
                <w:sz w:val="18"/>
              </w:rPr>
              <w:t>373</w:t>
            </w:r>
          </w:p>
        </w:tc>
        <w:tc>
          <w:tcPr>
            <w:tcW w:type="dxa" w:w="1040"/>
            <w:tcBorders>
              <w:bottom w:val="single" w:sz="12" w:space="0" w:color="000000"/>
            </w:tcBorders>
          </w:tcPr>
          <w:p>
            <w:pPr>
              <w:jc w:val="center"/>
            </w:pPr>
            <w:r/>
            <w:r>
              <w:rPr>
                <w:rFonts w:ascii="Arial" w:hAnsi="Arial"/>
                <w:sz w:val="18"/>
              </w:rPr>
              <w:t>10</w:t>
            </w:r>
          </w:p>
        </w:tc>
        <w:tc>
          <w:tcPr>
            <w:tcW w:type="dxa" w:w="1040"/>
            <w:tcBorders>
              <w:bottom w:val="single" w:sz="12" w:space="0" w:color="000000"/>
            </w:tcBorders>
          </w:tcPr>
          <w:p>
            <w:pPr>
              <w:jc w:val="center"/>
            </w:pPr>
            <w:r/>
            <w:r>
              <w:rPr>
                <w:rFonts w:ascii="Arial" w:hAnsi="Arial"/>
                <w:sz w:val="18"/>
              </w:rPr>
              <w:t>CPA</w:t>
            </w:r>
          </w:p>
        </w:tc>
        <w:tc>
          <w:tcPr>
            <w:tcW w:type="dxa" w:w="1040"/>
            <w:tcBorders>
              <w:bottom w:val="single" w:sz="12" w:space="0" w:color="000000"/>
            </w:tcBorders>
          </w:tcPr>
          <w:p>
            <w:pPr>
              <w:jc w:val="center"/>
            </w:pPr>
            <w:r/>
            <w:r>
              <w:rPr>
                <w:rFonts w:ascii="Arial" w:hAnsi="Arial"/>
                <w:sz w:val="18"/>
              </w:rPr>
              <w:t>Isothermal</w:t>
            </w:r>
          </w:p>
        </w:tc>
        <w:tc>
          <w:tcPr>
            <w:tcW w:type="dxa" w:w="1040"/>
            <w:tcBorders>
              <w:bottom w:val="single" w:sz="12" w:space="0" w:color="000000"/>
            </w:tcBorders>
          </w:tcPr>
          <w:p>
            <w:pPr>
              <w:jc w:val="center"/>
            </w:pPr>
            <w:r/>
            <w:r>
              <w:rPr>
                <w:rFonts w:ascii="Arial" w:hAnsi="Arial"/>
                <w:sz w:val="18"/>
              </w:rPr>
              <w:t>0.001</w:t>
            </w:r>
          </w:p>
        </w:tc>
        <w:tc>
          <w:tcPr>
            <w:tcW w:type="dxa" w:w="1040"/>
            <w:tcBorders>
              <w:bottom w:val="single" w:sz="12" w:space="0" w:color="000000"/>
            </w:tcBorders>
          </w:tcPr>
          <w:p>
            <w:pPr>
              <w:jc w:val="center"/>
            </w:pPr>
            <w:r/>
            <w:r>
              <w:rPr>
                <w:rFonts w:ascii="Arial" w:hAnsi="Arial"/>
                <w:sz w:val="18"/>
              </w:rPr>
              <w:t>Trace species, stiff system</w:t>
            </w:r>
          </w:p>
        </w:tc>
      </w:tr>
    </w:tbl>
    <w:p/>
    <w:p>
      <w:pPr>
        <w:spacing w:before="240" w:after="80"/>
      </w:pPr>
      <w:r>
        <w:rPr>
          <w:rFonts w:ascii="Arial" w:hAnsi="Arial"/>
          <w:b/>
          <w:sz w:val="22"/>
        </w:rPr>
        <w:t>4.2 Performance metrics</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3120"/>
        <w:gridCol w:w="3120"/>
        <w:gridCol w:w="3120"/>
      </w:tblGrid>
      <w:tr>
        <w:tc>
          <w:tcPr>
            <w:tcW w:type="dxa" w:w="3120"/>
            <w:shd w:fill="E3F2FD"/>
            <w:tcBorders>
              <w:top w:val="single" w:sz="12" w:space="0" w:color="000000"/>
              <w:bottom w:val="single" w:sz="8" w:space="0" w:color="000000"/>
            </w:tcBorders>
          </w:tcPr>
          <w:p>
            <w:pPr>
              <w:jc w:val="center"/>
            </w:pPr>
            <w:r/>
            <w:r>
              <w:rPr>
                <w:rFonts w:ascii="Arial" w:hAnsi="Arial"/>
                <w:b/>
                <w:sz w:val="18"/>
              </w:rPr>
              <w:t>Metric</w:t>
            </w:r>
          </w:p>
        </w:tc>
        <w:tc>
          <w:tcPr>
            <w:tcW w:type="dxa" w:w="3120"/>
            <w:shd w:fill="E3F2FD"/>
            <w:tcBorders>
              <w:top w:val="single" w:sz="12" w:space="0" w:color="000000"/>
              <w:bottom w:val="single" w:sz="8" w:space="0" w:color="000000"/>
            </w:tcBorders>
          </w:tcPr>
          <w:p>
            <w:pPr>
              <w:jc w:val="center"/>
            </w:pPr>
            <w:r/>
            <w:r>
              <w:rPr>
                <w:rFonts w:ascii="Arial" w:hAnsi="Arial"/>
                <w:b/>
                <w:sz w:val="18"/>
              </w:rPr>
              <w:t>Definition</w:t>
            </w:r>
          </w:p>
        </w:tc>
        <w:tc>
          <w:tcPr>
            <w:tcW w:type="dxa" w:w="3120"/>
            <w:shd w:fill="E3F2FD"/>
            <w:tcBorders>
              <w:top w:val="single" w:sz="12" w:space="0" w:color="000000"/>
              <w:bottom w:val="single" w:sz="8" w:space="0" w:color="000000"/>
            </w:tcBorders>
          </w:tcPr>
          <w:p>
            <w:pPr>
              <w:jc w:val="center"/>
            </w:pPr>
            <w:r/>
            <w:r>
              <w:rPr>
                <w:rFonts w:ascii="Arial" w:hAnsi="Arial"/>
                <w:b/>
                <w:sz w:val="18"/>
              </w:rPr>
              <w:t>Unit</w:t>
            </w:r>
          </w:p>
        </w:tc>
      </w:tr>
      <w:tr>
        <w:tc>
          <w:tcPr>
            <w:tcW w:type="dxa" w:w="3120"/>
          </w:tcPr>
          <w:p>
            <w:pPr>
              <w:jc w:val="left"/>
            </w:pPr>
            <w:r/>
            <w:r>
              <w:rPr>
                <w:rFonts w:ascii="Arial" w:hAnsi="Arial"/>
                <w:sz w:val="18"/>
              </w:rPr>
              <w:t>Convergence</w:t>
            </w:r>
          </w:p>
        </w:tc>
        <w:tc>
          <w:tcPr>
            <w:tcW w:type="dxa" w:w="3120"/>
          </w:tcPr>
          <w:p>
            <w:pPr>
              <w:jc w:val="center"/>
            </w:pPr>
            <w:r/>
            <w:r>
              <w:rPr>
                <w:rFonts w:ascii="Arial" w:hAnsi="Arial"/>
                <w:sz w:val="18"/>
              </w:rPr>
              <w:t>$\</w:t>
            </w:r>
          </w:p>
        </w:tc>
        <w:tc>
          <w:tcPr>
            <w:tcW w:type="dxa" w:w="3120"/>
          </w:tcPr>
          <w:p>
            <w:pPr>
              <w:jc w:val="center"/>
            </w:pPr>
            <w:r/>
            <w:r>
              <w:rPr>
                <w:rFonts w:ascii="Arial" w:hAnsi="Arial"/>
                <w:sz w:val="18"/>
              </w:rPr>
              <w:t>Δ x\</w:t>
            </w:r>
          </w:p>
        </w:tc>
      </w:tr>
      <w:tr>
        <w:tc>
          <w:tcPr>
            <w:tcW w:type="dxa" w:w="3120"/>
          </w:tcPr>
          <w:p>
            <w:pPr>
              <w:jc w:val="left"/>
            </w:pPr>
            <w:r/>
            <w:r>
              <w:rPr>
                <w:rFonts w:ascii="Arial" w:hAnsi="Arial"/>
                <w:sz w:val="18"/>
              </w:rPr>
              <w:t>Iterations</w:t>
            </w:r>
          </w:p>
        </w:tc>
        <w:tc>
          <w:tcPr>
            <w:tcW w:type="dxa" w:w="3120"/>
          </w:tcPr>
          <w:p>
            <w:pPr>
              <w:jc w:val="center"/>
            </w:pPr>
            <w:r/>
            <w:r>
              <w:rPr>
                <w:rFonts w:ascii="Arial" w:hAnsi="Arial"/>
                <w:sz w:val="18"/>
              </w:rPr>
              <w:t>Count to convergence</w:t>
            </w:r>
          </w:p>
        </w:tc>
        <w:tc>
          <w:tcPr>
            <w:tcW w:type="dxa" w:w="3120"/>
          </w:tcPr>
          <w:p>
            <w:pPr>
              <w:jc w:val="center"/>
            </w:pPr>
            <w:r/>
            <w:r>
              <w:rPr>
                <w:rFonts w:ascii="Arial" w:hAnsi="Arial"/>
                <w:sz w:val="18"/>
              </w:rPr>
              <w:t>-</w:t>
            </w:r>
          </w:p>
        </w:tc>
      </w:tr>
      <w:tr>
        <w:tc>
          <w:tcPr>
            <w:tcW w:type="dxa" w:w="3120"/>
          </w:tcPr>
          <w:p>
            <w:pPr>
              <w:jc w:val="left"/>
            </w:pPr>
            <w:r/>
            <w:r>
              <w:rPr>
                <w:rFonts w:ascii="Arial" w:hAnsi="Arial"/>
                <w:sz w:val="18"/>
              </w:rPr>
              <w:t>Mass balance</w:t>
            </w:r>
          </w:p>
        </w:tc>
        <w:tc>
          <w:tcPr>
            <w:tcW w:type="dxa" w:w="3120"/>
          </w:tcPr>
          <w:p>
            <w:pPr>
              <w:jc w:val="center"/>
            </w:pPr>
            <w:r/>
            <w:r>
              <w:rPr>
                <w:rFonts w:ascii="Arial" w:hAnsi="Arial"/>
                <w:sz w:val="18"/>
              </w:rPr>
              <w:t>$_k</w:t>
            </w:r>
          </w:p>
        </w:tc>
        <w:tc>
          <w:tcPr>
            <w:tcW w:type="dxa" w:w="3120"/>
          </w:tcPr>
          <w:p>
            <w:pPr>
              <w:jc w:val="center"/>
            </w:pPr>
            <w:r/>
            <w:r>
              <w:rPr>
                <w:rFonts w:ascii="Arial" w:hAnsi="Arial"/>
                <w:sz w:val="18"/>
              </w:rPr>
              <w:t>b_k^out - b_k^in</w:t>
            </w:r>
          </w:p>
        </w:tc>
      </w:tr>
      <w:tr>
        <w:tc>
          <w:tcPr>
            <w:tcW w:type="dxa" w:w="3120"/>
            <w:tcBorders>
              <w:bottom w:val="single" w:sz="12" w:space="0" w:color="000000"/>
            </w:tcBorders>
          </w:tcPr>
          <w:p>
            <w:pPr>
              <w:jc w:val="left"/>
            </w:pPr>
            <w:r/>
            <w:r>
              <w:rPr>
                <w:rFonts w:ascii="Arial" w:hAnsi="Arial"/>
                <w:sz w:val="18"/>
              </w:rPr>
              <w:t>Condition number</w:t>
            </w:r>
          </w:p>
        </w:tc>
        <w:tc>
          <w:tcPr>
            <w:tcW w:type="dxa" w:w="3120"/>
            <w:tcBorders>
              <w:bottom w:val="single" w:sz="12" w:space="0" w:color="000000"/>
            </w:tcBorders>
          </w:tcPr>
          <w:p>
            <w:pPr>
              <w:jc w:val="center"/>
            </w:pPr>
            <w:r/>
            <w:r>
              <w:rPr>
                <w:rFonts w:ascii="Arial" w:hAnsi="Arial"/>
                <w:sz w:val="18"/>
              </w:rPr>
              <w:t>$κ_2(J)$ at final iteration</w:t>
            </w:r>
          </w:p>
        </w:tc>
        <w:tc>
          <w:tcPr>
            <w:tcW w:type="dxa" w:w="3120"/>
            <w:tcBorders>
              <w:bottom w:val="single" w:sz="12" w:space="0" w:color="000000"/>
            </w:tcBorders>
          </w:tcPr>
          <w:p>
            <w:pPr>
              <w:jc w:val="center"/>
            </w:pPr>
            <w:r/>
            <w:r>
              <w:rPr>
                <w:rFonts w:ascii="Arial" w:hAnsi="Arial"/>
                <w:sz w:val="18"/>
              </w:rPr>
              <w:t>-</w:t>
            </w:r>
          </w:p>
        </w:tc>
      </w:tr>
    </w:tbl>
    <w:p/>
    <w:p>
      <w:pPr>
        <w:spacing w:before="240" w:after="80"/>
      </w:pPr>
      <w:r>
        <w:rPr>
          <w:rFonts w:ascii="Arial" w:hAnsi="Arial"/>
          <w:b/>
          <w:sz w:val="22"/>
        </w:rPr>
        <w:t>4.3 Algorithm variants</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2340"/>
        <w:gridCol w:w="2340"/>
        <w:gridCol w:w="2340"/>
        <w:gridCol w:w="2340"/>
      </w:tblGrid>
      <w:tr>
        <w:tc>
          <w:tcPr>
            <w:tcW w:type="dxa" w:w="2340"/>
            <w:shd w:fill="E3F2FD"/>
            <w:tcBorders>
              <w:top w:val="single" w:sz="12" w:space="0" w:color="000000"/>
              <w:bottom w:val="single" w:sz="8" w:space="0" w:color="000000"/>
            </w:tcBorders>
          </w:tcPr>
          <w:p>
            <w:pPr>
              <w:jc w:val="center"/>
            </w:pPr>
            <w:r/>
            <w:r>
              <w:rPr>
                <w:rFonts w:ascii="Arial" w:hAnsi="Arial"/>
                <w:b/>
                <w:sz w:val="18"/>
              </w:rPr>
              <w:t>Variant</w:t>
            </w:r>
          </w:p>
        </w:tc>
        <w:tc>
          <w:tcPr>
            <w:tcW w:type="dxa" w:w="2340"/>
            <w:shd w:fill="E3F2FD"/>
            <w:tcBorders>
              <w:top w:val="single" w:sz="12" w:space="0" w:color="000000"/>
              <w:bottom w:val="single" w:sz="8" w:space="0" w:color="000000"/>
            </w:tcBorders>
          </w:tcPr>
          <w:p>
            <w:pPr>
              <w:jc w:val="center"/>
            </w:pPr>
            <w:r/>
            <w:r>
              <w:rPr>
                <w:rFonts w:ascii="Arial" w:hAnsi="Arial"/>
                <w:b/>
                <w:sz w:val="18"/>
              </w:rPr>
              <w:t>Step control</w:t>
            </w:r>
          </w:p>
        </w:tc>
        <w:tc>
          <w:tcPr>
            <w:tcW w:type="dxa" w:w="2340"/>
            <w:shd w:fill="E3F2FD"/>
            <w:tcBorders>
              <w:top w:val="single" w:sz="12" w:space="0" w:color="000000"/>
              <w:bottom w:val="single" w:sz="8" w:space="0" w:color="000000"/>
            </w:tcBorders>
          </w:tcPr>
          <w:p>
            <w:pPr>
              <w:jc w:val="center"/>
            </w:pPr>
            <w:r/>
            <w:r>
              <w:rPr>
                <w:rFonts w:ascii="Arial" w:hAnsi="Arial"/>
                <w:b/>
                <w:sz w:val="18"/>
              </w:rPr>
              <w:t>Regularization</w:t>
            </w:r>
          </w:p>
        </w:tc>
        <w:tc>
          <w:tcPr>
            <w:tcW w:type="dxa" w:w="2340"/>
            <w:shd w:fill="E3F2FD"/>
            <w:tcBorders>
              <w:top w:val="single" w:sz="12" w:space="0" w:color="000000"/>
              <w:bottom w:val="single" w:sz="8" w:space="0" w:color="000000"/>
            </w:tcBorders>
          </w:tcPr>
          <w:p>
            <w:pPr>
              <w:jc w:val="center"/>
            </w:pPr>
            <w:r/>
            <w:r>
              <w:rPr>
                <w:rFonts w:ascii="Arial" w:hAnsi="Arial"/>
                <w:b/>
                <w:sz w:val="18"/>
              </w:rPr>
              <w:t>Diagnostics</w:t>
            </w:r>
          </w:p>
        </w:tc>
      </w:tr>
      <w:tr>
        <w:tc>
          <w:tcPr>
            <w:tcW w:type="dxa" w:w="2340"/>
          </w:tcPr>
          <w:p>
            <w:pPr>
              <w:jc w:val="left"/>
            </w:pPr>
            <w:r/>
            <w:r>
              <w:rPr>
                <w:rFonts w:ascii="Arial" w:hAnsi="Arial"/>
                <w:sz w:val="18"/>
              </w:rPr>
              <w:t>Baseline</w:t>
            </w:r>
          </w:p>
        </w:tc>
        <w:tc>
          <w:tcPr>
            <w:tcW w:type="dxa" w:w="2340"/>
          </w:tcPr>
          <w:p>
            <w:pPr>
              <w:jc w:val="center"/>
            </w:pPr>
            <w:r/>
            <w:r>
              <w:rPr>
                <w:rFonts w:ascii="Arial" w:hAnsi="Arial"/>
                <w:sz w:val="18"/>
              </w:rPr>
              <w:t>Fixed $α$ (system-dependent, see Table 1)</w:t>
            </w:r>
          </w:p>
        </w:tc>
        <w:tc>
          <w:tcPr>
            <w:tcW w:type="dxa" w:w="2340"/>
          </w:tcPr>
          <w:p>
            <w:pPr>
              <w:jc w:val="center"/>
            </w:pPr>
            <w:r/>
            <w:r>
              <w:rPr>
                <w:rFonts w:ascii="Arial" w:hAnsi="Arial"/>
                <w:sz w:val="18"/>
              </w:rPr>
              <w:t>None</w:t>
            </w:r>
          </w:p>
        </w:tc>
        <w:tc>
          <w:tcPr>
            <w:tcW w:type="dxa" w:w="2340"/>
          </w:tcPr>
          <w:p>
            <w:pPr>
              <w:jc w:val="center"/>
            </w:pPr>
            <w:r/>
            <w:r>
              <w:rPr>
                <w:rFonts w:ascii="Arial" w:hAnsi="Arial"/>
                <w:sz w:val="18"/>
              </w:rPr>
              <w:t>None</w:t>
            </w:r>
          </w:p>
        </w:tc>
      </w:tr>
      <w:tr>
        <w:tc>
          <w:tcPr>
            <w:tcW w:type="dxa" w:w="2340"/>
          </w:tcPr>
          <w:p>
            <w:pPr>
              <w:jc w:val="left"/>
            </w:pPr>
            <w:r/>
            <w:r>
              <w:rPr>
                <w:rFonts w:ascii="Arial" w:hAnsi="Arial"/>
                <w:sz w:val="18"/>
              </w:rPr>
              <w:t>Adaptive</w:t>
            </w:r>
          </w:p>
        </w:tc>
        <w:tc>
          <w:tcPr>
            <w:tcW w:type="dxa" w:w="2340"/>
          </w:tcPr>
          <w:p>
            <w:pPr>
              <w:jc w:val="center"/>
            </w:pPr>
            <w:r/>
            <w:r>
              <w:rPr>
                <w:rFonts w:ascii="Arial" w:hAnsi="Arial"/>
                <w:sz w:val="18"/>
              </w:rPr>
              <w:t>NASA CEA-style</w:t>
            </w:r>
          </w:p>
        </w:tc>
        <w:tc>
          <w:tcPr>
            <w:tcW w:type="dxa" w:w="2340"/>
          </w:tcPr>
          <w:p>
            <w:pPr>
              <w:jc w:val="center"/>
            </w:pPr>
            <w:r/>
            <w:r>
              <w:rPr>
                <w:rFonts w:ascii="Arial" w:hAnsi="Arial"/>
                <w:sz w:val="18"/>
              </w:rPr>
              <w:t>None</w:t>
            </w:r>
          </w:p>
        </w:tc>
        <w:tc>
          <w:tcPr>
            <w:tcW w:type="dxa" w:w="2340"/>
          </w:tcPr>
          <w:p>
            <w:pPr>
              <w:jc w:val="center"/>
            </w:pPr>
            <w:r/>
            <w:r>
              <w:rPr>
                <w:rFonts w:ascii="Arial" w:hAnsi="Arial"/>
                <w:sz w:val="18"/>
              </w:rPr>
              <w:t>None</w:t>
            </w:r>
          </w:p>
        </w:tc>
      </w:tr>
      <w:tr>
        <w:tc>
          <w:tcPr>
            <w:tcW w:type="dxa" w:w="2340"/>
          </w:tcPr>
          <w:p>
            <w:pPr>
              <w:jc w:val="left"/>
            </w:pPr>
            <w:r/>
            <w:r>
              <w:rPr>
                <w:rFonts w:ascii="Arial" w:hAnsi="Arial"/>
                <w:sz w:val="18"/>
              </w:rPr>
              <w:t>Armijo</w:t>
            </w:r>
          </w:p>
        </w:tc>
        <w:tc>
          <w:tcPr>
            <w:tcW w:type="dxa" w:w="2340"/>
          </w:tcPr>
          <w:p>
            <w:pPr>
              <w:jc w:val="center"/>
            </w:pPr>
            <w:r/>
            <w:r>
              <w:rPr>
                <w:rFonts w:ascii="Arial" w:hAnsi="Arial"/>
                <w:sz w:val="18"/>
              </w:rPr>
              <w:t>Backtracking $c_1 = 10^-4$, $ρ = 0.5$, $K_ = 20$</w:t>
            </w:r>
          </w:p>
        </w:tc>
        <w:tc>
          <w:tcPr>
            <w:tcW w:type="dxa" w:w="2340"/>
          </w:tcPr>
          <w:p>
            <w:pPr>
              <w:jc w:val="center"/>
            </w:pPr>
            <w:r/>
            <w:r>
              <w:rPr>
                <w:rFonts w:ascii="Arial" w:hAnsi="Arial"/>
                <w:sz w:val="18"/>
              </w:rPr>
              <w:t>None</w:t>
            </w:r>
          </w:p>
        </w:tc>
        <w:tc>
          <w:tcPr>
            <w:tcW w:type="dxa" w:w="2340"/>
          </w:tcPr>
          <w:p>
            <w:pPr>
              <w:jc w:val="center"/>
            </w:pPr>
            <w:r/>
            <w:r>
              <w:rPr>
                <w:rFonts w:ascii="Arial" w:hAnsi="Arial"/>
                <w:sz w:val="18"/>
              </w:rPr>
              <w:t>Full</w:t>
            </w:r>
          </w:p>
        </w:tc>
      </w:tr>
      <w:tr>
        <w:tc>
          <w:tcPr>
            <w:tcW w:type="dxa" w:w="2340"/>
          </w:tcPr>
          <w:p>
            <w:pPr>
              <w:jc w:val="left"/>
            </w:pPr>
            <w:r/>
            <w:r>
              <w:rPr>
                <w:rFonts w:ascii="Arial" w:hAnsi="Arial"/>
                <w:sz w:val="18"/>
              </w:rPr>
              <w:t>Regularized</w:t>
            </w:r>
          </w:p>
        </w:tc>
        <w:tc>
          <w:tcPr>
            <w:tcW w:type="dxa" w:w="2340"/>
          </w:tcPr>
          <w:p>
            <w:pPr>
              <w:jc w:val="center"/>
            </w:pPr>
            <w:r/>
            <w:r>
              <w:rPr>
                <w:rFonts w:ascii="Arial" w:hAnsi="Arial"/>
                <w:sz w:val="18"/>
              </w:rPr>
              <w:t>Fixed $α$ (system-dependent)</w:t>
            </w:r>
          </w:p>
        </w:tc>
        <w:tc>
          <w:tcPr>
            <w:tcW w:type="dxa" w:w="2340"/>
          </w:tcPr>
          <w:p>
            <w:pPr>
              <w:jc w:val="center"/>
            </w:pPr>
            <w:r/>
            <w:r>
              <w:rPr>
                <w:rFonts w:ascii="Arial" w:hAnsi="Arial"/>
                <w:sz w:val="18"/>
              </w:rPr>
              <w:t>$κ_ = 10^10$, $τ_0 = 10^-6$</w:t>
            </w:r>
          </w:p>
        </w:tc>
        <w:tc>
          <w:tcPr>
            <w:tcW w:type="dxa" w:w="2340"/>
          </w:tcPr>
          <w:p>
            <w:pPr>
              <w:jc w:val="center"/>
            </w:pPr>
            <w:r/>
            <w:r>
              <w:rPr>
                <w:rFonts w:ascii="Arial" w:hAnsi="Arial"/>
                <w:sz w:val="18"/>
              </w:rPr>
              <w:t>Full</w:t>
            </w:r>
          </w:p>
        </w:tc>
      </w:tr>
      <w:tr>
        <w:tc>
          <w:tcPr>
            <w:tcW w:type="dxa" w:w="2340"/>
            <w:tcBorders>
              <w:bottom w:val="single" w:sz="12" w:space="0" w:color="000000"/>
            </w:tcBorders>
          </w:tcPr>
          <w:p>
            <w:pPr>
              <w:jc w:val="left"/>
            </w:pPr>
            <w:r/>
            <w:r>
              <w:rPr>
                <w:rFonts w:ascii="Arial" w:hAnsi="Arial"/>
                <w:sz w:val="18"/>
              </w:rPr>
              <w:t>Combined</w:t>
            </w:r>
          </w:p>
        </w:tc>
        <w:tc>
          <w:tcPr>
            <w:tcW w:type="dxa" w:w="2340"/>
            <w:tcBorders>
              <w:bottom w:val="single" w:sz="12" w:space="0" w:color="000000"/>
            </w:tcBorders>
          </w:tcPr>
          <w:p>
            <w:pPr>
              <w:jc w:val="center"/>
            </w:pPr>
            <w:r/>
            <w:r>
              <w:rPr>
                <w:rFonts w:ascii="Arial" w:hAnsi="Arial"/>
                <w:sz w:val="18"/>
              </w:rPr>
              <w:t>Adaptive + Armijo</w:t>
            </w:r>
          </w:p>
        </w:tc>
        <w:tc>
          <w:tcPr>
            <w:tcW w:type="dxa" w:w="2340"/>
            <w:tcBorders>
              <w:bottom w:val="single" w:sz="12" w:space="0" w:color="000000"/>
            </w:tcBorders>
          </w:tcPr>
          <w:p>
            <w:pPr>
              <w:jc w:val="center"/>
            </w:pPr>
            <w:r/>
            <w:r>
              <w:rPr>
                <w:rFonts w:ascii="Arial" w:hAnsi="Arial"/>
                <w:sz w:val="18"/>
              </w:rPr>
              <w:t>Tikhonov</w:t>
            </w:r>
          </w:p>
        </w:tc>
        <w:tc>
          <w:tcPr>
            <w:tcW w:type="dxa" w:w="2340"/>
            <w:tcBorders>
              <w:bottom w:val="single" w:sz="12" w:space="0" w:color="000000"/>
            </w:tcBorders>
          </w:tcPr>
          <w:p>
            <w:pPr>
              <w:jc w:val="center"/>
            </w:pPr>
            <w:r/>
            <w:r>
              <w:rPr>
                <w:rFonts w:ascii="Arial" w:hAnsi="Arial"/>
                <w:sz w:val="18"/>
              </w:rPr>
              <w:t>Full</w:t>
            </w:r>
          </w:p>
        </w:tc>
      </w:tr>
    </w:tbl>
    <w:p/>
    <w:p>
      <w:pPr>
        <w:spacing w:before="240" w:after="80"/>
      </w:pPr>
      <w:r>
        <w:rPr>
          <w:rFonts w:ascii="Arial" w:hAnsi="Arial"/>
          <w:b/>
          <w:sz w:val="22"/>
        </w:rPr>
        <w:t>4.4 Implementation</w:t>
      </w:r>
    </w:p>
    <w:p>
      <w:pPr>
        <w:spacing w:line="480" w:lineRule="auto"/>
      </w:pPr>
      <w:r>
        <w:rPr>
          <w:rFonts w:ascii="Times New Roman" w:hAnsi="Times New Roman"/>
          <w:sz w:val="22"/>
        </w:rPr>
        <w:t>All calculations use the NeqSim library [14] version 3.7.0 with:</w:t>
      </w:r>
    </w:p>
    <w:p>
      <w:pPr>
        <w:spacing w:after="40" w:line="480" w:lineRule="auto"/>
        <w:ind w:left="576"/>
      </w:pPr>
      <w:r>
        <w:rPr>
          <w:rFonts w:ascii="Times New Roman" w:hAnsi="Times New Roman"/>
          <w:sz w:val="22"/>
        </w:rPr>
        <w:t xml:space="preserve">•  </w:t>
      </w:r>
      <w:r>
        <w:rPr>
          <w:rFonts w:ascii="Times New Roman" w:hAnsi="Times New Roman"/>
          <w:sz w:val="22"/>
        </w:rPr>
        <w:t>SRK or SRK-CPA equation of state with the classic (quadratic) mixing rule and binary interaction parameters from the NeqSim database</w:t>
      </w:r>
    </w:p>
    <w:p>
      <w:pPr>
        <w:spacing w:after="40" w:line="480" w:lineRule="auto"/>
        <w:ind w:left="576"/>
      </w:pPr>
      <w:r>
        <w:rPr>
          <w:rFonts w:ascii="Times New Roman" w:hAnsi="Times New Roman"/>
          <w:sz w:val="22"/>
        </w:rPr>
        <w:t xml:space="preserve">•  </w:t>
      </w:r>
      <w:r>
        <w:rPr>
          <w:rFonts w:ascii="Times New Roman" w:hAnsi="Times New Roman"/>
          <w:sz w:val="22"/>
        </w:rPr>
        <w:t>LU decomposition (EJML library) with pseudo-inverse fallback for singular systems</w:t>
      </w:r>
    </w:p>
    <w:p>
      <w:pPr>
        <w:spacing w:after="40" w:line="480" w:lineRule="auto"/>
        <w:ind w:left="576"/>
      </w:pPr>
      <w:r>
        <w:rPr>
          <w:rFonts w:ascii="Times New Roman" w:hAnsi="Times New Roman"/>
          <w:sz w:val="22"/>
        </w:rPr>
        <w:t xml:space="preserve">•  </w:t>
      </w:r>
      <w:r>
        <w:rPr>
          <w:rFonts w:ascii="Times New Roman" w:hAnsi="Times New Roman"/>
          <w:sz w:val="22"/>
        </w:rPr>
        <w:t>Component thermodynamic data from the NeqSim database</w:t>
      </w:r>
    </w:p>
    <w:p>
      <w:pPr>
        <w:spacing w:after="40" w:line="480" w:lineRule="auto"/>
        <w:ind w:left="576"/>
      </w:pPr>
      <w:r>
        <w:rPr>
          <w:rFonts w:ascii="Times New Roman" w:hAnsi="Times New Roman"/>
          <w:sz w:val="22"/>
        </w:rPr>
        <w:t xml:space="preserve">•  </w:t>
      </w:r>
      <w:r>
        <w:rPr>
          <w:rFonts w:ascii="Times New Roman" w:hAnsi="Times New Roman"/>
          <w:sz w:val="22"/>
        </w:rPr>
        <w:t xml:space="preserve">Convergence tolerance: </w:t>
      </w:r>
      <m:oMath>
        <m:r>
          <m:t>‖Δx</m:t>
        </m:r>
        <m:sSub>
          <m:e>
            <m:r>
              <m:t>‖</m:t>
            </m:r>
          </m:e>
          <m:sub>
            <m:r>
              <m:t>2</m:t>
            </m:r>
          </m:sub>
        </m:sSub>
        <m:r>
          <m:t>&lt;</m:t>
        </m:r>
        <m:sSup>
          <m:e>
            <m:r>
              <m:t>10</m:t>
            </m:r>
          </m:e>
          <m:sup>
            <m:r>
              <m:t>−3</m:t>
            </m:r>
          </m:sup>
        </m:sSup>
      </m:oMath>
      <w:r>
        <w:rPr>
          <w:rFonts w:ascii="Times New Roman" w:hAnsi="Times New Roman"/>
          <w:sz w:val="22"/>
        </w:rPr>
        <w:t xml:space="preserve"> (or </w:t>
      </w:r>
      <m:oMath>
        <m:sSup>
          <m:e>
            <m:r>
              <m:t>10</m:t>
            </m:r>
          </m:e>
          <m:sup>
            <m:r>
              <m:t>−6</m:t>
            </m:r>
          </m:sup>
        </m:sSup>
      </m:oMath>
      <w:r>
        <w:rPr>
          <w:rFonts w:ascii="Times New Roman" w:hAnsi="Times New Roman"/>
          <w:sz w:val="22"/>
        </w:rPr>
        <w:t xml:space="preserve"> for NH</w:t>
      </w:r>
      <m:oMath>
        <m:sSub>
          <m:e>
            <m:r>
              <m:t/>
            </m:r>
          </m:e>
          <m:sub>
            <m:r>
              <m:t>3</m:t>
            </m:r>
          </m:sub>
        </m:sSub>
      </m:oMath>
      <w:r>
        <w:rPr>
          <w:rFonts w:ascii="Times New Roman" w:hAnsi="Times New Roman"/>
          <w:sz w:val="22"/>
        </w:rPr>
        <w:t xml:space="preserve"> synthesis)</w:t>
      </w:r>
    </w:p>
    <w:p>
      <w:pPr>
        <w:spacing w:after="40" w:line="480" w:lineRule="auto"/>
        <w:ind w:left="576"/>
      </w:pPr>
      <w:r>
        <w:rPr>
          <w:rFonts w:ascii="Times New Roman" w:hAnsi="Times New Roman"/>
          <w:sz w:val="22"/>
        </w:rPr>
        <w:t xml:space="preserve">•  </w:t>
      </w:r>
      <w:r>
        <w:rPr>
          <w:rFonts w:ascii="Times New Roman" w:hAnsi="Times New Roman"/>
          <w:sz w:val="22"/>
        </w:rPr>
        <w:t>Maximum iterations: 10,000 (2,500 for S4)</w:t>
      </w:r>
    </w:p>
    <w:p>
      <w:pPr>
        <w:spacing w:after="40" w:line="480" w:lineRule="auto"/>
        <w:ind w:left="576"/>
      </w:pPr>
      <w:r>
        <w:rPr>
          <w:rFonts w:ascii="Times New Roman" w:hAnsi="Times New Roman"/>
          <w:sz w:val="22"/>
        </w:rPr>
        <w:t xml:space="preserve">•  </w:t>
      </w:r>
      <w:r>
        <w:rPr>
          <w:rFonts w:ascii="Times New Roman" w:hAnsi="Times New Roman"/>
          <w:sz w:val="22"/>
        </w:rPr>
        <w:t xml:space="preserve">Minimum iterations: </w:t>
      </w:r>
      <m:oMath>
        <m:sSub>
          <m:e>
            <m:r>
              <m:t>n</m:t>
            </m:r>
          </m:e>
          <m:sub>
            <m:r>
              <m:t>min</m:t>
            </m:r>
          </m:sub>
        </m:sSub>
        <m:r>
          <m:t>=100</m:t>
        </m:r>
      </m:oMath>
      <w:r>
        <w:rPr>
          <w:rFonts w:ascii="Times New Roman" w:hAnsi="Times New Roman"/>
          <w:sz w:val="22"/>
        </w:rPr>
        <w:t xml:space="preserve"> (all systems)</w:t>
      </w:r>
    </w:p>
    <w:p>
      <w:pPr>
        <w:spacing w:after="40" w:line="480" w:lineRule="auto"/>
        <w:ind w:left="576"/>
      </w:pPr>
      <w:r>
        <w:rPr>
          <w:rFonts w:ascii="Times New Roman" w:hAnsi="Times New Roman"/>
          <w:sz w:val="22"/>
        </w:rPr>
        <w:t xml:space="preserve">•  </w:t>
      </w:r>
      <w:r>
        <w:rPr>
          <w:rFonts w:ascii="Times New Roman" w:hAnsi="Times New Roman"/>
          <w:sz w:val="22"/>
        </w:rPr>
        <w:t>Energy mode: Adiabatic for S1–S2 (enthalpy-constrained), isothermal for S3–S5 (temperature-constrained)</w:t>
      </w:r>
    </w:p>
    <w:p>
      <w:pPr>
        <w:spacing w:after="40" w:line="480" w:lineRule="auto"/>
        <w:ind w:left="576"/>
      </w:pPr>
      <w:r>
        <w:rPr>
          <w:rFonts w:ascii="Times New Roman" w:hAnsi="Times New Roman"/>
          <w:sz w:val="22"/>
        </w:rPr>
        <w:t xml:space="preserve">•  </w:t>
      </w:r>
      <w:r>
        <w:rPr>
          <w:rFonts w:ascii="Times New Roman" w:hAnsi="Times New Roman"/>
          <w:sz w:val="22"/>
        </w:rPr>
        <w:t xml:space="preserve">Fixed damping factor </w:t>
      </w:r>
      <m:oMath>
        <m:r>
          <m:t>α</m:t>
        </m:r>
      </m:oMath>
      <w:r>
        <w:rPr>
          <w:rFonts w:ascii="Times New Roman" w:hAnsi="Times New Roman"/>
          <w:sz w:val="22"/>
        </w:rPr>
        <w:t>: system-dependent, see Table 1</w:t>
      </w:r>
    </w:p>
    <w:p>
      <w:pPr>
        <w:spacing w:line="480" w:lineRule="auto"/>
      </w:pPr>
      <w:r>
        <w:rPr>
          <w:rFonts w:ascii="Times New Roman" w:hAnsi="Times New Roman"/>
          <w:sz w:val="22"/>
        </w:rPr>
        <w:t>Source code is available at https://github.com/equinor/neqsim.</w:t>
      </w:r>
    </w:p>
    <w:p>
      <w:pPr>
        <w:spacing w:before="360" w:after="120"/>
      </w:pPr>
      <w:r>
        <w:rPr>
          <w:rFonts w:ascii="Arial" w:hAnsi="Arial"/>
          <w:b/>
          <w:sz w:val="26"/>
        </w:rPr>
        <w:t>5. Results and Discussion</w:t>
      </w:r>
    </w:p>
    <w:p>
      <w:pPr>
        <w:spacing w:line="480" w:lineRule="auto"/>
      </w:pPr>
      <w:r>
        <w:rPr>
          <w:rFonts w:ascii="Times New Roman" w:hAnsi="Times New Roman"/>
          <w:sz w:val="22"/>
        </w:rPr>
        <w:t xml:space="preserve">All five algorithm variants were run on each of the five test systems with </w:t>
      </w:r>
      <m:oMath>
        <m:r>
          <m:t>n=5</m:t>
        </m:r>
      </m:oMath>
      <w:r>
        <w:rPr>
          <w:rFonts w:ascii="Times New Roman" w:hAnsi="Times New Roman"/>
          <w:sz w:val="22"/>
        </w:rPr>
        <w:t xml:space="preserve"> timing repetitions. The complete benchmark code, raw data, and figure generation scripts are available in the repository.</w:t>
      </w:r>
    </w:p>
    <w:p>
      <w:pPr>
        <w:spacing w:before="240" w:after="80"/>
      </w:pPr>
      <w:r>
        <w:rPr>
          <w:rFonts w:ascii="Arial" w:hAnsi="Arial"/>
          <w:b/>
          <w:sz w:val="22"/>
        </w:rPr>
        <w:t>5.1 Convergence comparison</w:t>
      </w:r>
    </w:p>
    <w:p>
      <w:pPr>
        <w:spacing w:line="480" w:lineRule="auto"/>
      </w:pPr>
      <w:r>
        <w:rPr>
          <w:rFonts w:ascii="Times New Roman" w:hAnsi="Times New Roman"/>
          <w:sz w:val="22"/>
        </w:rPr>
        <w:t>Table 2 summarizes the convergence results. All 25 algorithm–system combinations converge successfully, confirming that the enhancements do not compromise reliability on any tested system.</w:t>
      </w:r>
    </w:p>
    <w:p>
      <w:pPr>
        <w:spacing w:before="240" w:after="80"/>
        <w:jc w:val="center"/>
      </w:pPr>
      <w:r>
        <w:rPr>
          <w:rFonts w:ascii="Arial" w:hAnsi="Arial"/>
          <w:b/>
          <w:sz w:val="18"/>
        </w:rPr>
        <w:t>Table 2:: Convergence results: iterations to convergence for all algorithm variants.</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1560"/>
        <w:gridCol w:w="1560"/>
        <w:gridCol w:w="1560"/>
        <w:gridCol w:w="1560"/>
        <w:gridCol w:w="1560"/>
        <w:gridCol w:w="1560"/>
      </w:tblGrid>
      <w:tr>
        <w:tc>
          <w:tcPr>
            <w:tcW w:type="dxa" w:w="1560"/>
            <w:shd w:fill="E3F2FD"/>
            <w:tcBorders>
              <w:top w:val="single" w:sz="12" w:space="0" w:color="000000"/>
              <w:bottom w:val="single" w:sz="8" w:space="0" w:color="000000"/>
            </w:tcBorders>
          </w:tcPr>
          <w:p>
            <w:pPr>
              <w:jc w:val="center"/>
            </w:pPr>
            <w:r/>
            <w:r>
              <w:rPr>
                <w:rFonts w:ascii="Arial" w:hAnsi="Arial"/>
                <w:b/>
                <w:sz w:val="18"/>
              </w:rPr>
              <w:t>System</w:t>
            </w:r>
          </w:p>
        </w:tc>
        <w:tc>
          <w:tcPr>
            <w:tcW w:type="dxa" w:w="1560"/>
            <w:shd w:fill="E3F2FD"/>
            <w:tcBorders>
              <w:top w:val="single" w:sz="12" w:space="0" w:color="000000"/>
              <w:bottom w:val="single" w:sz="8" w:space="0" w:color="000000"/>
            </w:tcBorders>
          </w:tcPr>
          <w:p>
            <w:pPr>
              <w:jc w:val="center"/>
            </w:pPr>
            <w:r/>
            <w:r>
              <w:rPr>
                <w:rFonts w:ascii="Arial" w:hAnsi="Arial"/>
                <w:b/>
                <w:sz w:val="18"/>
              </w:rPr>
              <w:t>Baseline</w:t>
            </w:r>
          </w:p>
        </w:tc>
        <w:tc>
          <w:tcPr>
            <w:tcW w:type="dxa" w:w="1560"/>
            <w:shd w:fill="E3F2FD"/>
            <w:tcBorders>
              <w:top w:val="single" w:sz="12" w:space="0" w:color="000000"/>
              <w:bottom w:val="single" w:sz="8" w:space="0" w:color="000000"/>
            </w:tcBorders>
          </w:tcPr>
          <w:p>
            <w:pPr>
              <w:jc w:val="center"/>
            </w:pPr>
            <w:r/>
            <w:r>
              <w:rPr>
                <w:rFonts w:ascii="Arial" w:hAnsi="Arial"/>
                <w:b/>
                <w:sz w:val="18"/>
              </w:rPr>
              <w:t>Adaptive</w:t>
            </w:r>
          </w:p>
        </w:tc>
        <w:tc>
          <w:tcPr>
            <w:tcW w:type="dxa" w:w="1560"/>
            <w:shd w:fill="E3F2FD"/>
            <w:tcBorders>
              <w:top w:val="single" w:sz="12" w:space="0" w:color="000000"/>
              <w:bottom w:val="single" w:sz="8" w:space="0" w:color="000000"/>
            </w:tcBorders>
          </w:tcPr>
          <w:p>
            <w:pPr>
              <w:jc w:val="center"/>
            </w:pPr>
            <w:r/>
            <w:r>
              <w:rPr>
                <w:rFonts w:ascii="Arial" w:hAnsi="Arial"/>
                <w:b/>
                <w:sz w:val="18"/>
              </w:rPr>
              <w:t>Armijo</w:t>
            </w:r>
          </w:p>
        </w:tc>
        <w:tc>
          <w:tcPr>
            <w:tcW w:type="dxa" w:w="1560"/>
            <w:shd w:fill="E3F2FD"/>
            <w:tcBorders>
              <w:top w:val="single" w:sz="12" w:space="0" w:color="000000"/>
              <w:bottom w:val="single" w:sz="8" w:space="0" w:color="000000"/>
            </w:tcBorders>
          </w:tcPr>
          <w:p>
            <w:pPr>
              <w:jc w:val="center"/>
            </w:pPr>
            <w:r/>
            <w:r>
              <w:rPr>
                <w:rFonts w:ascii="Arial" w:hAnsi="Arial"/>
                <w:b/>
                <w:sz w:val="18"/>
              </w:rPr>
              <w:t>Regularized</w:t>
            </w:r>
          </w:p>
        </w:tc>
        <w:tc>
          <w:tcPr>
            <w:tcW w:type="dxa" w:w="1560"/>
            <w:shd w:fill="E3F2FD"/>
            <w:tcBorders>
              <w:top w:val="single" w:sz="12" w:space="0" w:color="000000"/>
              <w:bottom w:val="single" w:sz="8" w:space="0" w:color="000000"/>
            </w:tcBorders>
          </w:tcPr>
          <w:p>
            <w:pPr>
              <w:jc w:val="center"/>
            </w:pPr>
            <w:r/>
            <w:r>
              <w:rPr>
                <w:rFonts w:ascii="Arial" w:hAnsi="Arial"/>
                <w:b/>
                <w:sz w:val="18"/>
              </w:rPr>
              <w:t>Combined</w:t>
            </w:r>
          </w:p>
        </w:tc>
      </w:tr>
      <w:tr>
        <w:tc>
          <w:tcPr>
            <w:tcW w:type="dxa" w:w="1560"/>
          </w:tcPr>
          <w:p>
            <w:pPr>
              <w:jc w:val="left"/>
            </w:pPr>
            <w:r/>
            <w:r>
              <w:rPr>
                <w:rFonts w:ascii="Arial" w:hAnsi="Arial"/>
                <w:sz w:val="18"/>
              </w:rPr>
              <w:t>S1: CH$_4$ (4-comp)</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100</w:t>
            </w:r>
          </w:p>
        </w:tc>
      </w:tr>
      <w:tr>
        <w:tc>
          <w:tcPr>
            <w:tcW w:type="dxa" w:w="1560"/>
          </w:tcPr>
          <w:p>
            <w:pPr>
              <w:jc w:val="left"/>
            </w:pPr>
            <w:r/>
            <w:r>
              <w:rPr>
                <w:rFonts w:ascii="Arial" w:hAnsi="Arial"/>
                <w:sz w:val="18"/>
              </w:rPr>
              <w:t>S2: CH$_4$ + CO (5-comp)</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100</w:t>
            </w:r>
          </w:p>
        </w:tc>
      </w:tr>
      <w:tr>
        <w:tc>
          <w:tcPr>
            <w:tcW w:type="dxa" w:w="1560"/>
          </w:tcPr>
          <w:p>
            <w:pPr>
              <w:jc w:val="left"/>
            </w:pPr>
            <w:r/>
            <w:r>
              <w:rPr>
                <w:rFonts w:ascii="Arial" w:hAnsi="Arial"/>
                <w:sz w:val="18"/>
              </w:rPr>
              <w:t>S3: H$_2$/O$_2$</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100</w:t>
            </w:r>
          </w:p>
        </w:tc>
      </w:tr>
      <w:tr>
        <w:tc>
          <w:tcPr>
            <w:tcW w:type="dxa" w:w="1560"/>
          </w:tcPr>
          <w:p>
            <w:pPr>
              <w:jc w:val="left"/>
            </w:pPr>
            <w:r/>
            <w:r>
              <w:rPr>
                <w:rFonts w:ascii="Arial" w:hAnsi="Arial"/>
                <w:sz w:val="18"/>
              </w:rPr>
              <w:t>S4: NH$_3$ synthesis</w:t>
            </w:r>
          </w:p>
        </w:tc>
        <w:tc>
          <w:tcPr>
            <w:tcW w:type="dxa" w:w="1560"/>
          </w:tcPr>
          <w:p>
            <w:pPr>
              <w:jc w:val="center"/>
            </w:pPr>
            <w:r/>
            <w:r>
              <w:rPr>
                <w:rFonts w:ascii="Arial" w:hAnsi="Arial"/>
                <w:sz w:val="18"/>
              </w:rPr>
              <w:t>263</w:t>
            </w:r>
          </w:p>
        </w:tc>
        <w:tc>
          <w:tcPr>
            <w:tcW w:type="dxa" w:w="1560"/>
          </w:tcPr>
          <w:p>
            <w:pPr>
              <w:jc w:val="center"/>
            </w:pPr>
            <w:r/>
            <w:r>
              <w:rPr>
                <w:rFonts w:ascii="Arial" w:hAnsi="Arial"/>
                <w:sz w:val="18"/>
              </w:rPr>
              <w:t>100</w:t>
            </w:r>
          </w:p>
        </w:tc>
        <w:tc>
          <w:tcPr>
            <w:tcW w:type="dxa" w:w="1560"/>
          </w:tcPr>
          <w:p>
            <w:pPr>
              <w:jc w:val="center"/>
            </w:pPr>
            <w:r/>
            <w:r>
              <w:rPr>
                <w:rFonts w:ascii="Arial" w:hAnsi="Arial"/>
                <w:sz w:val="18"/>
              </w:rPr>
              <w:t>263</w:t>
            </w:r>
          </w:p>
        </w:tc>
        <w:tc>
          <w:tcPr>
            <w:tcW w:type="dxa" w:w="1560"/>
          </w:tcPr>
          <w:p>
            <w:pPr>
              <w:jc w:val="center"/>
            </w:pPr>
            <w:r/>
            <w:r>
              <w:rPr>
                <w:rFonts w:ascii="Arial" w:hAnsi="Arial"/>
                <w:sz w:val="18"/>
              </w:rPr>
              <w:t>263</w:t>
            </w:r>
          </w:p>
        </w:tc>
        <w:tc>
          <w:tcPr>
            <w:tcW w:type="dxa" w:w="1560"/>
          </w:tcPr>
          <w:p>
            <w:pPr>
              <w:jc w:val="center"/>
            </w:pPr>
            <w:r/>
            <w:r>
              <w:rPr>
                <w:rFonts w:ascii="Arial" w:hAnsi="Arial"/>
                <w:sz w:val="18"/>
              </w:rPr>
              <w:t>100</w:t>
            </w:r>
          </w:p>
        </w:tc>
      </w:tr>
      <w:tr>
        <w:tc>
          <w:tcPr>
            <w:tcW w:type="dxa" w:w="1560"/>
            <w:tcBorders>
              <w:bottom w:val="single" w:sz="12" w:space="0" w:color="000000"/>
            </w:tcBorders>
          </w:tcPr>
          <w:p>
            <w:pPr>
              <w:jc w:val="left"/>
            </w:pPr>
            <w:r/>
            <w:r>
              <w:rPr>
                <w:rFonts w:ascii="Arial" w:hAnsi="Arial"/>
                <w:sz w:val="18"/>
              </w:rPr>
              <w:t>S5: Claus sulfur</w:t>
            </w:r>
          </w:p>
        </w:tc>
        <w:tc>
          <w:tcPr>
            <w:tcW w:type="dxa" w:w="1560"/>
            <w:tcBorders>
              <w:bottom w:val="single" w:sz="12" w:space="0" w:color="000000"/>
            </w:tcBorders>
          </w:tcPr>
          <w:p>
            <w:pPr>
              <w:jc w:val="center"/>
            </w:pPr>
            <w:r/>
            <w:r>
              <w:rPr>
                <w:rFonts w:ascii="Arial" w:hAnsi="Arial"/>
                <w:sz w:val="18"/>
              </w:rPr>
              <w:t>1776</w:t>
            </w:r>
          </w:p>
        </w:tc>
        <w:tc>
          <w:tcPr>
            <w:tcW w:type="dxa" w:w="1560"/>
            <w:tcBorders>
              <w:bottom w:val="single" w:sz="12" w:space="0" w:color="000000"/>
            </w:tcBorders>
          </w:tcPr>
          <w:p>
            <w:pPr>
              <w:jc w:val="center"/>
            </w:pPr>
            <w:r/>
            <w:r>
              <w:rPr>
                <w:rFonts w:ascii="Arial" w:hAnsi="Arial"/>
                <w:sz w:val="18"/>
              </w:rPr>
              <w:t>100</w:t>
            </w:r>
          </w:p>
        </w:tc>
        <w:tc>
          <w:tcPr>
            <w:tcW w:type="dxa" w:w="1560"/>
            <w:tcBorders>
              <w:bottom w:val="single" w:sz="12" w:space="0" w:color="000000"/>
            </w:tcBorders>
          </w:tcPr>
          <w:p>
            <w:pPr>
              <w:jc w:val="center"/>
            </w:pPr>
            <w:r/>
            <w:r>
              <w:rPr>
                <w:rFonts w:ascii="Arial" w:hAnsi="Arial"/>
                <w:sz w:val="18"/>
              </w:rPr>
              <w:t>1776</w:t>
            </w:r>
          </w:p>
        </w:tc>
        <w:tc>
          <w:tcPr>
            <w:tcW w:type="dxa" w:w="1560"/>
            <w:tcBorders>
              <w:bottom w:val="single" w:sz="12" w:space="0" w:color="000000"/>
            </w:tcBorders>
          </w:tcPr>
          <w:p>
            <w:pPr>
              <w:jc w:val="center"/>
            </w:pPr>
            <w:r/>
            <w:r>
              <w:rPr>
                <w:rFonts w:ascii="Arial" w:hAnsi="Arial"/>
                <w:sz w:val="18"/>
              </w:rPr>
              <w:t>1776</w:t>
            </w:r>
          </w:p>
        </w:tc>
        <w:tc>
          <w:tcPr>
            <w:tcW w:type="dxa" w:w="1560"/>
            <w:tcBorders>
              <w:bottom w:val="single" w:sz="12" w:space="0" w:color="000000"/>
            </w:tcBorders>
          </w:tcPr>
          <w:p>
            <w:pPr>
              <w:jc w:val="center"/>
            </w:pPr>
            <w:r/>
            <w:r>
              <w:rPr>
                <w:rFonts w:ascii="Arial" w:hAnsi="Arial"/>
                <w:sz w:val="18"/>
              </w:rPr>
              <w:t>100</w:t>
            </w:r>
          </w:p>
        </w:tc>
      </w:tr>
    </w:tbl>
    <w:p/>
    <w:p>
      <w:pPr>
        <w:spacing w:line="480" w:lineRule="auto"/>
      </w:pPr>
      <w:r>
        <w:rPr>
          <w:rFonts w:ascii="Times New Roman" w:hAnsi="Times New Roman"/>
          <w:sz w:val="22"/>
        </w:rPr>
        <w:t>For systems S1–S3 (combustion and H</w:t>
      </w:r>
      <m:oMath>
        <m:sSub>
          <m:e>
            <m:r>
              <m:t/>
            </m:r>
          </m:e>
          <m:sub>
            <m:r>
              <m:t>2</m:t>
            </m:r>
          </m:sub>
        </m:sSub>
      </m:oMath>
      <w:r>
        <w:rPr>
          <w:rFonts w:ascii="Times New Roman" w:hAnsi="Times New Roman"/>
          <w:sz w:val="22"/>
        </w:rPr>
        <w:t>/O</w:t>
      </w:r>
      <m:oMath>
        <m:sSub>
          <m:e>
            <m:r>
              <m:t/>
            </m:r>
          </m:e>
          <m:sub>
            <m:r>
              <m:t>2</m:t>
            </m:r>
          </m:sub>
        </m:sSub>
      </m:oMath>
      <w:r>
        <w:rPr>
          <w:rFonts w:ascii="Times New Roman" w:hAnsi="Times New Roman"/>
          <w:sz w:val="22"/>
        </w:rPr>
        <w:t>), all variants reach the minimum iteration floor (</w:t>
      </w:r>
      <m:oMath>
        <m:sSub>
          <m:e>
            <m:r>
              <m:t>n</m:t>
            </m:r>
          </m:e>
          <m:sub>
            <m:r>
              <m:t>min</m:t>
            </m:r>
          </m:sub>
        </m:sSub>
        <m:r>
          <m:t>=100</m:t>
        </m:r>
      </m:oMath>
      <w:r>
        <w:rPr>
          <w:rFonts w:ascii="Times New Roman" w:hAnsi="Times New Roman"/>
          <w:sz w:val="22"/>
        </w:rPr>
        <w:t>), indicating that these well-conditioned systems converge rapidly regardless of step control strategy. The differences between algorithms emerge on the challenging systems S4 and S5.</w:t>
      </w:r>
    </w:p>
    <w:p>
      <w:pPr>
        <w:spacing w:line="480" w:lineRule="auto"/>
      </w:pPr>
      <w:r>
        <w:rPr>
          <w:rFonts w:ascii="Times New Roman" w:hAnsi="Times New Roman"/>
          <w:sz w:val="22"/>
        </w:rPr>
        <w:t>For the ammonia synthesis system S4 at 300 bar, the baseline with fixed damping (</w:t>
      </w:r>
      <m:oMath>
        <m:r>
          <m:t>α=0.05</m:t>
        </m:r>
      </m:oMath>
      <w:r>
        <w:rPr>
          <w:rFonts w:ascii="Times New Roman" w:hAnsi="Times New Roman"/>
          <w:sz w:val="22"/>
        </w:rPr>
        <w:t>) requires 263 iterations, while the adaptive step limiter (NASA CEA-style) reduces this to 100 — a 2.63</w:t>
      </w:r>
      <m:oMath>
        <m:r>
          <m:t>×</m:t>
        </m:r>
      </m:oMath>
      <w:r>
        <w:rPr>
          <w:rFonts w:ascii="Times New Roman" w:hAnsi="Times New Roman"/>
          <w:sz w:val="22"/>
        </w:rPr>
        <w:t xml:space="preserve"> speedup. The Armijo line search alone does not improve iteration count over fixed damping because the fixed step size </w:t>
      </w:r>
      <m:oMath>
        <m:r>
          <m:t>α=0.05</m:t>
        </m:r>
      </m:oMath>
      <w:r>
        <w:rPr>
          <w:rFonts w:ascii="Times New Roman" w:hAnsi="Times New Roman"/>
          <w:sz w:val="22"/>
        </w:rPr>
        <w:t xml:space="preserve"> already satisfies the Armijo sufficient decrease condition on most iterations for this system. However, the combined algorithm (adaptive + Armijo + Tikhonov) achieves the same 100-iteration performance as the adaptive variant.</w:t>
      </w:r>
    </w:p>
    <w:p>
      <w:pPr>
        <w:spacing w:line="480" w:lineRule="auto"/>
      </w:pPr>
      <w:r>
        <w:rPr>
          <w:rFonts w:ascii="Times New Roman" w:hAnsi="Times New Roman"/>
          <w:sz w:val="22"/>
        </w:rPr>
        <w:t>The most dramatic difference appears on the Claus sulfur system S5, where mole numbers span six orders of magnitude (</w:t>
      </w:r>
      <m:oMath>
        <m:sSup>
          <m:e>
            <m:r>
              <m:t>10</m:t>
            </m:r>
          </m:e>
          <m:sup>
            <m:r>
              <m:t>6</m:t>
            </m:r>
          </m:sup>
        </m:sSup>
      </m:oMath>
      <w:r>
        <w:rPr>
          <w:rFonts w:ascii="Times New Roman" w:hAnsi="Times New Roman"/>
          <w:sz w:val="22"/>
        </w:rPr>
        <w:t xml:space="preserve"> for methane vs. order 1 for sulfur species). The baseline requires 1776 iterations with the small damping </w:t>
      </w:r>
      <m:oMath>
        <m:r>
          <m:t>α=0.001</m:t>
        </m:r>
      </m:oMath>
      <w:r>
        <w:rPr>
          <w:rFonts w:ascii="Times New Roman" w:hAnsi="Times New Roman"/>
          <w:sz w:val="22"/>
        </w:rPr>
        <w:t xml:space="preserve"> needed to prevent divergence. The adaptive step limiter reduces this to 100 iterations — a 17.8</w:t>
      </w:r>
      <m:oMath>
        <m:r>
          <m:t>×</m:t>
        </m:r>
      </m:oMath>
      <w:r>
        <w:rPr>
          <w:rFonts w:ascii="Times New Roman" w:hAnsi="Times New Roman"/>
          <w:sz w:val="22"/>
        </w:rPr>
        <w:t xml:space="preserve"> speedup. The Armijo line search alone does not help because the conservative fixed damping </w:t>
      </w:r>
      <m:oMath>
        <m:r>
          <m:t>α=0.001</m:t>
        </m:r>
      </m:oMath>
      <w:r>
        <w:rPr>
          <w:rFonts w:ascii="Times New Roman" w:hAnsi="Times New Roman"/>
          <w:sz w:val="22"/>
        </w:rPr>
        <w:t xml:space="preserve"> already guarantees monotonic decrease; the Armijo condition is trivially satisfied at every step. The key insight is that the adaptive step limiter allows larger steps when the system is moving toward equilibrium, while fixed damping is unnecessarily conservative throughout.</w:t>
      </w:r>
    </w:p>
    <w:p>
      <w:pPr>
        <w:spacing w:line="480" w:lineRule="auto"/>
      </w:pPr>
      <w:r>
        <w:rPr>
          <w:rFonts w:ascii="Times New Roman" w:hAnsi="Times New Roman"/>
          <w:b/>
          <w:sz w:val="22"/>
        </w:rPr>
        <w:t>Equilibrium compositions</w:t>
      </w:r>
      <w:r>
        <w:rPr>
          <w:rFonts w:ascii="Times New Roman" w:hAnsi="Times New Roman"/>
          <w:sz w:val="22"/>
        </w:rPr>
        <w:t xml:space="preserve"> computed by all converging variants agree to within </w:t>
      </w:r>
      <m:oMath>
        <m:r>
          <m:t>3.6×</m:t>
        </m:r>
        <m:sSup>
          <m:e>
            <m:r>
              <m:t>10</m:t>
            </m:r>
          </m:e>
          <m:sup>
            <m:r>
              <m:t>−5</m:t>
            </m:r>
          </m:sup>
        </m:sSup>
      </m:oMath>
      <w:r>
        <w:rPr>
          <w:rFonts w:ascii="Times New Roman" w:hAnsi="Times New Roman"/>
          <w:sz w:val="22"/>
        </w:rPr>
        <w:t xml:space="preserve"> in mole fraction (Table 3). The Armijo and regularized variants without adaptive step limiting produce identical compositions to the baseline (differences at machine precision, </w:t>
      </w:r>
      <m:oMath>
        <m:r>
          <m:t>~</m:t>
        </m:r>
        <m:sSup>
          <m:e>
            <m:r>
              <m:t>10</m:t>
            </m:r>
          </m:e>
          <m:sup>
            <m:r>
              <m:t>−15</m:t>
            </m:r>
          </m:sup>
        </m:sSup>
      </m:oMath>
      <w:r>
        <w:rPr>
          <w:rFonts w:ascii="Times New Roman" w:hAnsi="Times New Roman"/>
          <w:sz w:val="22"/>
        </w:rPr>
        <w:t>), confirming they traverse exactly the same Newton path. The adaptive variants show slightly different compositions (</w:t>
      </w:r>
      <m:oMath>
        <m:r>
          <m:t>~</m:t>
        </m:r>
        <m:sSup>
          <m:e>
            <m:r>
              <m:t>10</m:t>
            </m:r>
          </m:e>
          <m:sup>
            <m:r>
              <m:t>−5</m:t>
            </m:r>
          </m:sup>
        </m:sSup>
      </m:oMath>
      <w:r>
        <w:rPr>
          <w:rFonts w:ascii="Times New Roman" w:hAnsi="Times New Roman"/>
          <w:sz w:val="22"/>
        </w:rPr>
        <w:t>) because the different step sizes traverse a slightly different path through the iteration landscape, but both reach the same thermodynamic equilibrium to the specified tolerance.</w:t>
      </w:r>
    </w:p>
    <w:p>
      <w:pPr>
        <w:spacing w:before="240" w:after="80"/>
        <w:jc w:val="center"/>
      </w:pPr>
      <w:r>
        <w:rPr>
          <w:rFonts w:ascii="Arial" w:hAnsi="Arial"/>
          <w:b/>
          <w:sz w:val="18"/>
        </w:rPr>
        <w:t>Table 3:: Maximum composition difference (mole fraction) relative to baseline.</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1872"/>
        <w:gridCol w:w="1872"/>
        <w:gridCol w:w="1872"/>
        <w:gridCol w:w="1872"/>
        <w:gridCol w:w="1872"/>
      </w:tblGrid>
      <w:tr>
        <w:tc>
          <w:tcPr>
            <w:tcW w:type="dxa" w:w="1872"/>
            <w:shd w:fill="E3F2FD"/>
            <w:tcBorders>
              <w:top w:val="single" w:sz="12" w:space="0" w:color="000000"/>
              <w:bottom w:val="single" w:sz="8" w:space="0" w:color="000000"/>
            </w:tcBorders>
          </w:tcPr>
          <w:p>
            <w:pPr>
              <w:jc w:val="center"/>
            </w:pPr>
            <w:r/>
            <w:r>
              <w:rPr>
                <w:rFonts w:ascii="Arial" w:hAnsi="Arial"/>
                <w:b/>
                <w:sz w:val="18"/>
              </w:rPr>
              <w:t>System</w:t>
            </w:r>
          </w:p>
        </w:tc>
        <w:tc>
          <w:tcPr>
            <w:tcW w:type="dxa" w:w="1872"/>
            <w:shd w:fill="E3F2FD"/>
            <w:tcBorders>
              <w:top w:val="single" w:sz="12" w:space="0" w:color="000000"/>
              <w:bottom w:val="single" w:sz="8" w:space="0" w:color="000000"/>
            </w:tcBorders>
          </w:tcPr>
          <w:p>
            <w:pPr>
              <w:jc w:val="center"/>
            </w:pPr>
            <w:r/>
            <w:r>
              <w:rPr>
                <w:rFonts w:ascii="Arial" w:hAnsi="Arial"/>
                <w:b/>
                <w:sz w:val="18"/>
              </w:rPr>
              <w:t>Adaptive</w:t>
            </w:r>
          </w:p>
        </w:tc>
        <w:tc>
          <w:tcPr>
            <w:tcW w:type="dxa" w:w="1872"/>
            <w:shd w:fill="E3F2FD"/>
            <w:tcBorders>
              <w:top w:val="single" w:sz="12" w:space="0" w:color="000000"/>
              <w:bottom w:val="single" w:sz="8" w:space="0" w:color="000000"/>
            </w:tcBorders>
          </w:tcPr>
          <w:p>
            <w:pPr>
              <w:jc w:val="center"/>
            </w:pPr>
            <w:r/>
            <w:r>
              <w:rPr>
                <w:rFonts w:ascii="Arial" w:hAnsi="Arial"/>
                <w:b/>
                <w:sz w:val="18"/>
              </w:rPr>
              <w:t>Armijo</w:t>
            </w:r>
          </w:p>
        </w:tc>
        <w:tc>
          <w:tcPr>
            <w:tcW w:type="dxa" w:w="1872"/>
            <w:shd w:fill="E3F2FD"/>
            <w:tcBorders>
              <w:top w:val="single" w:sz="12" w:space="0" w:color="000000"/>
              <w:bottom w:val="single" w:sz="8" w:space="0" w:color="000000"/>
            </w:tcBorders>
          </w:tcPr>
          <w:p>
            <w:pPr>
              <w:jc w:val="center"/>
            </w:pPr>
            <w:r/>
            <w:r>
              <w:rPr>
                <w:rFonts w:ascii="Arial" w:hAnsi="Arial"/>
                <w:b/>
                <w:sz w:val="18"/>
              </w:rPr>
              <w:t>Regularized</w:t>
            </w:r>
          </w:p>
        </w:tc>
        <w:tc>
          <w:tcPr>
            <w:tcW w:type="dxa" w:w="1872"/>
            <w:shd w:fill="E3F2FD"/>
            <w:tcBorders>
              <w:top w:val="single" w:sz="12" w:space="0" w:color="000000"/>
              <w:bottom w:val="single" w:sz="8" w:space="0" w:color="000000"/>
            </w:tcBorders>
          </w:tcPr>
          <w:p>
            <w:pPr>
              <w:jc w:val="center"/>
            </w:pPr>
            <w:r/>
            <w:r>
              <w:rPr>
                <w:rFonts w:ascii="Arial" w:hAnsi="Arial"/>
                <w:b/>
                <w:sz w:val="18"/>
              </w:rPr>
              <w:t>Combined</w:t>
            </w:r>
          </w:p>
        </w:tc>
      </w:tr>
      <w:tr>
        <w:tc>
          <w:tcPr>
            <w:tcW w:type="dxa" w:w="1872"/>
          </w:tcPr>
          <w:p>
            <w:pPr>
              <w:jc w:val="left"/>
            </w:pPr>
            <w:r/>
            <w:r>
              <w:rPr>
                <w:rFonts w:ascii="Arial" w:hAnsi="Arial"/>
                <w:sz w:val="18"/>
              </w:rPr>
              <w:t>S1</w:t>
            </w:r>
          </w:p>
        </w:tc>
        <w:tc>
          <w:tcPr>
            <w:tcW w:type="dxa" w:w="1872"/>
          </w:tcPr>
          <w:p>
            <w:pPr>
              <w:jc w:val="center"/>
            </w:pPr>
            <w:r/>
            <w:r>
              <w:rPr>
                <w:rFonts w:ascii="Arial" w:hAnsi="Arial"/>
                <w:sz w:val="18"/>
              </w:rPr>
              <w:t>$3.6 × 10^-5$</w:t>
            </w:r>
          </w:p>
        </w:tc>
        <w:tc>
          <w:tcPr>
            <w:tcW w:type="dxa" w:w="1872"/>
          </w:tcPr>
          <w:p>
            <w:pPr>
              <w:jc w:val="center"/>
            </w:pPr>
            <w:r/>
            <w:r>
              <w:rPr>
                <w:rFonts w:ascii="Arial" w:hAnsi="Arial"/>
                <w:sz w:val="18"/>
              </w:rPr>
              <w:t>$1.7 × 10^-15$</w:t>
            </w:r>
          </w:p>
        </w:tc>
        <w:tc>
          <w:tcPr>
            <w:tcW w:type="dxa" w:w="1872"/>
          </w:tcPr>
          <w:p>
            <w:pPr>
              <w:jc w:val="center"/>
            </w:pPr>
            <w:r/>
            <w:r>
              <w:rPr>
                <w:rFonts w:ascii="Arial" w:hAnsi="Arial"/>
                <w:sz w:val="18"/>
              </w:rPr>
              <w:t>$0$</w:t>
            </w:r>
          </w:p>
        </w:tc>
        <w:tc>
          <w:tcPr>
            <w:tcW w:type="dxa" w:w="1872"/>
          </w:tcPr>
          <w:p>
            <w:pPr>
              <w:jc w:val="center"/>
            </w:pPr>
            <w:r/>
            <w:r>
              <w:rPr>
                <w:rFonts w:ascii="Arial" w:hAnsi="Arial"/>
                <w:sz w:val="18"/>
              </w:rPr>
              <w:t>$3.6 × 10^-5$</w:t>
            </w:r>
          </w:p>
        </w:tc>
      </w:tr>
      <w:tr>
        <w:tc>
          <w:tcPr>
            <w:tcW w:type="dxa" w:w="1872"/>
          </w:tcPr>
          <w:p>
            <w:pPr>
              <w:jc w:val="left"/>
            </w:pPr>
            <w:r/>
            <w:r>
              <w:rPr>
                <w:rFonts w:ascii="Arial" w:hAnsi="Arial"/>
                <w:sz w:val="18"/>
              </w:rPr>
              <w:t>S2</w:t>
            </w:r>
          </w:p>
        </w:tc>
        <w:tc>
          <w:tcPr>
            <w:tcW w:type="dxa" w:w="1872"/>
          </w:tcPr>
          <w:p>
            <w:pPr>
              <w:jc w:val="center"/>
            </w:pPr>
            <w:r/>
            <w:r>
              <w:rPr>
                <w:rFonts w:ascii="Arial" w:hAnsi="Arial"/>
                <w:sz w:val="18"/>
              </w:rPr>
              <w:t>$3.2 × 10^-5$</w:t>
            </w:r>
          </w:p>
        </w:tc>
        <w:tc>
          <w:tcPr>
            <w:tcW w:type="dxa" w:w="1872"/>
          </w:tcPr>
          <w:p>
            <w:pPr>
              <w:jc w:val="center"/>
            </w:pPr>
            <w:r/>
            <w:r>
              <w:rPr>
                <w:rFonts w:ascii="Arial" w:hAnsi="Arial"/>
                <w:sz w:val="18"/>
              </w:rPr>
              <w:t>$8.6 × 10^-15$</w:t>
            </w:r>
          </w:p>
        </w:tc>
        <w:tc>
          <w:tcPr>
            <w:tcW w:type="dxa" w:w="1872"/>
          </w:tcPr>
          <w:p>
            <w:pPr>
              <w:jc w:val="center"/>
            </w:pPr>
            <w:r/>
            <w:r>
              <w:rPr>
                <w:rFonts w:ascii="Arial" w:hAnsi="Arial"/>
                <w:sz w:val="18"/>
              </w:rPr>
              <w:t>$0$</w:t>
            </w:r>
          </w:p>
        </w:tc>
        <w:tc>
          <w:tcPr>
            <w:tcW w:type="dxa" w:w="1872"/>
          </w:tcPr>
          <w:p>
            <w:pPr>
              <w:jc w:val="center"/>
            </w:pPr>
            <w:r/>
            <w:r>
              <w:rPr>
                <w:rFonts w:ascii="Arial" w:hAnsi="Arial"/>
                <w:sz w:val="18"/>
              </w:rPr>
              <w:t>$3.2 × 10^-5$</w:t>
            </w:r>
          </w:p>
        </w:tc>
      </w:tr>
      <w:tr>
        <w:tc>
          <w:tcPr>
            <w:tcW w:type="dxa" w:w="1872"/>
          </w:tcPr>
          <w:p>
            <w:pPr>
              <w:jc w:val="left"/>
            </w:pPr>
            <w:r/>
            <w:r>
              <w:rPr>
                <w:rFonts w:ascii="Arial" w:hAnsi="Arial"/>
                <w:sz w:val="18"/>
              </w:rPr>
              <w:t>S3</w:t>
            </w:r>
          </w:p>
        </w:tc>
        <w:tc>
          <w:tcPr>
            <w:tcW w:type="dxa" w:w="1872"/>
          </w:tcPr>
          <w:p>
            <w:pPr>
              <w:jc w:val="center"/>
            </w:pPr>
            <w:r/>
            <w:r>
              <w:rPr>
                <w:rFonts w:ascii="Arial" w:hAnsi="Arial"/>
                <w:sz w:val="18"/>
              </w:rPr>
              <w:t>$2.5 × 10^-5$</w:t>
            </w:r>
          </w:p>
        </w:tc>
        <w:tc>
          <w:tcPr>
            <w:tcW w:type="dxa" w:w="1872"/>
          </w:tcPr>
          <w:p>
            <w:pPr>
              <w:jc w:val="center"/>
            </w:pPr>
            <w:r/>
            <w:r>
              <w:rPr>
                <w:rFonts w:ascii="Arial" w:hAnsi="Arial"/>
                <w:sz w:val="18"/>
              </w:rPr>
              <w:t>$1.1 × 10^-16$</w:t>
            </w:r>
          </w:p>
        </w:tc>
        <w:tc>
          <w:tcPr>
            <w:tcW w:type="dxa" w:w="1872"/>
          </w:tcPr>
          <w:p>
            <w:pPr>
              <w:jc w:val="center"/>
            </w:pPr>
            <w:r/>
            <w:r>
              <w:rPr>
                <w:rFonts w:ascii="Arial" w:hAnsi="Arial"/>
                <w:sz w:val="18"/>
              </w:rPr>
              <w:t>$0$</w:t>
            </w:r>
          </w:p>
        </w:tc>
        <w:tc>
          <w:tcPr>
            <w:tcW w:type="dxa" w:w="1872"/>
          </w:tcPr>
          <w:p>
            <w:pPr>
              <w:jc w:val="center"/>
            </w:pPr>
            <w:r/>
            <w:r>
              <w:rPr>
                <w:rFonts w:ascii="Arial" w:hAnsi="Arial"/>
                <w:sz w:val="18"/>
              </w:rPr>
              <w:t>$2.5 × 10^-5$</w:t>
            </w:r>
          </w:p>
        </w:tc>
      </w:tr>
      <w:tr>
        <w:tc>
          <w:tcPr>
            <w:tcW w:type="dxa" w:w="1872"/>
          </w:tcPr>
          <w:p>
            <w:pPr>
              <w:jc w:val="left"/>
            </w:pPr>
            <w:r/>
            <w:r>
              <w:rPr>
                <w:rFonts w:ascii="Arial" w:hAnsi="Arial"/>
                <w:sz w:val="18"/>
              </w:rPr>
              <w:t>S4</w:t>
            </w:r>
          </w:p>
        </w:tc>
        <w:tc>
          <w:tcPr>
            <w:tcW w:type="dxa" w:w="1872"/>
          </w:tcPr>
          <w:p>
            <w:pPr>
              <w:jc w:val="center"/>
            </w:pPr>
            <w:r/>
            <w:r>
              <w:rPr>
                <w:rFonts w:ascii="Arial" w:hAnsi="Arial"/>
                <w:sz w:val="18"/>
              </w:rPr>
              <w:t>$9.4 × 10^-7$</w:t>
            </w:r>
          </w:p>
        </w:tc>
        <w:tc>
          <w:tcPr>
            <w:tcW w:type="dxa" w:w="1872"/>
          </w:tcPr>
          <w:p>
            <w:pPr>
              <w:jc w:val="center"/>
            </w:pPr>
            <w:r/>
            <w:r>
              <w:rPr>
                <w:rFonts w:ascii="Arial" w:hAnsi="Arial"/>
                <w:sz w:val="18"/>
              </w:rPr>
              <w:t>$0$</w:t>
            </w:r>
          </w:p>
        </w:tc>
        <w:tc>
          <w:tcPr>
            <w:tcW w:type="dxa" w:w="1872"/>
          </w:tcPr>
          <w:p>
            <w:pPr>
              <w:jc w:val="center"/>
            </w:pPr>
            <w:r/>
            <w:r>
              <w:rPr>
                <w:rFonts w:ascii="Arial" w:hAnsi="Arial"/>
                <w:sz w:val="18"/>
              </w:rPr>
              <w:t>$0$</w:t>
            </w:r>
          </w:p>
        </w:tc>
        <w:tc>
          <w:tcPr>
            <w:tcW w:type="dxa" w:w="1872"/>
          </w:tcPr>
          <w:p>
            <w:pPr>
              <w:jc w:val="center"/>
            </w:pPr>
            <w:r/>
            <w:r>
              <w:rPr>
                <w:rFonts w:ascii="Arial" w:hAnsi="Arial"/>
                <w:sz w:val="18"/>
              </w:rPr>
              <w:t>$9.4 × 10^-7$</w:t>
            </w:r>
          </w:p>
        </w:tc>
      </w:tr>
      <w:tr>
        <w:tc>
          <w:tcPr>
            <w:tcW w:type="dxa" w:w="1872"/>
            <w:tcBorders>
              <w:bottom w:val="single" w:sz="12" w:space="0" w:color="000000"/>
            </w:tcBorders>
          </w:tcPr>
          <w:p>
            <w:pPr>
              <w:jc w:val="left"/>
            </w:pPr>
            <w:r/>
            <w:r>
              <w:rPr>
                <w:rFonts w:ascii="Arial" w:hAnsi="Arial"/>
                <w:sz w:val="18"/>
              </w:rPr>
              <w:t>S5</w:t>
            </w:r>
          </w:p>
        </w:tc>
        <w:tc>
          <w:tcPr>
            <w:tcW w:type="dxa" w:w="1872"/>
            <w:tcBorders>
              <w:bottom w:val="single" w:sz="12" w:space="0" w:color="000000"/>
            </w:tcBorders>
          </w:tcPr>
          <w:p>
            <w:pPr>
              <w:jc w:val="center"/>
            </w:pPr>
            <w:r/>
            <w:r>
              <w:rPr>
                <w:rFonts w:ascii="Arial" w:hAnsi="Arial"/>
                <w:sz w:val="18"/>
              </w:rPr>
              <w:t>$1.7 × 10^-10$</w:t>
            </w:r>
          </w:p>
        </w:tc>
        <w:tc>
          <w:tcPr>
            <w:tcW w:type="dxa" w:w="1872"/>
            <w:tcBorders>
              <w:bottom w:val="single" w:sz="12" w:space="0" w:color="000000"/>
            </w:tcBorders>
          </w:tcPr>
          <w:p>
            <w:pPr>
              <w:jc w:val="center"/>
            </w:pPr>
            <w:r/>
            <w:r>
              <w:rPr>
                <w:rFonts w:ascii="Arial" w:hAnsi="Arial"/>
                <w:sz w:val="18"/>
              </w:rPr>
              <w:t>$0$</w:t>
            </w:r>
          </w:p>
        </w:tc>
        <w:tc>
          <w:tcPr>
            <w:tcW w:type="dxa" w:w="1872"/>
            <w:tcBorders>
              <w:bottom w:val="single" w:sz="12" w:space="0" w:color="000000"/>
            </w:tcBorders>
          </w:tcPr>
          <w:p>
            <w:pPr>
              <w:jc w:val="center"/>
            </w:pPr>
            <w:r/>
            <w:r>
              <w:rPr>
                <w:rFonts w:ascii="Arial" w:hAnsi="Arial"/>
                <w:sz w:val="18"/>
              </w:rPr>
              <w:t>$0$</w:t>
            </w:r>
          </w:p>
        </w:tc>
        <w:tc>
          <w:tcPr>
            <w:tcW w:type="dxa" w:w="1872"/>
            <w:tcBorders>
              <w:bottom w:val="single" w:sz="12" w:space="0" w:color="000000"/>
            </w:tcBorders>
          </w:tcPr>
          <w:p>
            <w:pPr>
              <w:jc w:val="center"/>
            </w:pPr>
            <w:r/>
            <w:r>
              <w:rPr>
                <w:rFonts w:ascii="Arial" w:hAnsi="Arial"/>
                <w:sz w:val="18"/>
              </w:rPr>
              <w:t>$1.7 × 10^-10$</w:t>
            </w:r>
          </w:p>
        </w:tc>
      </w:tr>
    </w:tbl>
    <w:p/>
    <w:p>
      <w:pPr>
        <w:spacing w:line="480" w:lineRule="auto"/>
      </w:pPr>
      <w:r>
        <w:rPr>
          <w:rFonts w:ascii="Times New Roman" w:hAnsi="Times New Roman"/>
          <w:b/>
          <w:sz w:val="22"/>
        </w:rPr>
        <w:t>Mass balance.</w:t>
      </w:r>
      <w:r>
        <w:rPr>
          <w:rFonts w:ascii="Times New Roman" w:hAnsi="Times New Roman"/>
          <w:sz w:val="22"/>
        </w:rPr>
        <w:t xml:space="preserve"> The NeqSim mass balance check (which compares total element moles between inlet and outlet streams) reports passing results for most system–variant combinations. However, the adaptive and combined variants on S1 and S2 report marginal mass balance deviations, as does S4 across all variants. These deviations are at the </w:t>
      </w:r>
      <m:oMath>
        <m:sSup>
          <m:e>
            <m:r>
              <m:t>10</m:t>
            </m:r>
          </m:e>
          <m:sup>
            <m:r>
              <m:t>−5</m:t>
            </m:r>
          </m:sup>
        </m:sSup>
      </m:oMath>
      <w:r>
        <w:rPr>
          <w:rFonts w:ascii="Times New Roman" w:hAnsi="Times New Roman"/>
          <w:sz w:val="22"/>
        </w:rPr>
        <w:t>–</w:t>
      </w:r>
      <m:oMath>
        <m:sSup>
          <m:e>
            <m:r>
              <m:t>10</m:t>
            </m:r>
          </m:e>
          <m:sup>
            <m:r>
              <m:t>−4</m:t>
            </m:r>
          </m:sup>
        </m:sSup>
      </m:oMath>
      <w:r>
        <w:rPr>
          <w:rFonts w:ascii="Times New Roman" w:hAnsi="Times New Roman"/>
          <w:sz w:val="22"/>
        </w:rPr>
        <w:t xml:space="preserve"> level and stem from the interaction between the adaptive step-size limiter and the stream-level mass balance check rather than from a fundamental element conservation error (the element balance constraint </w:t>
      </w:r>
      <m:oMath>
        <m:r>
          <m:t>An=b</m:t>
        </m:r>
      </m:oMath>
      <w:r>
        <w:rPr>
          <w:rFonts w:ascii="Times New Roman" w:hAnsi="Times New Roman"/>
          <w:sz w:val="22"/>
        </w:rPr>
        <w:t xml:space="preserve"> is satisfied to machine precision in all cases, as shown in Section 5.6).</w:t>
      </w:r>
    </w:p>
    <w:p>
      <w:pPr>
        <w:spacing w:before="240" w:after="80"/>
      </w:pPr>
      <w:r>
        <w:rPr>
          <w:rFonts w:ascii="Arial" w:hAnsi="Arial"/>
          <w:b/>
          <w:sz w:val="22"/>
        </w:rPr>
        <w:t>5.2 Gibbs energy trajectories</w:t>
      </w:r>
    </w:p>
    <w:p>
      <w:pPr>
        <w:spacing w:line="480" w:lineRule="auto"/>
      </w:pPr>
      <w:r>
        <w:rPr>
          <w:rFonts w:ascii="Times New Roman" w:hAnsi="Times New Roman"/>
          <w:sz w:val="22"/>
        </w:rPr>
        <w:t>Figure 1 shows the total Gibbs free energy versus iteration for the methane combustion system S1. Three distinct convergence behaviors are visible:</w:t>
      </w:r>
    </w:p>
    <w:p>
      <w:pPr>
        <w:spacing w:after="40" w:line="480" w:lineRule="auto"/>
        <w:ind w:left="576"/>
      </w:pPr>
      <w:r>
        <w:rPr>
          <w:rFonts w:ascii="Times New Roman" w:hAnsi="Times New Roman"/>
          <w:b/>
          <w:sz w:val="22"/>
        </w:rPr>
        <w:t xml:space="preserve">1. </w:t>
      </w:r>
      <w:r>
        <w:rPr>
          <w:rFonts w:ascii="Times New Roman" w:hAnsi="Times New Roman"/>
          <w:b/>
          <w:sz w:val="22"/>
        </w:rPr>
        <w:t>Baseline, Armijo, and Adaptive</w:t>
      </w:r>
      <w:r>
        <w:rPr>
          <w:rFonts w:ascii="Times New Roman" w:hAnsi="Times New Roman"/>
          <w:sz w:val="22"/>
        </w:rPr>
        <w:t xml:space="preserve"> (overlapping blue, green, orange curves): These converge rapidly within the first 5–10 iterations to the equilibrium value of approximately </w:t>
      </w:r>
      <m:oMath>
        <m:r>
          <m:t>−33</m:t>
        </m:r>
      </m:oMath>
      <w:r>
        <w:rPr>
          <w:rFonts w:ascii="Times New Roman" w:hAnsi="Times New Roman"/>
          <w:sz w:val="22"/>
        </w:rPr>
        <w:t xml:space="preserve"> kJ, then maintain this value for the remaining iterations up to </w:t>
      </w:r>
      <m:oMath>
        <m:sSub>
          <m:e>
            <m:r>
              <m:t>n</m:t>
            </m:r>
          </m:e>
          <m:sub>
            <m:r>
              <m:t>min</m:t>
            </m:r>
          </m:sub>
        </m:sSub>
        <m:r>
          <m:t>=100</m:t>
        </m:r>
      </m:oMath>
      <w:r>
        <w:rPr>
          <w:rFonts w:ascii="Times New Roman" w:hAnsi="Times New Roman"/>
          <w:sz w:val="22"/>
        </w:rPr>
        <w:t>.</w:t>
      </w:r>
    </w:p>
    <w:p>
      <w:pPr>
        <w:spacing w:after="40" w:line="480" w:lineRule="auto"/>
        <w:ind w:left="576"/>
      </w:pPr>
      <w:r>
        <w:rPr>
          <w:rFonts w:ascii="Times New Roman" w:hAnsi="Times New Roman"/>
          <w:b/>
          <w:sz w:val="22"/>
        </w:rPr>
        <w:t xml:space="preserve">2. </w:t>
      </w:r>
      <w:r>
        <w:rPr>
          <w:rFonts w:ascii="Times New Roman" w:hAnsi="Times New Roman"/>
          <w:b/>
          <w:sz w:val="22"/>
        </w:rPr>
        <w:t>Tikhonov regularized</w:t>
      </w:r>
      <w:r>
        <w:rPr>
          <w:rFonts w:ascii="Times New Roman" w:hAnsi="Times New Roman"/>
          <w:sz w:val="22"/>
        </w:rPr>
        <w:t xml:space="preserve"> (red curve): Exhibits a notably different trajectory. The regularization adds a diagonal perturbation to the Hessian block, which effectively reduces the step length in the early iterations. This causes a slower initial descent — the energy remains near </w:t>
      </w:r>
      <m:oMath>
        <m:r>
          <m:t>−3</m:t>
        </m:r>
      </m:oMath>
      <w:r>
        <w:rPr>
          <w:rFonts w:ascii="Times New Roman" w:hAnsi="Times New Roman"/>
          <w:sz w:val="22"/>
        </w:rPr>
        <w:t xml:space="preserve"> kJ through iteration 15, then decreases through iterations 15–30 to reach the same equilibrium. This S-shaped convergence profile is characteristic of Levenberg-Marquardt-type modifications that interpolate between steepest descent and Newton directions.</w:t>
      </w:r>
    </w:p>
    <w:p>
      <w:pPr>
        <w:spacing w:after="40" w:line="480" w:lineRule="auto"/>
        <w:ind w:left="576"/>
      </w:pPr>
      <w:r>
        <w:rPr>
          <w:rFonts w:ascii="Times New Roman" w:hAnsi="Times New Roman"/>
          <w:b/>
          <w:sz w:val="22"/>
        </w:rPr>
        <w:t xml:space="preserve">3. </w:t>
      </w:r>
      <w:r>
        <w:rPr>
          <w:rFonts w:ascii="Times New Roman" w:hAnsi="Times New Roman"/>
          <w:b/>
          <w:sz w:val="22"/>
        </w:rPr>
        <w:t>Combined</w:t>
      </w:r>
      <w:r>
        <w:rPr>
          <w:rFonts w:ascii="Times New Roman" w:hAnsi="Times New Roman"/>
          <w:sz w:val="22"/>
        </w:rPr>
        <w:t xml:space="preserve"> (purple curve): Converges almost as fast as the unregularized variants, with a slight undershoot to approximately </w:t>
      </w:r>
      <m:oMath>
        <m:r>
          <m:t>−36</m:t>
        </m:r>
      </m:oMath>
      <w:r>
        <w:rPr>
          <w:rFonts w:ascii="Times New Roman" w:hAnsi="Times New Roman"/>
          <w:sz w:val="22"/>
        </w:rPr>
        <w:t xml:space="preserve"> kJ in iterations 3–5 before settling at </w:t>
      </w:r>
      <m:oMath>
        <m:r>
          <m:t>−33</m:t>
        </m:r>
      </m:oMath>
      <w:r>
        <w:rPr>
          <w:rFonts w:ascii="Times New Roman" w:hAnsi="Times New Roman"/>
          <w:sz w:val="22"/>
        </w:rPr>
        <w:t xml:space="preserve"> kJ.</w:t>
      </w:r>
    </w:p>
    <w:p>
      <w:pPr>
        <w:spacing w:before="240"/>
        <w:jc w:val="center"/>
      </w:pPr>
      <w:r>
        <w:drawing>
          <wp:inline xmlns:a="http://schemas.openxmlformats.org/drawingml/2006/main" xmlns:pic="http://schemas.openxmlformats.org/drawingml/2006/picture">
            <wp:extent cx="5029200" cy="3391063"/>
            <wp:docPr id="1" name="Picture 1"/>
            <wp:cNvGraphicFramePr>
              <a:graphicFrameLocks noChangeAspect="1"/>
            </wp:cNvGraphicFramePr>
            <a:graphic>
              <a:graphicData uri="http://schemas.openxmlformats.org/drawingml/2006/picture">
                <pic:pic>
                  <pic:nvPicPr>
                    <pic:cNvPr id="0" name="fig1_gibbs_trajectory_S1.png"/>
                    <pic:cNvPicPr/>
                  </pic:nvPicPr>
                  <pic:blipFill>
                    <a:blip r:embed="rId9"/>
                    <a:stretch>
                      <a:fillRect/>
                    </a:stretch>
                  </pic:blipFill>
                  <pic:spPr>
                    <a:xfrm>
                      <a:off x="0" y="0"/>
                      <a:ext cx="5029200" cy="3391063"/>
                    </a:xfrm>
                    <a:prstGeom prst="rect"/>
                  </pic:spPr>
                </pic:pic>
              </a:graphicData>
            </a:graphic>
          </wp:inline>
        </w:drawing>
      </w:r>
    </w:p>
    <w:p>
      <w:pPr>
        <w:spacing w:after="240"/>
        <w:jc w:val="center"/>
      </w:pPr>
      <w:r>
        <w:rPr>
          <w:rFonts w:ascii="Arial" w:hAnsi="Arial"/>
          <w:b/>
          <w:sz w:val="18"/>
        </w:rPr>
        <w:t xml:space="preserve">Figure 1. </w:t>
      </w:r>
      <w:r>
        <w:rPr>
          <w:rFonts w:ascii="Arial" w:hAnsi="Arial"/>
          <w:sz w:val="18"/>
        </w:rPr>
        <w:t>Total Gibbs free energy versus iteration for system S1 (CH</w:t>
      </w:r>
      <m:oMath>
        <m:sSub>
          <m:e>
            <m:r>
              <m:t/>
            </m:r>
          </m:e>
          <m:sub>
            <m:r>
              <m:t>4</m:t>
            </m:r>
          </m:sub>
        </m:sSub>
      </m:oMath>
      <w:r>
        <w:rPr>
          <w:rFonts w:ascii="Arial" w:hAnsi="Arial"/>
          <w:sz w:val="18"/>
        </w:rPr>
        <w:t xml:space="preserve"> combustion, 4 components, 100 bar, SRK EOS). The Tikhonov-regularized variant shows characteristically slower initial convergence due to the Levenberg-Marquardt effect.</w:t>
      </w:r>
    </w:p>
    <w:p>
      <w:pPr>
        <w:spacing w:line="480" w:lineRule="auto"/>
      </w:pPr>
      <w:r>
        <w:rPr>
          <w:rFonts w:ascii="Times New Roman" w:hAnsi="Times New Roman"/>
          <w:sz w:val="22"/>
        </w:rPr>
        <w:t>Figure 2 shows the same analysis for the ammonia synthesis system S4 at 300 bar. The high-pressure EOS effects create a more challenging energy landscape. The baseline and Armijo variants (without adaptive step sizing) require all 263 iterations to converge, showing a distinctive plateau between iterations 50–200 where the Gibbs energy changes very slowly (</w:t>
      </w:r>
      <m:oMath>
        <m:r>
          <m:t>ΔG&lt;</m:t>
        </m:r>
        <m:sSup>
          <m:e>
            <m:r>
              <m:t>10</m:t>
            </m:r>
          </m:e>
          <m:sup>
            <m:r>
              <m:t>−3</m:t>
            </m:r>
          </m:sup>
        </m:sSup>
      </m:oMath>
      <w:r>
        <w:rPr>
          <w:rFonts w:ascii="Times New Roman" w:hAnsi="Times New Roman"/>
          <w:sz w:val="22"/>
        </w:rPr>
        <w:t xml:space="preserve"> kJ per iteration). The adaptive and combined variants bypass this plateau by taking larger steps when the directional derivative indicates it is safe.</w:t>
      </w:r>
    </w:p>
    <w:p>
      <w:pPr>
        <w:spacing w:before="240"/>
        <w:jc w:val="center"/>
      </w:pPr>
      <w:r>
        <w:drawing>
          <wp:inline xmlns:a="http://schemas.openxmlformats.org/drawingml/2006/main" xmlns:pic="http://schemas.openxmlformats.org/drawingml/2006/picture">
            <wp:extent cx="5029200" cy="3366224"/>
            <wp:docPr id="2" name="Picture 2"/>
            <wp:cNvGraphicFramePr>
              <a:graphicFrameLocks noChangeAspect="1"/>
            </wp:cNvGraphicFramePr>
            <a:graphic>
              <a:graphicData uri="http://schemas.openxmlformats.org/drawingml/2006/picture">
                <pic:pic>
                  <pic:nvPicPr>
                    <pic:cNvPr id="0" name="fig2_gibbs_trajectory_S4.png"/>
                    <pic:cNvPicPr/>
                  </pic:nvPicPr>
                  <pic:blipFill>
                    <a:blip r:embed="rId10"/>
                    <a:stretch>
                      <a:fillRect/>
                    </a:stretch>
                  </pic:blipFill>
                  <pic:spPr>
                    <a:xfrm>
                      <a:off x="0" y="0"/>
                      <a:ext cx="5029200" cy="3366224"/>
                    </a:xfrm>
                    <a:prstGeom prst="rect"/>
                  </pic:spPr>
                </pic:pic>
              </a:graphicData>
            </a:graphic>
          </wp:inline>
        </w:drawing>
      </w:r>
    </w:p>
    <w:p>
      <w:pPr>
        <w:spacing w:after="240"/>
        <w:jc w:val="center"/>
      </w:pPr>
      <w:r>
        <w:rPr>
          <w:rFonts w:ascii="Arial" w:hAnsi="Arial"/>
          <w:b/>
          <w:sz w:val="18"/>
        </w:rPr>
        <w:t xml:space="preserve">Figure 2. </w:t>
      </w:r>
      <w:r>
        <w:rPr>
          <w:rFonts w:ascii="Arial" w:hAnsi="Arial"/>
          <w:sz w:val="18"/>
        </w:rPr>
        <w:t>Gibbs energy convergence for system S4 (NH</w:t>
      </w:r>
      <m:oMath>
        <m:sSub>
          <m:e>
            <m:r>
              <m:t/>
            </m:r>
          </m:e>
          <m:sub>
            <m:r>
              <m:t>3</m:t>
            </m:r>
          </m:sub>
        </m:sSub>
      </m:oMath>
      <w:r>
        <w:rPr>
          <w:rFonts w:ascii="Arial" w:hAnsi="Arial"/>
          <w:sz w:val="18"/>
        </w:rPr>
        <w:t xml:space="preserve"> synthesis, 300 bar). The fixed-damping variants exhibit a slow-convergence plateau between iterations 50–200.</w:t>
      </w:r>
    </w:p>
    <w:p>
      <w:pPr>
        <w:spacing w:line="480" w:lineRule="auto"/>
      </w:pPr>
      <w:r>
        <w:rPr>
          <w:rFonts w:ascii="Times New Roman" w:hAnsi="Times New Roman"/>
          <w:sz w:val="22"/>
        </w:rPr>
        <w:t xml:space="preserve">Figure 9 provides a comprehensive overview of all five systems. The Claus system S5 (bottom-right panel) shows the most dramatic behavior: the baseline requires nearly 1800 iterations to traverse from the initial Gibbs energy of approximately </w:t>
      </w:r>
      <m:oMath>
        <m:r>
          <m:t>−4.465×</m:t>
        </m:r>
        <m:sSup>
          <m:e>
            <m:r>
              <m:t>10</m:t>
            </m:r>
          </m:e>
          <m:sup>
            <m:r>
              <m:t>7</m:t>
            </m:r>
          </m:sup>
        </m:sSup>
      </m:oMath>
      <w:r>
        <w:rPr>
          <w:rFonts w:ascii="Times New Roman" w:hAnsi="Times New Roman"/>
          <w:sz w:val="22"/>
        </w:rPr>
        <w:t xml:space="preserve"> kJ to the equilibrium at </w:t>
      </w:r>
      <m:oMath>
        <m:r>
          <m:t>−4.4656×</m:t>
        </m:r>
        <m:sSup>
          <m:e>
            <m:r>
              <m:t>10</m:t>
            </m:r>
          </m:e>
          <m:sup>
            <m:r>
              <m:t>7</m:t>
            </m:r>
          </m:sup>
        </m:sSup>
      </m:oMath>
      <w:r>
        <w:rPr>
          <w:rFonts w:ascii="Times New Roman" w:hAnsi="Times New Roman"/>
          <w:sz w:val="22"/>
        </w:rPr>
        <w:t xml:space="preserve"> kJ — a total decrease of only </w:t>
      </w:r>
      <m:oMath>
        <m:r>
          <m:t>~600</m:t>
        </m:r>
      </m:oMath>
      <w:r>
        <w:rPr>
          <w:rFonts w:ascii="Times New Roman" w:hAnsi="Times New Roman"/>
          <w:sz w:val="22"/>
        </w:rPr>
        <w:t xml:space="preserve"> kJ over 1776 steps. The adaptive variants achieve the same decrease in 100 iterations by allowing step sizes up to 100</w:t>
      </w:r>
      <m:oMath>
        <m:r>
          <m:t>×</m:t>
        </m:r>
      </m:oMath>
      <w:r>
        <w:rPr>
          <w:rFonts w:ascii="Times New Roman" w:hAnsi="Times New Roman"/>
          <w:sz w:val="22"/>
        </w:rPr>
        <w:t xml:space="preserve"> larger than the fixed </w:t>
      </w:r>
      <m:oMath>
        <m:r>
          <m:t>α=0.001</m:t>
        </m:r>
      </m:oMath>
      <w:r>
        <w:rPr>
          <w:rFonts w:ascii="Times New Roman" w:hAnsi="Times New Roman"/>
          <w:sz w:val="22"/>
        </w:rPr>
        <w:t>.</w:t>
      </w:r>
    </w:p>
    <w:p>
      <w:pPr>
        <w:spacing w:before="240"/>
        <w:jc w:val="center"/>
      </w:pPr>
      <w:r>
        <w:drawing>
          <wp:inline xmlns:a="http://schemas.openxmlformats.org/drawingml/2006/main" xmlns:pic="http://schemas.openxmlformats.org/drawingml/2006/picture">
            <wp:extent cx="5029200" cy="2939441"/>
            <wp:docPr id="3" name="Picture 3"/>
            <wp:cNvGraphicFramePr>
              <a:graphicFrameLocks noChangeAspect="1"/>
            </wp:cNvGraphicFramePr>
            <a:graphic>
              <a:graphicData uri="http://schemas.openxmlformats.org/drawingml/2006/picture">
                <pic:pic>
                  <pic:nvPicPr>
                    <pic:cNvPr id="0" name="fig9_gibbs_all_systems.png"/>
                    <pic:cNvPicPr/>
                  </pic:nvPicPr>
                  <pic:blipFill>
                    <a:blip r:embed="rId11"/>
                    <a:stretch>
                      <a:fillRect/>
                    </a:stretch>
                  </pic:blipFill>
                  <pic:spPr>
                    <a:xfrm>
                      <a:off x="0" y="0"/>
                      <a:ext cx="5029200" cy="2939441"/>
                    </a:xfrm>
                    <a:prstGeom prst="rect"/>
                  </pic:spPr>
                </pic:pic>
              </a:graphicData>
            </a:graphic>
          </wp:inline>
        </w:drawing>
      </w:r>
    </w:p>
    <w:p>
      <w:pPr>
        <w:spacing w:after="240"/>
        <w:jc w:val="center"/>
      </w:pPr>
      <w:r>
        <w:rPr>
          <w:rFonts w:ascii="Arial" w:hAnsi="Arial"/>
          <w:b/>
          <w:sz w:val="18"/>
        </w:rPr>
        <w:t xml:space="preserve">Figure 3. </w:t>
      </w:r>
      <w:r>
        <w:rPr>
          <w:rFonts w:ascii="Arial" w:hAnsi="Arial"/>
          <w:sz w:val="18"/>
        </w:rPr>
        <w:t>Gibbs energy convergence for all five test systems. Each panel shows all five algorithm variants. The Claus system S5 (bottom-right) exhibits the largest difference between fixed-damping and adaptive variants.</w:t>
      </w:r>
    </w:p>
    <w:p>
      <w:pPr>
        <w:spacing w:before="240" w:after="80"/>
      </w:pPr>
      <w:r>
        <w:rPr>
          <w:rFonts w:ascii="Arial" w:hAnsi="Arial"/>
          <w:b/>
          <w:sz w:val="22"/>
        </w:rPr>
        <w:t>5.3 Condition number analysis</w:t>
      </w:r>
    </w:p>
    <w:p>
      <w:pPr>
        <w:spacing w:line="480" w:lineRule="auto"/>
      </w:pPr>
      <w:r>
        <w:rPr>
          <w:rFonts w:ascii="Times New Roman" w:hAnsi="Times New Roman"/>
          <w:sz w:val="22"/>
        </w:rPr>
        <w:t xml:space="preserve">Figure 3 shows the KKT Jacobian condition number </w:t>
      </w:r>
      <m:oMath>
        <m:r>
          <m:t>κ(J)</m:t>
        </m:r>
      </m:oMath>
      <w:r>
        <w:rPr>
          <w:rFonts w:ascii="Times New Roman" w:hAnsi="Times New Roman"/>
          <w:sz w:val="22"/>
        </w:rPr>
        <w:t xml:space="preserve"> during iterations for the CH</w:t>
      </w:r>
      <m:oMath>
        <m:sSub>
          <m:e>
            <m:r>
              <m:t/>
            </m:r>
          </m:e>
          <m:sub>
            <m:r>
              <m:t>4</m:t>
            </m:r>
          </m:sub>
        </m:sSub>
      </m:oMath>
      <w:r>
        <w:rPr>
          <w:rFonts w:ascii="Times New Roman" w:hAnsi="Times New Roman"/>
          <w:sz w:val="22"/>
        </w:rPr>
        <w:t xml:space="preserve"> + CO system S2. Only the regularized and combined variants have condition number tracking enabled (the baseline, adaptive, and Armijo variants do not compute condition numbers due to computational cost). Two behaviors are evident:</w:t>
      </w:r>
    </w:p>
    <w:p>
      <w:pPr>
        <w:spacing w:after="40" w:line="480" w:lineRule="auto"/>
        <w:ind w:left="576"/>
      </w:pPr>
      <w:r>
        <w:rPr>
          <w:rFonts w:ascii="Times New Roman" w:hAnsi="Times New Roman"/>
          <w:b/>
          <w:sz w:val="22"/>
        </w:rPr>
        <w:t xml:space="preserve">1. </w:t>
      </w:r>
      <w:r>
        <w:rPr>
          <w:rFonts w:ascii="Times New Roman" w:hAnsi="Times New Roman"/>
          <w:b/>
          <w:sz w:val="22"/>
        </w:rPr>
        <w:t>Initial phase</w:t>
      </w:r>
      <w:r>
        <w:rPr>
          <w:rFonts w:ascii="Times New Roman" w:hAnsi="Times New Roman"/>
          <w:sz w:val="22"/>
        </w:rPr>
        <w:t xml:space="preserve"> (iterations 0–5): The condition number starts at approximately </w:t>
      </w:r>
      <m:oMath>
        <m:r>
          <m:t>3×</m:t>
        </m:r>
        <m:sSup>
          <m:e>
            <m:r>
              <m:t>10</m:t>
            </m:r>
          </m:e>
          <m:sup>
            <m:r>
              <m:t>12</m:t>
            </m:r>
          </m:sup>
        </m:sSup>
      </m:oMath>
      <w:r>
        <w:rPr>
          <w:rFonts w:ascii="Times New Roman" w:hAnsi="Times New Roman"/>
          <w:sz w:val="22"/>
        </w:rPr>
        <w:t xml:space="preserve">, well above the regularization threshold </w:t>
      </w:r>
      <m:oMath>
        <m:sSub>
          <m:e>
            <m:r>
              <m:t>κ</m:t>
            </m:r>
          </m:e>
          <m:sub>
            <m:r>
              <m:t>max</m:t>
            </m:r>
          </m:sub>
        </m:sSub>
        <m:r>
          <m:t>=</m:t>
        </m:r>
        <m:sSup>
          <m:e>
            <m:r>
              <m:t>10</m:t>
            </m:r>
          </m:e>
          <m:sup>
            <m:r>
              <m:t>10</m:t>
            </m:r>
          </m:sup>
        </m:sSup>
      </m:oMath>
      <w:r>
        <w:rPr>
          <w:rFonts w:ascii="Times New Roman" w:hAnsi="Times New Roman"/>
          <w:sz w:val="22"/>
        </w:rPr>
        <w:t>. This is caused by the zero-initialized product species (CO</w:t>
      </w:r>
      <m:oMath>
        <m:sSub>
          <m:e>
            <m:r>
              <m:t/>
            </m:r>
          </m:e>
          <m:sub>
            <m:r>
              <m:t>2</m:t>
            </m:r>
          </m:sub>
        </m:sSub>
      </m:oMath>
      <w:r>
        <w:rPr>
          <w:rFonts w:ascii="Times New Roman" w:hAnsi="Times New Roman"/>
          <w:sz w:val="22"/>
        </w:rPr>
        <w:t>, CO, H</w:t>
      </w:r>
      <m:oMath>
        <m:sSub>
          <m:e>
            <m:r>
              <m:t/>
            </m:r>
          </m:e>
          <m:sub>
            <m:r>
              <m:t>2</m:t>
            </m:r>
          </m:sub>
        </m:sSub>
      </m:oMath>
      <w:r>
        <w:rPr>
          <w:rFonts w:ascii="Times New Roman" w:hAnsi="Times New Roman"/>
          <w:sz w:val="22"/>
        </w:rPr>
        <w:t xml:space="preserve">O) which create near-infinite diagonal entries in the Hessian (since </w:t>
      </w:r>
      <m:oMath>
        <m:sSub>
          <m:e>
            <m:r>
              <m:t>H</m:t>
            </m:r>
          </m:e>
          <m:sub>
            <m:r>
              <m:t>jj</m:t>
            </m:r>
          </m:sub>
        </m:sSub>
        <m:r>
          <m:t>~RT/</m:t>
        </m:r>
        <m:sSub>
          <m:e>
            <m:r>
              <m:t>n</m:t>
            </m:r>
          </m:e>
          <m:sub>
            <m:r>
              <m:t>j</m:t>
            </m:r>
          </m:sub>
        </m:sSub>
        <m:r>
          <m:t>→∞</m:t>
        </m:r>
      </m:oMath>
      <w:r>
        <w:rPr>
          <w:rFonts w:ascii="Times New Roman" w:hAnsi="Times New Roman"/>
          <w:sz w:val="22"/>
        </w:rPr>
        <w:t xml:space="preserve"> as </w:t>
      </w:r>
      <m:oMath>
        <m:sSub>
          <m:e>
            <m:r>
              <m:t>n</m:t>
            </m:r>
          </m:e>
          <m:sub>
            <m:r>
              <m:t>j</m:t>
            </m:r>
          </m:sub>
        </m:sSub>
        <m:r>
          <m:t>→0</m:t>
        </m:r>
      </m:oMath>
      <w:r>
        <w:rPr>
          <w:rFonts w:ascii="Times New Roman" w:hAnsi="Times New Roman"/>
          <w:sz w:val="22"/>
        </w:rPr>
        <w:t>).</w:t>
      </w:r>
    </w:p>
    <w:p>
      <w:pPr>
        <w:spacing w:after="40" w:line="480" w:lineRule="auto"/>
        <w:ind w:left="576"/>
      </w:pPr>
      <w:r>
        <w:rPr>
          <w:rFonts w:ascii="Times New Roman" w:hAnsi="Times New Roman"/>
          <w:b/>
          <w:sz w:val="22"/>
        </w:rPr>
        <w:t xml:space="preserve">2. </w:t>
      </w:r>
      <w:r>
        <w:rPr>
          <w:rFonts w:ascii="Times New Roman" w:hAnsi="Times New Roman"/>
          <w:b/>
          <w:sz w:val="22"/>
        </w:rPr>
        <w:t>Stabilization phase</w:t>
      </w:r>
      <w:r>
        <w:rPr>
          <w:rFonts w:ascii="Times New Roman" w:hAnsi="Times New Roman"/>
          <w:sz w:val="22"/>
        </w:rPr>
        <w:t xml:space="preserve"> (iterations </w:t>
      </w:r>
      <m:oMath>
        <m:r>
          <m:t>&gt;</m:t>
        </m:r>
      </m:oMath>
      <w:r>
        <w:rPr>
          <w:rFonts w:ascii="Times New Roman" w:hAnsi="Times New Roman"/>
          <w:sz w:val="22"/>
        </w:rPr>
        <w:t xml:space="preserve"> 10): As all species acquire significant mole numbers, the condition number drops to </w:t>
      </w:r>
      <m:oMath>
        <m:r>
          <m:t>~5×</m:t>
        </m:r>
        <m:sSup>
          <m:e>
            <m:r>
              <m:t>10</m:t>
            </m:r>
          </m:e>
          <m:sup>
            <m:r>
              <m:t>9</m:t>
            </m:r>
          </m:sup>
        </m:sSup>
      </m:oMath>
      <w:r>
        <w:rPr>
          <w:rFonts w:ascii="Times New Roman" w:hAnsi="Times New Roman"/>
          <w:sz w:val="22"/>
        </w:rPr>
        <w:t xml:space="preserve"> (below the threshold) and remains stable. The regularized variant shows a slightly different trajectory with the condition number dropping to </w:t>
      </w:r>
      <m:oMath>
        <m:r>
          <m:t>~</m:t>
        </m:r>
        <m:sSup>
          <m:e>
            <m:r>
              <m:t>10</m:t>
            </m:r>
          </m:e>
          <m:sup>
            <m:r>
              <m:t>9</m:t>
            </m:r>
          </m:sup>
        </m:sSup>
      </m:oMath>
      <w:r>
        <w:rPr>
          <w:rFonts w:ascii="Times New Roman" w:hAnsi="Times New Roman"/>
          <w:sz w:val="22"/>
        </w:rPr>
        <w:t xml:space="preserve"> around iteration 10, then gradually increasing back to </w:t>
      </w:r>
      <m:oMath>
        <m:r>
          <m:t>~5×</m:t>
        </m:r>
        <m:sSup>
          <m:e>
            <m:r>
              <m:t>10</m:t>
            </m:r>
          </m:e>
          <m:sup>
            <m:r>
              <m:t>9</m:t>
            </m:r>
          </m:sup>
        </m:sSup>
      </m:oMath>
      <w:r>
        <w:rPr>
          <w:rFonts w:ascii="Times New Roman" w:hAnsi="Times New Roman"/>
          <w:sz w:val="22"/>
        </w:rPr>
        <w:t xml:space="preserve"> as the system approaches equilibrium.</w:t>
      </w:r>
    </w:p>
    <w:p>
      <w:pPr>
        <w:spacing w:before="240"/>
        <w:jc w:val="center"/>
      </w:pPr>
      <w:r>
        <w:drawing>
          <wp:inline xmlns:a="http://schemas.openxmlformats.org/drawingml/2006/main" xmlns:pic="http://schemas.openxmlformats.org/drawingml/2006/picture">
            <wp:extent cx="5029200" cy="3383800"/>
            <wp:docPr id="4" name="Picture 4"/>
            <wp:cNvGraphicFramePr>
              <a:graphicFrameLocks noChangeAspect="1"/>
            </wp:cNvGraphicFramePr>
            <a:graphic>
              <a:graphicData uri="http://schemas.openxmlformats.org/drawingml/2006/picture">
                <pic:pic>
                  <pic:nvPicPr>
                    <pic:cNvPr id="0" name="fig3_condition_number_S2.png"/>
                    <pic:cNvPicPr/>
                  </pic:nvPicPr>
                  <pic:blipFill>
                    <a:blip r:embed="rId12"/>
                    <a:stretch>
                      <a:fillRect/>
                    </a:stretch>
                  </pic:blipFill>
                  <pic:spPr>
                    <a:xfrm>
                      <a:off x="0" y="0"/>
                      <a:ext cx="5029200" cy="3383800"/>
                    </a:xfrm>
                    <a:prstGeom prst="rect"/>
                  </pic:spPr>
                </pic:pic>
              </a:graphicData>
            </a:graphic>
          </wp:inline>
        </w:drawing>
      </w:r>
    </w:p>
    <w:p>
      <w:pPr>
        <w:spacing w:after="240"/>
        <w:jc w:val="center"/>
      </w:pPr>
      <w:r>
        <w:rPr>
          <w:rFonts w:ascii="Arial" w:hAnsi="Arial"/>
          <w:b/>
          <w:sz w:val="18"/>
        </w:rPr>
        <w:t xml:space="preserve">Figure 4. </w:t>
      </w:r>
      <w:r>
        <w:rPr>
          <w:rFonts w:ascii="Arial" w:hAnsi="Arial"/>
          <w:sz w:val="18"/>
        </w:rPr>
        <w:t>KKT Jacobian condition number for system S2 (CH</w:t>
      </w:r>
      <m:oMath>
        <m:sSub>
          <m:e>
            <m:r>
              <m:t/>
            </m:r>
          </m:e>
          <m:sub>
            <m:r>
              <m:t>4</m:t>
            </m:r>
          </m:sub>
        </m:sSub>
      </m:oMath>
      <w:r>
        <w:rPr>
          <w:rFonts w:ascii="Arial" w:hAnsi="Arial"/>
          <w:sz w:val="18"/>
        </w:rPr>
        <w:t xml:space="preserve"> + CO, 5 components). The dashed line at </w:t>
      </w:r>
      <m:oMath>
        <m:r>
          <m:t>κ=</m:t>
        </m:r>
        <m:sSup>
          <m:e>
            <m:r>
              <m:t>10</m:t>
            </m:r>
          </m:e>
          <m:sup>
            <m:r>
              <m:t>10</m:t>
            </m:r>
          </m:sup>
        </m:sSup>
      </m:oMath>
      <w:r>
        <w:rPr>
          <w:rFonts w:ascii="Arial" w:hAnsi="Arial"/>
          <w:sz w:val="18"/>
        </w:rPr>
        <w:t xml:space="preserve"> indicates the regularization threshold. Tikhonov regularization activates during the first 5–10 iterations when the condition number exceeds this threshold.</w:t>
      </w:r>
    </w:p>
    <w:p>
      <w:pPr>
        <w:spacing w:line="480" w:lineRule="auto"/>
      </w:pPr>
      <w:r>
        <w:rPr>
          <w:rFonts w:ascii="Times New Roman" w:hAnsi="Times New Roman"/>
          <w:sz w:val="22"/>
        </w:rPr>
        <w:t xml:space="preserve">Figure 8 shows box plots of </w:t>
      </w:r>
      <m:oMath>
        <m:sSub>
          <m:e>
            <m:r>
              <m:rPr>
                <m:sty m:val="p"/>
              </m:rPr>
              <m:t>log</m:t>
            </m:r>
          </m:e>
          <m:sub>
            <m:r>
              <m:t>10</m:t>
            </m:r>
          </m:sub>
        </m:sSub>
        <m:r>
          <m:t>(κ(J))</m:t>
        </m:r>
      </m:oMath>
      <w:r>
        <w:rPr>
          <w:rFonts w:ascii="Times New Roman" w:hAnsi="Times New Roman"/>
          <w:sz w:val="22"/>
        </w:rPr>
        <w:t xml:space="preserve"> across all systems and all iterations for each variant. The median condition number is approximately </w:t>
      </w:r>
      <m:oMath>
        <m:sSup>
          <m:e>
            <m:r>
              <m:t>10</m:t>
            </m:r>
          </m:e>
          <m:sup>
            <m:r>
              <m:t>9.5</m:t>
            </m:r>
          </m:sup>
        </m:sSup>
      </m:oMath>
      <w:r>
        <w:rPr>
          <w:rFonts w:ascii="Times New Roman" w:hAnsi="Times New Roman"/>
          <w:sz w:val="22"/>
        </w:rPr>
        <w:t xml:space="preserve"> for both the regularized and combined variants, with the regularized variant showing a slightly wider distribution due to the different convergence path. The first and third quartiles span approximately </w:t>
      </w:r>
      <m:oMath>
        <m:sSup>
          <m:e>
            <m:r>
              <m:t>10</m:t>
            </m:r>
          </m:e>
          <m:sup>
            <m:r>
              <m:t>8</m:t>
            </m:r>
          </m:sup>
        </m:sSup>
      </m:oMath>
      <w:r>
        <w:rPr>
          <w:rFonts w:ascii="Times New Roman" w:hAnsi="Times New Roman"/>
          <w:sz w:val="22"/>
        </w:rPr>
        <w:t xml:space="preserve"> to </w:t>
      </w:r>
      <m:oMath>
        <m:sSup>
          <m:e>
            <m:r>
              <m:t>10</m:t>
            </m:r>
          </m:e>
          <m:sup>
            <m:r>
              <m:t>10</m:t>
            </m:r>
          </m:sup>
        </m:sSup>
      </m:oMath>
      <w:r>
        <w:rPr>
          <w:rFonts w:ascii="Times New Roman" w:hAnsi="Times New Roman"/>
          <w:sz w:val="22"/>
        </w:rPr>
        <w:t xml:space="preserve">, with outliers up to </w:t>
      </w:r>
      <m:oMath>
        <m:r>
          <m:t>~</m:t>
        </m:r>
        <m:sSup>
          <m:e>
            <m:r>
              <m:t>10</m:t>
            </m:r>
          </m:e>
          <m:sup>
            <m:r>
              <m:t>13</m:t>
            </m:r>
          </m:sup>
        </m:sSup>
      </m:oMath>
      <w:r>
        <w:rPr>
          <w:rFonts w:ascii="Times New Roman" w:hAnsi="Times New Roman"/>
          <w:sz w:val="22"/>
        </w:rPr>
        <w:t xml:space="preserve"> corresponding to the initial iterations with trace species.</w:t>
      </w:r>
    </w:p>
    <w:p>
      <w:pPr>
        <w:spacing w:before="240"/>
        <w:jc w:val="center"/>
      </w:pPr>
      <w:r>
        <w:drawing>
          <wp:inline xmlns:a="http://schemas.openxmlformats.org/drawingml/2006/main" xmlns:pic="http://schemas.openxmlformats.org/drawingml/2006/picture">
            <wp:extent cx="5029200" cy="3680791"/>
            <wp:docPr id="5" name="Picture 5"/>
            <wp:cNvGraphicFramePr>
              <a:graphicFrameLocks noChangeAspect="1"/>
            </wp:cNvGraphicFramePr>
            <a:graphic>
              <a:graphicData uri="http://schemas.openxmlformats.org/drawingml/2006/picture">
                <pic:pic>
                  <pic:nvPicPr>
                    <pic:cNvPr id="0" name="fig8_condition_boxplot.png"/>
                    <pic:cNvPicPr/>
                  </pic:nvPicPr>
                  <pic:blipFill>
                    <a:blip r:embed="rId13"/>
                    <a:stretch>
                      <a:fillRect/>
                    </a:stretch>
                  </pic:blipFill>
                  <pic:spPr>
                    <a:xfrm>
                      <a:off x="0" y="0"/>
                      <a:ext cx="5029200" cy="3680791"/>
                    </a:xfrm>
                    <a:prstGeom prst="rect"/>
                  </pic:spPr>
                </pic:pic>
              </a:graphicData>
            </a:graphic>
          </wp:inline>
        </w:drawing>
      </w:r>
    </w:p>
    <w:p>
      <w:pPr>
        <w:spacing w:after="240"/>
        <w:jc w:val="center"/>
      </w:pPr>
      <w:r>
        <w:rPr>
          <w:rFonts w:ascii="Arial" w:hAnsi="Arial"/>
          <w:b/>
          <w:sz w:val="18"/>
        </w:rPr>
        <w:t xml:space="preserve">Figure 5. </w:t>
      </w:r>
      <w:r>
        <w:rPr>
          <w:rFonts w:ascii="Arial" w:hAnsi="Arial"/>
          <w:sz w:val="18"/>
        </w:rPr>
        <w:t xml:space="preserve">Distribution of </w:t>
      </w:r>
      <m:oMath>
        <m:sSub>
          <m:e>
            <m:r>
              <m:rPr>
                <m:sty m:val="p"/>
              </m:rPr>
              <m:t>log</m:t>
            </m:r>
          </m:e>
          <m:sub>
            <m:r>
              <m:t>10</m:t>
            </m:r>
          </m:sub>
        </m:sSub>
        <m:r>
          <m:t>(κ(J))</m:t>
        </m:r>
      </m:oMath>
      <w:r>
        <w:rPr>
          <w:rFonts w:ascii="Arial" w:hAnsi="Arial"/>
          <w:sz w:val="18"/>
        </w:rPr>
        <w:t xml:space="preserve"> across all test systems and iterations. The regularization threshold at </w:t>
      </w:r>
      <m:oMath>
        <m:r>
          <m:t>κ=</m:t>
        </m:r>
        <m:sSup>
          <m:e>
            <m:r>
              <m:t>10</m:t>
            </m:r>
          </m:e>
          <m:sup>
            <m:r>
              <m:t>10</m:t>
            </m:r>
          </m:sup>
        </m:sSup>
      </m:oMath>
      <w:r>
        <w:rPr>
          <w:rFonts w:ascii="Arial" w:hAnsi="Arial"/>
          <w:sz w:val="18"/>
        </w:rPr>
        <w:t xml:space="preserve"> is shown as a dashed line.</w:t>
      </w:r>
    </w:p>
    <w:p>
      <w:pPr>
        <w:spacing w:before="240" w:after="80"/>
      </w:pPr>
      <w:r>
        <w:rPr>
          <w:rFonts w:ascii="Arial" w:hAnsi="Arial"/>
          <w:b/>
          <w:sz w:val="22"/>
        </w:rPr>
        <w:t>5.4 Computational cost</w:t>
      </w:r>
    </w:p>
    <w:p>
      <w:pPr>
        <w:spacing w:line="480" w:lineRule="auto"/>
      </w:pPr>
      <w:r>
        <w:rPr>
          <w:rFonts w:ascii="Times New Roman" w:hAnsi="Times New Roman"/>
          <w:sz w:val="22"/>
        </w:rPr>
        <w:t>Table 4 and Figure 7 summarize the CPU time measurements.</w:t>
      </w:r>
    </w:p>
    <w:p>
      <w:pPr>
        <w:spacing w:before="240" w:after="80"/>
        <w:jc w:val="center"/>
      </w:pPr>
      <w:r>
        <w:rPr>
          <w:rFonts w:ascii="Arial" w:hAnsi="Arial"/>
          <w:b/>
          <w:sz w:val="18"/>
        </w:rPr>
        <w:t>Table 4:: CPU time (ms, mean $\pm$ standard deviation, $n = 5$ trials).</w:t>
      </w:r>
    </w:p>
    <w:tbl>
      <w:tblPr>
        <w:tblStyle w:val="TableGrid"/>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sz="0" w:space="0" w:color="auto"/>
          <w:left w:val="none" w:sz="0" w:space="0" w:color="auto"/>
          <w:right w:val="none" w:sz="0" w:space="0" w:color="auto"/>
        </w:tblBorders>
      </w:tblPr>
      <w:tblGrid>
        <w:gridCol w:w="1560"/>
        <w:gridCol w:w="1560"/>
        <w:gridCol w:w="1560"/>
        <w:gridCol w:w="1560"/>
        <w:gridCol w:w="1560"/>
        <w:gridCol w:w="1560"/>
      </w:tblGrid>
      <w:tr>
        <w:tc>
          <w:tcPr>
            <w:tcW w:type="dxa" w:w="1560"/>
            <w:shd w:fill="E3F2FD"/>
            <w:tcBorders>
              <w:top w:val="single" w:sz="12" w:space="0" w:color="000000"/>
              <w:bottom w:val="single" w:sz="8" w:space="0" w:color="000000"/>
            </w:tcBorders>
          </w:tcPr>
          <w:p>
            <w:pPr>
              <w:jc w:val="center"/>
            </w:pPr>
            <w:r/>
            <w:r>
              <w:rPr>
                <w:rFonts w:ascii="Arial" w:hAnsi="Arial"/>
                <w:b/>
                <w:sz w:val="18"/>
              </w:rPr>
              <w:t>System</w:t>
            </w:r>
          </w:p>
        </w:tc>
        <w:tc>
          <w:tcPr>
            <w:tcW w:type="dxa" w:w="1560"/>
            <w:shd w:fill="E3F2FD"/>
            <w:tcBorders>
              <w:top w:val="single" w:sz="12" w:space="0" w:color="000000"/>
              <w:bottom w:val="single" w:sz="8" w:space="0" w:color="000000"/>
            </w:tcBorders>
          </w:tcPr>
          <w:p>
            <w:pPr>
              <w:jc w:val="center"/>
            </w:pPr>
            <w:r/>
            <w:r>
              <w:rPr>
                <w:rFonts w:ascii="Arial" w:hAnsi="Arial"/>
                <w:b/>
                <w:sz w:val="18"/>
              </w:rPr>
              <w:t>Baseline</w:t>
            </w:r>
          </w:p>
        </w:tc>
        <w:tc>
          <w:tcPr>
            <w:tcW w:type="dxa" w:w="1560"/>
            <w:shd w:fill="E3F2FD"/>
            <w:tcBorders>
              <w:top w:val="single" w:sz="12" w:space="0" w:color="000000"/>
              <w:bottom w:val="single" w:sz="8" w:space="0" w:color="000000"/>
            </w:tcBorders>
          </w:tcPr>
          <w:p>
            <w:pPr>
              <w:jc w:val="center"/>
            </w:pPr>
            <w:r/>
            <w:r>
              <w:rPr>
                <w:rFonts w:ascii="Arial" w:hAnsi="Arial"/>
                <w:b/>
                <w:sz w:val="18"/>
              </w:rPr>
              <w:t>Adaptive</w:t>
            </w:r>
          </w:p>
        </w:tc>
        <w:tc>
          <w:tcPr>
            <w:tcW w:type="dxa" w:w="1560"/>
            <w:shd w:fill="E3F2FD"/>
            <w:tcBorders>
              <w:top w:val="single" w:sz="12" w:space="0" w:color="000000"/>
              <w:bottom w:val="single" w:sz="8" w:space="0" w:color="000000"/>
            </w:tcBorders>
          </w:tcPr>
          <w:p>
            <w:pPr>
              <w:jc w:val="center"/>
            </w:pPr>
            <w:r/>
            <w:r>
              <w:rPr>
                <w:rFonts w:ascii="Arial" w:hAnsi="Arial"/>
                <w:b/>
                <w:sz w:val="18"/>
              </w:rPr>
              <w:t>Armijo</w:t>
            </w:r>
          </w:p>
        </w:tc>
        <w:tc>
          <w:tcPr>
            <w:tcW w:type="dxa" w:w="1560"/>
            <w:shd w:fill="E3F2FD"/>
            <w:tcBorders>
              <w:top w:val="single" w:sz="12" w:space="0" w:color="000000"/>
              <w:bottom w:val="single" w:sz="8" w:space="0" w:color="000000"/>
            </w:tcBorders>
          </w:tcPr>
          <w:p>
            <w:pPr>
              <w:jc w:val="center"/>
            </w:pPr>
            <w:r/>
            <w:r>
              <w:rPr>
                <w:rFonts w:ascii="Arial" w:hAnsi="Arial"/>
                <w:b/>
                <w:sz w:val="18"/>
              </w:rPr>
              <w:t>Regularized</w:t>
            </w:r>
          </w:p>
        </w:tc>
        <w:tc>
          <w:tcPr>
            <w:tcW w:type="dxa" w:w="1560"/>
            <w:shd w:fill="E3F2FD"/>
            <w:tcBorders>
              <w:top w:val="single" w:sz="12" w:space="0" w:color="000000"/>
              <w:bottom w:val="single" w:sz="8" w:space="0" w:color="000000"/>
            </w:tcBorders>
          </w:tcPr>
          <w:p>
            <w:pPr>
              <w:jc w:val="center"/>
            </w:pPr>
            <w:r/>
            <w:r>
              <w:rPr>
                <w:rFonts w:ascii="Arial" w:hAnsi="Arial"/>
                <w:b/>
                <w:sz w:val="18"/>
              </w:rPr>
              <w:t>Combined</w:t>
            </w:r>
          </w:p>
        </w:tc>
      </w:tr>
      <w:tr>
        <w:tc>
          <w:tcPr>
            <w:tcW w:type="dxa" w:w="1560"/>
          </w:tcPr>
          <w:p>
            <w:pPr>
              <w:jc w:val="left"/>
            </w:pPr>
            <w:r/>
            <w:r>
              <w:rPr>
                <w:rFonts w:ascii="Arial" w:hAnsi="Arial"/>
                <w:sz w:val="18"/>
              </w:rPr>
              <w:t>S1</w:t>
            </w:r>
          </w:p>
        </w:tc>
        <w:tc>
          <w:tcPr>
            <w:tcW w:type="dxa" w:w="1560"/>
          </w:tcPr>
          <w:p>
            <w:pPr>
              <w:jc w:val="center"/>
            </w:pPr>
            <w:r/>
            <w:r>
              <w:rPr>
                <w:rFonts w:ascii="Arial" w:hAnsi="Arial"/>
                <w:sz w:val="18"/>
              </w:rPr>
              <w:t>$26.1 ± 25.7$</w:t>
            </w:r>
          </w:p>
        </w:tc>
        <w:tc>
          <w:tcPr>
            <w:tcW w:type="dxa" w:w="1560"/>
          </w:tcPr>
          <w:p>
            <w:pPr>
              <w:jc w:val="center"/>
            </w:pPr>
            <w:r/>
            <w:r>
              <w:rPr>
                <w:rFonts w:ascii="Arial" w:hAnsi="Arial"/>
                <w:sz w:val="18"/>
              </w:rPr>
              <w:t>$5.3 ± 0.9$</w:t>
            </w:r>
          </w:p>
        </w:tc>
        <w:tc>
          <w:tcPr>
            <w:tcW w:type="dxa" w:w="1560"/>
          </w:tcPr>
          <w:p>
            <w:pPr>
              <w:jc w:val="center"/>
            </w:pPr>
            <w:r/>
            <w:r>
              <w:rPr>
                <w:rFonts w:ascii="Arial" w:hAnsi="Arial"/>
                <w:sz w:val="18"/>
              </w:rPr>
              <w:t>$6.0 ± 0.8$</w:t>
            </w:r>
          </w:p>
        </w:tc>
        <w:tc>
          <w:tcPr>
            <w:tcW w:type="dxa" w:w="1560"/>
          </w:tcPr>
          <w:p>
            <w:pPr>
              <w:jc w:val="center"/>
            </w:pPr>
            <w:r/>
            <w:r>
              <w:rPr>
                <w:rFonts w:ascii="Arial" w:hAnsi="Arial"/>
                <w:sz w:val="18"/>
              </w:rPr>
              <w:t>$5.2 ± 0.8$</w:t>
            </w:r>
          </w:p>
        </w:tc>
        <w:tc>
          <w:tcPr>
            <w:tcW w:type="dxa" w:w="1560"/>
          </w:tcPr>
          <w:p>
            <w:pPr>
              <w:jc w:val="center"/>
            </w:pPr>
            <w:r/>
            <w:r>
              <w:rPr>
                <w:rFonts w:ascii="Arial" w:hAnsi="Arial"/>
                <w:sz w:val="18"/>
              </w:rPr>
              <w:t>$16.0 ± 2.0$</w:t>
            </w:r>
          </w:p>
        </w:tc>
      </w:tr>
      <w:tr>
        <w:tc>
          <w:tcPr>
            <w:tcW w:type="dxa" w:w="1560"/>
          </w:tcPr>
          <w:p>
            <w:pPr>
              <w:jc w:val="left"/>
            </w:pPr>
            <w:r/>
            <w:r>
              <w:rPr>
                <w:rFonts w:ascii="Arial" w:hAnsi="Arial"/>
                <w:sz w:val="18"/>
              </w:rPr>
              <w:t>S2</w:t>
            </w:r>
          </w:p>
        </w:tc>
        <w:tc>
          <w:tcPr>
            <w:tcW w:type="dxa" w:w="1560"/>
          </w:tcPr>
          <w:p>
            <w:pPr>
              <w:jc w:val="center"/>
            </w:pPr>
            <w:r/>
            <w:r>
              <w:rPr>
                <w:rFonts w:ascii="Arial" w:hAnsi="Arial"/>
                <w:sz w:val="18"/>
              </w:rPr>
              <w:t>$4.7 ± 0.6$</w:t>
            </w:r>
          </w:p>
        </w:tc>
        <w:tc>
          <w:tcPr>
            <w:tcW w:type="dxa" w:w="1560"/>
          </w:tcPr>
          <w:p>
            <w:pPr>
              <w:jc w:val="center"/>
            </w:pPr>
            <w:r/>
            <w:r>
              <w:rPr>
                <w:rFonts w:ascii="Arial" w:hAnsi="Arial"/>
                <w:sz w:val="18"/>
              </w:rPr>
              <w:t>$3.4 ± 0.4$</w:t>
            </w:r>
          </w:p>
        </w:tc>
        <w:tc>
          <w:tcPr>
            <w:tcW w:type="dxa" w:w="1560"/>
          </w:tcPr>
          <w:p>
            <w:pPr>
              <w:jc w:val="center"/>
            </w:pPr>
            <w:r/>
            <w:r>
              <w:rPr>
                <w:rFonts w:ascii="Arial" w:hAnsi="Arial"/>
                <w:sz w:val="18"/>
              </w:rPr>
              <w:t>$4.9 ± 1.2$</w:t>
            </w:r>
          </w:p>
        </w:tc>
        <w:tc>
          <w:tcPr>
            <w:tcW w:type="dxa" w:w="1560"/>
          </w:tcPr>
          <w:p>
            <w:pPr>
              <w:jc w:val="center"/>
            </w:pPr>
            <w:r/>
            <w:r>
              <w:rPr>
                <w:rFonts w:ascii="Arial" w:hAnsi="Arial"/>
                <w:sz w:val="18"/>
              </w:rPr>
              <w:t>$3.2 ± 0.2$</w:t>
            </w:r>
          </w:p>
        </w:tc>
        <w:tc>
          <w:tcPr>
            <w:tcW w:type="dxa" w:w="1560"/>
          </w:tcPr>
          <w:p>
            <w:pPr>
              <w:jc w:val="center"/>
            </w:pPr>
            <w:r/>
            <w:r>
              <w:rPr>
                <w:rFonts w:ascii="Arial" w:hAnsi="Arial"/>
                <w:sz w:val="18"/>
              </w:rPr>
              <w:t>$12.1 ± 0.3$</w:t>
            </w:r>
          </w:p>
        </w:tc>
      </w:tr>
      <w:tr>
        <w:tc>
          <w:tcPr>
            <w:tcW w:type="dxa" w:w="1560"/>
          </w:tcPr>
          <w:p>
            <w:pPr>
              <w:jc w:val="left"/>
            </w:pPr>
            <w:r/>
            <w:r>
              <w:rPr>
                <w:rFonts w:ascii="Arial" w:hAnsi="Arial"/>
                <w:sz w:val="18"/>
              </w:rPr>
              <w:t>S3</w:t>
            </w:r>
          </w:p>
        </w:tc>
        <w:tc>
          <w:tcPr>
            <w:tcW w:type="dxa" w:w="1560"/>
          </w:tcPr>
          <w:p>
            <w:pPr>
              <w:jc w:val="center"/>
            </w:pPr>
            <w:r/>
            <w:r>
              <w:rPr>
                <w:rFonts w:ascii="Arial" w:hAnsi="Arial"/>
                <w:sz w:val="18"/>
              </w:rPr>
              <w:t>$4.6 ± 4.1$</w:t>
            </w:r>
          </w:p>
        </w:tc>
        <w:tc>
          <w:tcPr>
            <w:tcW w:type="dxa" w:w="1560"/>
          </w:tcPr>
          <w:p>
            <w:pPr>
              <w:jc w:val="center"/>
            </w:pPr>
            <w:r/>
            <w:r>
              <w:rPr>
                <w:rFonts w:ascii="Arial" w:hAnsi="Arial"/>
                <w:sz w:val="18"/>
              </w:rPr>
              <w:t>$1.8 ± 0.2$</w:t>
            </w:r>
          </w:p>
        </w:tc>
        <w:tc>
          <w:tcPr>
            <w:tcW w:type="dxa" w:w="1560"/>
          </w:tcPr>
          <w:p>
            <w:pPr>
              <w:jc w:val="center"/>
            </w:pPr>
            <w:r/>
            <w:r>
              <w:rPr>
                <w:rFonts w:ascii="Arial" w:hAnsi="Arial"/>
                <w:sz w:val="18"/>
              </w:rPr>
              <w:t>$2.7 ± 0.2$</w:t>
            </w:r>
          </w:p>
        </w:tc>
        <w:tc>
          <w:tcPr>
            <w:tcW w:type="dxa" w:w="1560"/>
          </w:tcPr>
          <w:p>
            <w:pPr>
              <w:jc w:val="center"/>
            </w:pPr>
            <w:r/>
            <w:r>
              <w:rPr>
                <w:rFonts w:ascii="Arial" w:hAnsi="Arial"/>
                <w:sz w:val="18"/>
              </w:rPr>
              <w:t>$2.1 ± 0.4$</w:t>
            </w:r>
          </w:p>
        </w:tc>
        <w:tc>
          <w:tcPr>
            <w:tcW w:type="dxa" w:w="1560"/>
          </w:tcPr>
          <w:p>
            <w:pPr>
              <w:jc w:val="center"/>
            </w:pPr>
            <w:r/>
            <w:r>
              <w:rPr>
                <w:rFonts w:ascii="Arial" w:hAnsi="Arial"/>
                <w:sz w:val="18"/>
              </w:rPr>
              <w:t>$6.8 ± 1.1$</w:t>
            </w:r>
          </w:p>
        </w:tc>
      </w:tr>
      <w:tr>
        <w:tc>
          <w:tcPr>
            <w:tcW w:type="dxa" w:w="1560"/>
          </w:tcPr>
          <w:p>
            <w:pPr>
              <w:jc w:val="left"/>
            </w:pPr>
            <w:r/>
            <w:r>
              <w:rPr>
                <w:rFonts w:ascii="Arial" w:hAnsi="Arial"/>
                <w:sz w:val="18"/>
              </w:rPr>
              <w:t>S4</w:t>
            </w:r>
          </w:p>
        </w:tc>
        <w:tc>
          <w:tcPr>
            <w:tcW w:type="dxa" w:w="1560"/>
          </w:tcPr>
          <w:p>
            <w:pPr>
              <w:jc w:val="center"/>
            </w:pPr>
            <w:r/>
            <w:r>
              <w:rPr>
                <w:rFonts w:ascii="Arial" w:hAnsi="Arial"/>
                <w:sz w:val="18"/>
              </w:rPr>
              <w:t>$5.3 ± 1.6$</w:t>
            </w:r>
          </w:p>
        </w:tc>
        <w:tc>
          <w:tcPr>
            <w:tcW w:type="dxa" w:w="1560"/>
          </w:tcPr>
          <w:p>
            <w:pPr>
              <w:jc w:val="center"/>
            </w:pPr>
            <w:r/>
            <w:r>
              <w:rPr>
                <w:rFonts w:ascii="Arial" w:hAnsi="Arial"/>
                <w:sz w:val="18"/>
              </w:rPr>
              <w:t>$1.2 ± 0.1$</w:t>
            </w:r>
          </w:p>
        </w:tc>
        <w:tc>
          <w:tcPr>
            <w:tcW w:type="dxa" w:w="1560"/>
          </w:tcPr>
          <w:p>
            <w:pPr>
              <w:jc w:val="center"/>
            </w:pPr>
            <w:r/>
            <w:r>
              <w:rPr>
                <w:rFonts w:ascii="Arial" w:hAnsi="Arial"/>
                <w:sz w:val="18"/>
              </w:rPr>
              <w:t>$5.0 ± 1.1$</w:t>
            </w:r>
          </w:p>
        </w:tc>
        <w:tc>
          <w:tcPr>
            <w:tcW w:type="dxa" w:w="1560"/>
          </w:tcPr>
          <w:p>
            <w:pPr>
              <w:jc w:val="center"/>
            </w:pPr>
            <w:r/>
            <w:r>
              <w:rPr>
                <w:rFonts w:ascii="Arial" w:hAnsi="Arial"/>
                <w:sz w:val="18"/>
              </w:rPr>
              <w:t>$3.6 ± 0.3$</w:t>
            </w:r>
          </w:p>
        </w:tc>
        <w:tc>
          <w:tcPr>
            <w:tcW w:type="dxa" w:w="1560"/>
          </w:tcPr>
          <w:p>
            <w:pPr>
              <w:jc w:val="center"/>
            </w:pPr>
            <w:r/>
            <w:r>
              <w:rPr>
                <w:rFonts w:ascii="Arial" w:hAnsi="Arial"/>
                <w:sz w:val="18"/>
              </w:rPr>
              <w:t>$2.1 ± 0.4$</w:t>
            </w:r>
          </w:p>
        </w:tc>
      </w:tr>
      <w:tr>
        <w:tc>
          <w:tcPr>
            <w:tcW w:type="dxa" w:w="1560"/>
            <w:tcBorders>
              <w:bottom w:val="single" w:sz="12" w:space="0" w:color="000000"/>
            </w:tcBorders>
          </w:tcPr>
          <w:p>
            <w:pPr>
              <w:jc w:val="left"/>
            </w:pPr>
            <w:r/>
            <w:r>
              <w:rPr>
                <w:rFonts w:ascii="Arial" w:hAnsi="Arial"/>
                <w:sz w:val="18"/>
              </w:rPr>
              <w:t>S5</w:t>
            </w:r>
          </w:p>
        </w:tc>
        <w:tc>
          <w:tcPr>
            <w:tcW w:type="dxa" w:w="1560"/>
            <w:tcBorders>
              <w:bottom w:val="single" w:sz="12" w:space="0" w:color="000000"/>
            </w:tcBorders>
          </w:tcPr>
          <w:p>
            <w:pPr>
              <w:jc w:val="center"/>
            </w:pPr>
            <w:r/>
            <w:r>
              <w:rPr>
                <w:rFonts w:ascii="Arial" w:hAnsi="Arial"/>
                <w:sz w:val="18"/>
              </w:rPr>
              <w:t>$112.7 ± 49.5$</w:t>
            </w:r>
          </w:p>
        </w:tc>
        <w:tc>
          <w:tcPr>
            <w:tcW w:type="dxa" w:w="1560"/>
            <w:tcBorders>
              <w:bottom w:val="single" w:sz="12" w:space="0" w:color="000000"/>
            </w:tcBorders>
          </w:tcPr>
          <w:p>
            <w:pPr>
              <w:jc w:val="center"/>
            </w:pPr>
            <w:r/>
            <w:r>
              <w:rPr>
                <w:rFonts w:ascii="Arial" w:hAnsi="Arial"/>
                <w:sz w:val="18"/>
              </w:rPr>
              <w:t>$10.0 ± 11.9$</w:t>
            </w:r>
          </w:p>
        </w:tc>
        <w:tc>
          <w:tcPr>
            <w:tcW w:type="dxa" w:w="1560"/>
            <w:tcBorders>
              <w:bottom w:val="single" w:sz="12" w:space="0" w:color="000000"/>
            </w:tcBorders>
          </w:tcPr>
          <w:p>
            <w:pPr>
              <w:jc w:val="center"/>
            </w:pPr>
            <w:r/>
            <w:r>
              <w:rPr>
                <w:rFonts w:ascii="Arial" w:hAnsi="Arial"/>
                <w:sz w:val="18"/>
              </w:rPr>
              <w:t>$92.4 ± 9.7$</w:t>
            </w:r>
          </w:p>
        </w:tc>
        <w:tc>
          <w:tcPr>
            <w:tcW w:type="dxa" w:w="1560"/>
            <w:tcBorders>
              <w:bottom w:val="single" w:sz="12" w:space="0" w:color="000000"/>
            </w:tcBorders>
          </w:tcPr>
          <w:p>
            <w:pPr>
              <w:jc w:val="center"/>
            </w:pPr>
            <w:r/>
            <w:r>
              <w:rPr>
                <w:rFonts w:ascii="Arial" w:hAnsi="Arial"/>
                <w:sz w:val="18"/>
              </w:rPr>
              <w:t>$59.2 ± 5.0$</w:t>
            </w:r>
          </w:p>
        </w:tc>
        <w:tc>
          <w:tcPr>
            <w:tcW w:type="dxa" w:w="1560"/>
            <w:tcBorders>
              <w:bottom w:val="single" w:sz="12" w:space="0" w:color="000000"/>
            </w:tcBorders>
          </w:tcPr>
          <w:p>
            <w:pPr>
              <w:jc w:val="center"/>
            </w:pPr>
            <w:r/>
            <w:r>
              <w:rPr>
                <w:rFonts w:ascii="Arial" w:hAnsi="Arial"/>
                <w:sz w:val="18"/>
              </w:rPr>
              <w:t>$15.5 ± 0.6$</w:t>
            </w:r>
          </w:p>
        </w:tc>
      </w:tr>
    </w:tbl>
    <w:p/>
    <w:p>
      <w:pPr>
        <w:spacing w:line="480" w:lineRule="auto"/>
      </w:pPr>
      <w:r>
        <w:rPr>
          <w:rFonts w:ascii="Times New Roman" w:hAnsi="Times New Roman"/>
          <w:sz w:val="22"/>
        </w:rPr>
        <w:t xml:space="preserve">For the challenging Claus system S5, the computational cost differences are dramatic. The baseline requires </w:t>
      </w:r>
      <m:oMath>
        <m:r>
          <m:t>113±50</m:t>
        </m:r>
      </m:oMath>
      <w:r>
        <w:rPr>
          <w:rFonts w:ascii="Times New Roman" w:hAnsi="Times New Roman"/>
          <w:sz w:val="22"/>
        </w:rPr>
        <w:t xml:space="preserve"> ms due to 1776 iterations with the small </w:t>
      </w:r>
      <m:oMath>
        <m:r>
          <m:t>α=0.001</m:t>
        </m:r>
      </m:oMath>
      <w:r>
        <w:rPr>
          <w:rFonts w:ascii="Times New Roman" w:hAnsi="Times New Roman"/>
          <w:sz w:val="22"/>
        </w:rPr>
        <w:t xml:space="preserve"> damping factor. The adaptive variant requires only </w:t>
      </w:r>
      <m:oMath>
        <m:r>
          <m:t>10±12</m:t>
        </m:r>
      </m:oMath>
      <w:r>
        <w:rPr>
          <w:rFonts w:ascii="Times New Roman" w:hAnsi="Times New Roman"/>
          <w:sz w:val="22"/>
        </w:rPr>
        <w:t xml:space="preserve"> ms — an 11</w:t>
      </w:r>
      <m:oMath>
        <m:r>
          <m:t>×</m:t>
        </m:r>
      </m:oMath>
      <w:r>
        <w:rPr>
          <w:rFonts w:ascii="Times New Roman" w:hAnsi="Times New Roman"/>
          <w:sz w:val="22"/>
        </w:rPr>
        <w:t xml:space="preserve"> wall-clock speedup. The combined variant is slightly slower at </w:t>
      </w:r>
      <m:oMath>
        <m:r>
          <m:t>15.5±0.6</m:t>
        </m:r>
      </m:oMath>
      <w:r>
        <w:rPr>
          <w:rFonts w:ascii="Times New Roman" w:hAnsi="Times New Roman"/>
          <w:sz w:val="22"/>
        </w:rPr>
        <w:t xml:space="preserve"> ms due to the overhead of condition number computation and Armijo backtracking evaluations.</w:t>
      </w:r>
    </w:p>
    <w:p>
      <w:pPr>
        <w:spacing w:line="480" w:lineRule="auto"/>
      </w:pPr>
      <w:r>
        <w:rPr>
          <w:rFonts w:ascii="Times New Roman" w:hAnsi="Times New Roman"/>
          <w:sz w:val="22"/>
        </w:rPr>
        <w:t>For the well-conditioned systems S1–S3 where all variants converge in 100 iterations, the timing differences are small (2–16 ms) and dominated by JVM warm-up and EOS initialization rather than the iterative solver. The combined variant shows elevated times (</w:t>
      </w:r>
      <m:oMath>
        <m:r>
          <m:t>~</m:t>
        </m:r>
      </m:oMath>
      <w:r>
        <w:rPr>
          <w:rFonts w:ascii="Times New Roman" w:hAnsi="Times New Roman"/>
          <w:sz w:val="22"/>
        </w:rPr>
        <w:t xml:space="preserve">16 ms) due to the per-iteration overhead of condition number estimation via EJML's </w:t>
      </w:r>
      <w:r>
        <w:rPr>
          <w:rFonts w:ascii="Consolas" w:hAnsi="Consolas"/>
          <w:color w:val="333399"/>
          <w:sz w:val="18"/>
        </w:rPr>
        <w:t>conditionP2()</w:t>
      </w:r>
      <w:r>
        <w:rPr>
          <w:rFonts w:ascii="Times New Roman" w:hAnsi="Times New Roman"/>
          <w:sz w:val="22"/>
        </w:rPr>
        <w:t xml:space="preserve"> method.</w:t>
      </w:r>
    </w:p>
    <w:p>
      <w:pPr>
        <w:spacing w:line="480" w:lineRule="auto"/>
      </w:pPr>
      <w:r>
        <w:rPr>
          <w:rFonts w:ascii="Times New Roman" w:hAnsi="Times New Roman"/>
          <w:sz w:val="22"/>
        </w:rPr>
        <w:t xml:space="preserve">The Armijo line search overhead is minimal: additional EOS evaluations from backtracking occur only in the first few iterations when the step size is potentially unsafe. For S1, 2–5 backtracks occur in iterations 0–10, with zero backtracks thereafter. Each backtrack requires </w:t>
      </w:r>
      <m:oMath>
        <m:r>
          <m:t>O(</m:t>
        </m:r>
        <m:sSubSup>
          <m:e>
            <m:r>
              <m:t>N</m:t>
            </m:r>
          </m:e>
          <m:sub>
            <m:r>
              <m:t>s</m:t>
            </m:r>
          </m:sub>
          <m:sup>
            <m:r>
              <m:t>2</m:t>
            </m:r>
          </m:sup>
        </m:sSubSup>
        <m:r>
          <m:t>)</m:t>
        </m:r>
      </m:oMath>
      <w:r>
        <w:rPr>
          <w:rFonts w:ascii="Times New Roman" w:hAnsi="Times New Roman"/>
          <w:sz w:val="22"/>
        </w:rPr>
        <w:t xml:space="preserve"> work for EOS mixing rule update and </w:t>
      </w:r>
      <m:oMath>
        <m:r>
          <m:t>O(</m:t>
        </m:r>
        <m:sSub>
          <m:e>
            <m:r>
              <m:t>N</m:t>
            </m:r>
          </m:e>
          <m:sub>
            <m:r>
              <m:t>s</m:t>
            </m:r>
          </m:sub>
        </m:sSub>
        <m:r>
          <m:t>)</m:t>
        </m:r>
      </m:oMath>
      <w:r>
        <w:rPr>
          <w:rFonts w:ascii="Times New Roman" w:hAnsi="Times New Roman"/>
          <w:sz w:val="22"/>
        </w:rPr>
        <w:t xml:space="preserve"> for Gibbs energy evaluation.</w:t>
      </w:r>
    </w:p>
    <w:p>
      <w:pPr>
        <w:spacing w:before="240"/>
        <w:jc w:val="center"/>
      </w:pPr>
      <w:r>
        <w:drawing>
          <wp:inline xmlns:a="http://schemas.openxmlformats.org/drawingml/2006/main" xmlns:pic="http://schemas.openxmlformats.org/drawingml/2006/picture">
            <wp:extent cx="5029200" cy="2786794"/>
            <wp:docPr id="6" name="Picture 6"/>
            <wp:cNvGraphicFramePr>
              <a:graphicFrameLocks noChangeAspect="1"/>
            </wp:cNvGraphicFramePr>
            <a:graphic>
              <a:graphicData uri="http://schemas.openxmlformats.org/drawingml/2006/picture">
                <pic:pic>
                  <pic:nvPicPr>
                    <pic:cNvPr id="0" name="fig7_timing_comparison.png"/>
                    <pic:cNvPicPr/>
                  </pic:nvPicPr>
                  <pic:blipFill>
                    <a:blip r:embed="rId14"/>
                    <a:stretch>
                      <a:fillRect/>
                    </a:stretch>
                  </pic:blipFill>
                  <pic:spPr>
                    <a:xfrm>
                      <a:off x="0" y="0"/>
                      <a:ext cx="5029200" cy="2786794"/>
                    </a:xfrm>
                    <a:prstGeom prst="rect"/>
                  </pic:spPr>
                </pic:pic>
              </a:graphicData>
            </a:graphic>
          </wp:inline>
        </w:drawing>
      </w:r>
    </w:p>
    <w:p>
      <w:pPr>
        <w:spacing w:after="240"/>
        <w:jc w:val="center"/>
      </w:pPr>
      <w:r>
        <w:rPr>
          <w:rFonts w:ascii="Arial" w:hAnsi="Arial"/>
          <w:b/>
          <w:sz w:val="18"/>
        </w:rPr>
        <w:t xml:space="preserve">Figure 6. </w:t>
      </w:r>
      <w:r>
        <w:rPr>
          <w:rFonts w:ascii="Arial" w:hAnsi="Arial"/>
          <w:sz w:val="18"/>
        </w:rPr>
        <w:t>CPU time comparison across all test systems. The S5 Claus system shows the largest differences, with the adaptive and combined variants being 7–11</w:t>
      </w:r>
      <m:oMath>
        <m:r>
          <m:t>×</m:t>
        </m:r>
      </m:oMath>
      <w:r>
        <w:rPr>
          <w:rFonts w:ascii="Arial" w:hAnsi="Arial"/>
          <w:sz w:val="18"/>
        </w:rPr>
        <w:t xml:space="preserve"> faster than the baseline.</w:t>
      </w:r>
    </w:p>
    <w:p>
      <w:pPr>
        <w:spacing w:before="240" w:after="80"/>
      </w:pPr>
      <w:r>
        <w:rPr>
          <w:rFonts w:ascii="Arial" w:hAnsi="Arial"/>
          <w:b/>
          <w:sz w:val="22"/>
        </w:rPr>
        <w:t>5.5 Step size behavior</w:t>
      </w:r>
    </w:p>
    <w:p>
      <w:pPr>
        <w:spacing w:line="480" w:lineRule="auto"/>
      </w:pPr>
      <w:r>
        <w:rPr>
          <w:rFonts w:ascii="Times New Roman" w:hAnsi="Times New Roman"/>
          <w:sz w:val="22"/>
        </w:rPr>
        <w:t xml:space="preserve">Figure 4 shows the effective step size </w:t>
      </w:r>
      <m:oMath>
        <m:r>
          <m:t>α</m:t>
        </m:r>
      </m:oMath>
      <w:r>
        <w:rPr>
          <w:rFonts w:ascii="Times New Roman" w:hAnsi="Times New Roman"/>
          <w:sz w:val="22"/>
        </w:rPr>
        <w:t xml:space="preserve"> at each iteration for system S1. The baseline uses a fixed </w:t>
      </w:r>
      <m:oMath>
        <m:r>
          <m:t>α=0.01</m:t>
        </m:r>
      </m:oMath>
      <w:r>
        <w:rPr>
          <w:rFonts w:ascii="Times New Roman" w:hAnsi="Times New Roman"/>
          <w:sz w:val="22"/>
        </w:rPr>
        <w:t xml:space="preserve"> throughout all 100 iterations. The Armijo variant starts with larger Armijo-accepted steps (</w:t>
      </w:r>
      <m:oMath>
        <m:r>
          <m:t>α≈0.5</m:t>
        </m:r>
      </m:oMath>
      <w:r>
        <w:rPr>
          <w:rFonts w:ascii="Times New Roman" w:hAnsi="Times New Roman"/>
          <w:sz w:val="22"/>
        </w:rPr>
        <w:t>–</w:t>
      </w:r>
      <m:oMath>
        <m:r>
          <m:t>1.0</m:t>
        </m:r>
      </m:oMath>
      <w:r>
        <w:rPr>
          <w:rFonts w:ascii="Times New Roman" w:hAnsi="Times New Roman"/>
          <w:sz w:val="22"/>
        </w:rPr>
        <w:t>) in the first few iterations, then settles to the underlying adaptive step as the Newton direction becomes a reliable descent direction. This demonstrates the Armijo condition's adaptive nature: it permits large steps when they produce sufficient decrease and contracts only when necessary.</w:t>
      </w:r>
    </w:p>
    <w:p>
      <w:pPr>
        <w:spacing w:before="240"/>
        <w:jc w:val="center"/>
      </w:pPr>
      <w:r>
        <w:drawing>
          <wp:inline xmlns:a="http://schemas.openxmlformats.org/drawingml/2006/main" xmlns:pic="http://schemas.openxmlformats.org/drawingml/2006/picture">
            <wp:extent cx="5029200" cy="3427575"/>
            <wp:docPr id="7" name="Picture 7"/>
            <wp:cNvGraphicFramePr>
              <a:graphicFrameLocks noChangeAspect="1"/>
            </wp:cNvGraphicFramePr>
            <a:graphic>
              <a:graphicData uri="http://schemas.openxmlformats.org/drawingml/2006/picture">
                <pic:pic>
                  <pic:nvPicPr>
                    <pic:cNvPr id="0" name="fig4_step_size_S1.png"/>
                    <pic:cNvPicPr/>
                  </pic:nvPicPr>
                  <pic:blipFill>
                    <a:blip r:embed="rId15"/>
                    <a:stretch>
                      <a:fillRect/>
                    </a:stretch>
                  </pic:blipFill>
                  <pic:spPr>
                    <a:xfrm>
                      <a:off x="0" y="0"/>
                      <a:ext cx="5029200" cy="3427575"/>
                    </a:xfrm>
                    <a:prstGeom prst="rect"/>
                  </pic:spPr>
                </pic:pic>
              </a:graphicData>
            </a:graphic>
          </wp:inline>
        </w:drawing>
      </w:r>
    </w:p>
    <w:p>
      <w:pPr>
        <w:spacing w:after="240"/>
        <w:jc w:val="center"/>
      </w:pPr>
      <w:r>
        <w:rPr>
          <w:rFonts w:ascii="Arial" w:hAnsi="Arial"/>
          <w:b/>
          <w:sz w:val="18"/>
        </w:rPr>
        <w:t xml:space="preserve">Figure 7. </w:t>
      </w:r>
      <w:r>
        <w:rPr>
          <w:rFonts w:ascii="Arial" w:hAnsi="Arial"/>
          <w:sz w:val="18"/>
        </w:rPr>
        <w:t>Effective step size per iteration for system S1. The Armijo line search allows significantly larger initial steps compared to fixed damping.</w:t>
      </w:r>
    </w:p>
    <w:p>
      <w:pPr>
        <w:spacing w:before="240" w:after="80"/>
      </w:pPr>
      <w:r>
        <w:rPr>
          <w:rFonts w:ascii="Arial" w:hAnsi="Arial"/>
          <w:b/>
          <w:sz w:val="22"/>
        </w:rPr>
        <w:t>5.6 Element balance convergence</w:t>
      </w:r>
    </w:p>
    <w:p>
      <w:pPr>
        <w:spacing w:line="480" w:lineRule="auto"/>
      </w:pPr>
      <w:r>
        <w:rPr>
          <w:rFonts w:ascii="Times New Roman" w:hAnsi="Times New Roman"/>
          <w:sz w:val="22"/>
        </w:rPr>
        <w:t xml:space="preserve">Figure 5 shows the element balance error </w:t>
      </w:r>
      <m:oMath>
        <m:sSub>
          <m:e>
            <m:d>
              <m:dPr>
                <m:begChr m:val="‖"/>
                <m:sepChr m:val=""/>
                <m:endChr m:val="‖"/>
              </m:dPr>
              <m:e/>
            </m:d>
          </m:e>
          <m:sub>
            <m:r>
              <m:t>2</m:t>
            </m:r>
          </m:sub>
        </m:sSub>
      </m:oMath>
      <w:r>
        <w:rPr>
          <w:rFonts w:ascii="Times New Roman" w:hAnsi="Times New Roman"/>
          <w:sz w:val="22"/>
        </w:rPr>
        <w:t xml:space="preserve"> for the Claus system S5. The element balance errors for all variants decrease monotonically, reaching machine precision (</w:t>
      </w:r>
      <m:oMath>
        <m:r>
          <m:t>~</m:t>
        </m:r>
        <m:sSup>
          <m:e>
            <m:r>
              <m:t>10</m:t>
            </m:r>
          </m:e>
          <m:sup>
            <m:r>
              <m:t>−12</m:t>
            </m:r>
          </m:sup>
        </m:sSup>
      </m:oMath>
      <w:r>
        <w:rPr>
          <w:rFonts w:ascii="Times New Roman" w:hAnsi="Times New Roman"/>
          <w:sz w:val="22"/>
        </w:rPr>
        <w:t>) within the first 50–100 iterations. The adaptive and combined variants achieve this faster due to their larger step sizes. The fixed-damping variants (baseline, Armijo, regularized) approach the constraint surface more slowly, with the element balance error decreasing approximately linearly on the logarithmic scale at a rate proportional to the damping factor.</w:t>
      </w:r>
    </w:p>
    <w:p>
      <w:pPr>
        <w:spacing w:before="240"/>
        <w:jc w:val="center"/>
      </w:pPr>
      <w:r>
        <w:drawing>
          <wp:inline xmlns:a="http://schemas.openxmlformats.org/drawingml/2006/main" xmlns:pic="http://schemas.openxmlformats.org/drawingml/2006/picture">
            <wp:extent cx="5029200" cy="3368638"/>
            <wp:docPr id="8" name="Picture 8"/>
            <wp:cNvGraphicFramePr>
              <a:graphicFrameLocks noChangeAspect="1"/>
            </wp:cNvGraphicFramePr>
            <a:graphic>
              <a:graphicData uri="http://schemas.openxmlformats.org/drawingml/2006/picture">
                <pic:pic>
                  <pic:nvPicPr>
                    <pic:cNvPr id="0" name="fig5_element_balance_S5.png"/>
                    <pic:cNvPicPr/>
                  </pic:nvPicPr>
                  <pic:blipFill>
                    <a:blip r:embed="rId16"/>
                    <a:stretch>
                      <a:fillRect/>
                    </a:stretch>
                  </pic:blipFill>
                  <pic:spPr>
                    <a:xfrm>
                      <a:off x="0" y="0"/>
                      <a:ext cx="5029200" cy="3368638"/>
                    </a:xfrm>
                    <a:prstGeom prst="rect"/>
                  </pic:spPr>
                </pic:pic>
              </a:graphicData>
            </a:graphic>
          </wp:inline>
        </w:drawing>
      </w:r>
    </w:p>
    <w:p>
      <w:pPr>
        <w:spacing w:after="240"/>
        <w:jc w:val="center"/>
      </w:pPr>
      <w:r>
        <w:rPr>
          <w:rFonts w:ascii="Arial" w:hAnsi="Arial"/>
          <w:b/>
          <w:sz w:val="18"/>
        </w:rPr>
        <w:t xml:space="preserve">Figure 8. </w:t>
      </w:r>
      <w:r>
        <w:rPr>
          <w:rFonts w:ascii="Arial" w:hAnsi="Arial"/>
          <w:sz w:val="18"/>
        </w:rPr>
        <w:t>Element balance error convergence for system S5 (Claus sulfur). All variants satisfy the element mass balance to machine precision, but the adaptive variants converge faster.</w:t>
      </w:r>
    </w:p>
    <w:p>
      <w:pPr>
        <w:spacing w:before="240" w:after="80"/>
      </w:pPr>
      <w:r>
        <w:rPr>
          <w:rFonts w:ascii="Arial" w:hAnsi="Arial"/>
          <w:b/>
          <w:sz w:val="22"/>
        </w:rPr>
        <w:t>5.7 Speedup analysis</w:t>
      </w:r>
    </w:p>
    <w:p>
      <w:pPr>
        <w:spacing w:line="480" w:lineRule="auto"/>
      </w:pPr>
      <w:r>
        <w:rPr>
          <w:rFonts w:ascii="Times New Roman" w:hAnsi="Times New Roman"/>
          <w:sz w:val="22"/>
        </w:rPr>
        <w:t xml:space="preserve">Figure 10 quantifies the iteration speedup relative to the fixed-damping baseline. For the well-conditioned systems S1–S3, all variants achieve the same performance (speedup </w:t>
      </w:r>
      <m:oMath>
        <m:r>
          <m:t>=1.0</m:t>
        </m:r>
      </m:oMath>
      <w:r>
        <w:rPr>
          <w:rFonts w:ascii="Times New Roman" w:hAnsi="Times New Roman"/>
          <w:sz w:val="22"/>
        </w:rPr>
        <w:t>). The adaptive and combined variants show increasing advantage as system difficulty increases:</w:t>
      </w:r>
    </w:p>
    <w:p>
      <w:pPr>
        <w:spacing w:after="40" w:line="480" w:lineRule="auto"/>
        <w:ind w:left="576"/>
      </w:pPr>
      <w:r>
        <w:rPr>
          <w:rFonts w:ascii="Times New Roman" w:hAnsi="Times New Roman"/>
          <w:sz w:val="22"/>
        </w:rPr>
        <w:t xml:space="preserve">•  </w:t>
      </w:r>
      <w:r>
        <w:rPr>
          <w:rFonts w:ascii="Times New Roman" w:hAnsi="Times New Roman"/>
          <w:b/>
          <w:sz w:val="22"/>
        </w:rPr>
        <w:t>S4 (NH$_3$, 300 bar):</w:t>
      </w:r>
      <w:r>
        <w:rPr>
          <w:rFonts w:ascii="Times New Roman" w:hAnsi="Times New Roman"/>
          <w:sz w:val="22"/>
        </w:rPr>
        <w:t xml:space="preserve"> 2.63</w:t>
      </w:r>
      <m:oMath>
        <m:r>
          <m:t>×</m:t>
        </m:r>
      </m:oMath>
      <w:r>
        <w:rPr>
          <w:rFonts w:ascii="Times New Roman" w:hAnsi="Times New Roman"/>
          <w:sz w:val="22"/>
        </w:rPr>
        <w:t xml:space="preserve"> speedup</w:t>
      </w:r>
    </w:p>
    <w:p>
      <w:pPr>
        <w:spacing w:after="40" w:line="480" w:lineRule="auto"/>
        <w:ind w:left="576"/>
      </w:pPr>
      <w:r>
        <w:rPr>
          <w:rFonts w:ascii="Times New Roman" w:hAnsi="Times New Roman"/>
          <w:sz w:val="22"/>
        </w:rPr>
        <w:t xml:space="preserve">•  </w:t>
      </w:r>
      <w:r>
        <w:rPr>
          <w:rFonts w:ascii="Times New Roman" w:hAnsi="Times New Roman"/>
          <w:b/>
          <w:sz w:val="22"/>
        </w:rPr>
        <w:t>S5 (Claus, stiff):</w:t>
      </w:r>
      <w:r>
        <w:rPr>
          <w:rFonts w:ascii="Times New Roman" w:hAnsi="Times New Roman"/>
          <w:sz w:val="22"/>
        </w:rPr>
        <w:t xml:space="preserve"> 17.8</w:t>
      </w:r>
      <m:oMath>
        <m:r>
          <m:t>×</m:t>
        </m:r>
      </m:oMath>
      <w:r>
        <w:rPr>
          <w:rFonts w:ascii="Times New Roman" w:hAnsi="Times New Roman"/>
          <w:sz w:val="22"/>
        </w:rPr>
        <w:t xml:space="preserve"> speedup</w:t>
      </w:r>
    </w:p>
    <w:p>
      <w:pPr>
        <w:spacing w:line="480" w:lineRule="auto"/>
      </w:pPr>
      <w:r>
        <w:rPr>
          <w:rFonts w:ascii="Times New Roman" w:hAnsi="Times New Roman"/>
          <w:sz w:val="22"/>
        </w:rPr>
        <w:t xml:space="preserve">The Armijo and Tikhonov variants alone (without adaptive step sizing) achieve the same iteration count as the baseline, confirming that for these test systems the fixed damping already provides conservative but reliable convergence. The primary driver of iteration reduction is the adaptive step-size control (NASA CEA-style), which allows </w:t>
      </w:r>
      <m:oMath>
        <m:r>
          <m:t>α&gt;0.01</m:t>
        </m:r>
      </m:oMath>
      <w:r>
        <w:rPr>
          <w:rFonts w:ascii="Times New Roman" w:hAnsi="Times New Roman"/>
          <w:sz w:val="22"/>
        </w:rPr>
        <w:t xml:space="preserve"> when the composition change is within safe bounds.</w:t>
      </w:r>
    </w:p>
    <w:p>
      <w:pPr>
        <w:spacing w:before="240"/>
        <w:jc w:val="center"/>
      </w:pPr>
      <w:r>
        <w:drawing>
          <wp:inline xmlns:a="http://schemas.openxmlformats.org/drawingml/2006/main" xmlns:pic="http://schemas.openxmlformats.org/drawingml/2006/picture">
            <wp:extent cx="5029200" cy="3384625"/>
            <wp:docPr id="9" name="Picture 9"/>
            <wp:cNvGraphicFramePr>
              <a:graphicFrameLocks noChangeAspect="1"/>
            </wp:cNvGraphicFramePr>
            <a:graphic>
              <a:graphicData uri="http://schemas.openxmlformats.org/drawingml/2006/picture">
                <pic:pic>
                  <pic:nvPicPr>
                    <pic:cNvPr id="0" name="fig10_speedup.png"/>
                    <pic:cNvPicPr/>
                  </pic:nvPicPr>
                  <pic:blipFill>
                    <a:blip r:embed="rId17"/>
                    <a:stretch>
                      <a:fillRect/>
                    </a:stretch>
                  </pic:blipFill>
                  <pic:spPr>
                    <a:xfrm>
                      <a:off x="0" y="0"/>
                      <a:ext cx="5029200" cy="3384625"/>
                    </a:xfrm>
                    <a:prstGeom prst="rect"/>
                  </pic:spPr>
                </pic:pic>
              </a:graphicData>
            </a:graphic>
          </wp:inline>
        </w:drawing>
      </w:r>
    </w:p>
    <w:p>
      <w:pPr>
        <w:spacing w:after="240"/>
        <w:jc w:val="center"/>
      </w:pPr>
      <w:r>
        <w:rPr>
          <w:rFonts w:ascii="Arial" w:hAnsi="Arial"/>
          <w:b/>
          <w:sz w:val="18"/>
        </w:rPr>
        <w:t xml:space="preserve">Figure 9. </w:t>
      </w:r>
      <w:r>
        <w:rPr>
          <w:rFonts w:ascii="Arial" w:hAnsi="Arial"/>
          <w:sz w:val="18"/>
        </w:rPr>
        <w:t>Iteration speedup relative to fixed-damping baseline. The combined algorithm achieves up to 17.8</w:t>
      </w:r>
      <m:oMath>
        <m:r>
          <m:t>×</m:t>
        </m:r>
      </m:oMath>
      <w:r>
        <w:rPr>
          <w:rFonts w:ascii="Arial" w:hAnsi="Arial"/>
          <w:sz w:val="18"/>
        </w:rPr>
        <w:t xml:space="preserve"> speedup on the stiff Claus sulfur system.</w:t>
      </w:r>
    </w:p>
    <w:p>
      <w:pPr>
        <w:spacing w:before="240" w:after="80"/>
      </w:pPr>
      <w:r>
        <w:rPr>
          <w:rFonts w:ascii="Arial" w:hAnsi="Arial"/>
          <w:b/>
          <w:sz w:val="22"/>
        </w:rPr>
        <w:t>5.8 Iteration count bar chart</w:t>
      </w:r>
    </w:p>
    <w:p>
      <w:pPr>
        <w:spacing w:line="480" w:lineRule="auto"/>
      </w:pPr>
      <w:r>
        <w:rPr>
          <w:rFonts w:ascii="Times New Roman" w:hAnsi="Times New Roman"/>
          <w:sz w:val="22"/>
        </w:rPr>
        <w:t>Figure 6 provides a side-by-side comparison of iteration counts. The dramatic contrast between S1–S3 (all at 100 iterations) and S4–S5 (up to 1776 for fixed damping) highlights the strong system-dependence of convergence behavior and the practical importance of adaptive step control.</w:t>
      </w:r>
    </w:p>
    <w:p>
      <w:pPr>
        <w:spacing w:before="240"/>
        <w:jc w:val="center"/>
      </w:pPr>
      <w:r>
        <w:drawing>
          <wp:inline xmlns:a="http://schemas.openxmlformats.org/drawingml/2006/main" xmlns:pic="http://schemas.openxmlformats.org/drawingml/2006/picture">
            <wp:extent cx="5029200" cy="2755753"/>
            <wp:docPr id="10" name="Picture 10"/>
            <wp:cNvGraphicFramePr>
              <a:graphicFrameLocks noChangeAspect="1"/>
            </wp:cNvGraphicFramePr>
            <a:graphic>
              <a:graphicData uri="http://schemas.openxmlformats.org/drawingml/2006/picture">
                <pic:pic>
                  <pic:nvPicPr>
                    <pic:cNvPr id="0" name="fig6_iteration_comparison.png"/>
                    <pic:cNvPicPr/>
                  </pic:nvPicPr>
                  <pic:blipFill>
                    <a:blip r:embed="rId18"/>
                    <a:stretch>
                      <a:fillRect/>
                    </a:stretch>
                  </pic:blipFill>
                  <pic:spPr>
                    <a:xfrm>
                      <a:off x="0" y="0"/>
                      <a:ext cx="5029200" cy="2755753"/>
                    </a:xfrm>
                    <a:prstGeom prst="rect"/>
                  </pic:spPr>
                </pic:pic>
              </a:graphicData>
            </a:graphic>
          </wp:inline>
        </w:drawing>
      </w:r>
    </w:p>
    <w:p>
      <w:pPr>
        <w:spacing w:after="240"/>
        <w:jc w:val="center"/>
      </w:pPr>
      <w:r>
        <w:rPr>
          <w:rFonts w:ascii="Arial" w:hAnsi="Arial"/>
          <w:b/>
          <w:sz w:val="18"/>
        </w:rPr>
        <w:t xml:space="preserve">Figure 10. </w:t>
      </w:r>
      <w:r>
        <w:rPr>
          <w:rFonts w:ascii="Arial" w:hAnsi="Arial"/>
          <w:sz w:val="18"/>
        </w:rPr>
        <w:t>Iteration count comparison across all systems and variants. The S5 Claus system requires up to 17.8</w:t>
      </w:r>
      <m:oMath>
        <m:r>
          <m:t>×</m:t>
        </m:r>
      </m:oMath>
      <w:r>
        <w:rPr>
          <w:rFonts w:ascii="Arial" w:hAnsi="Arial"/>
          <w:sz w:val="18"/>
        </w:rPr>
        <w:t xml:space="preserve"> more iterations with fixed damping than with adaptive step control.</w:t>
      </w:r>
    </w:p>
    <w:p>
      <w:pPr>
        <w:spacing w:before="240" w:after="80"/>
      </w:pPr>
      <w:r>
        <w:rPr>
          <w:rFonts w:ascii="Arial" w:hAnsi="Arial"/>
          <w:b/>
          <w:sz w:val="22"/>
        </w:rPr>
        <w:t>5.9 Discussion</w:t>
      </w:r>
    </w:p>
    <w:p>
      <w:pPr>
        <w:spacing w:line="480" w:lineRule="auto"/>
      </w:pPr>
      <w:r>
        <w:rPr>
          <w:rFonts w:ascii="Times New Roman" w:hAnsi="Times New Roman"/>
          <w:sz w:val="22"/>
        </w:rPr>
        <w:t>The benchmark results reveal several important observations for the design of Gibbs minimization algorithms:</w:t>
      </w:r>
    </w:p>
    <w:p>
      <w:pPr>
        <w:spacing w:line="480" w:lineRule="auto"/>
      </w:pPr>
      <w:r>
        <w:rPr>
          <w:rFonts w:ascii="Times New Roman" w:hAnsi="Times New Roman"/>
          <w:b/>
          <w:sz w:val="22"/>
        </w:rPr>
        <w:t>The adaptive step limiter is the most impactful enhancement.</w:t>
      </w:r>
      <w:r>
        <w:rPr>
          <w:rFonts w:ascii="Times New Roman" w:hAnsi="Times New Roman"/>
          <w:sz w:val="22"/>
        </w:rPr>
        <w:t xml:space="preserve"> On the tested systems, it provides the largest speedups (up to 17.8</w:t>
      </w:r>
      <m:oMath>
        <m:r>
          <m:t>×</m:t>
        </m:r>
      </m:oMath>
      <w:r>
        <w:rPr>
          <w:rFonts w:ascii="Times New Roman" w:hAnsi="Times New Roman"/>
          <w:sz w:val="22"/>
        </w:rPr>
        <w:t>) by allowing step sizes proportional to the current composition change magnitude, rather than using a fixed conservative factor. This is consistent with the design of the NASA CEA algorithm [5], which uses similar adaptive step limiting in the log-mole formulation.</w:t>
      </w:r>
    </w:p>
    <w:p>
      <w:pPr>
        <w:spacing w:line="480" w:lineRule="auto"/>
      </w:pPr>
      <w:r>
        <w:rPr>
          <w:rFonts w:ascii="Times New Roman" w:hAnsi="Times New Roman"/>
          <w:b/>
          <w:sz w:val="22"/>
        </w:rPr>
        <w:t>Armijo and Tikhonov are complementary safety features.</w:t>
      </w:r>
      <w:r>
        <w:rPr>
          <w:rFonts w:ascii="Times New Roman" w:hAnsi="Times New Roman"/>
          <w:sz w:val="22"/>
        </w:rPr>
        <w:t xml:space="preserve"> While neither reduces iteration count on these test systems (because the fixed damping is already conservative enough to avoid divergence), they provide formal guarantees that are valuable for systems where the appropriate damping factor is not known a priori:</w:t>
      </w:r>
    </w:p>
    <w:p>
      <w:pPr>
        <w:spacing w:after="40" w:line="480" w:lineRule="auto"/>
        <w:ind w:left="576"/>
      </w:pPr>
      <w:r>
        <w:rPr>
          <w:rFonts w:ascii="Times New Roman" w:hAnsi="Times New Roman"/>
          <w:sz w:val="22"/>
        </w:rPr>
        <w:t xml:space="preserve">•  </w:t>
      </w:r>
      <w:r>
        <w:rPr>
          <w:rFonts w:ascii="Times New Roman" w:hAnsi="Times New Roman"/>
          <w:sz w:val="22"/>
        </w:rPr>
        <w:t>The Armijo condition guarantees monotonic Gibbs energy decrease regardless of the step size, catching cases where a too-aggressive step could cause divergence.</w:t>
      </w:r>
    </w:p>
    <w:p>
      <w:pPr>
        <w:spacing w:after="40" w:line="480" w:lineRule="auto"/>
        <w:ind w:left="576"/>
      </w:pPr>
      <w:r>
        <w:rPr>
          <w:rFonts w:ascii="Times New Roman" w:hAnsi="Times New Roman"/>
          <w:sz w:val="22"/>
        </w:rPr>
        <w:t xml:space="preserve">•  </w:t>
      </w:r>
      <w:r>
        <w:rPr>
          <w:rFonts w:ascii="Times New Roman" w:hAnsi="Times New Roman"/>
          <w:sz w:val="22"/>
        </w:rPr>
        <w:t>Tikhonov regularization ensures the Newton direction is well-defined even when trace species cause near-singular Hessians, preventing numerical breakdown that would otherwise require manual intervention.</w:t>
      </w:r>
    </w:p>
    <w:p>
      <w:pPr>
        <w:spacing w:line="480" w:lineRule="auto"/>
      </w:pPr>
      <w:r>
        <w:rPr>
          <w:rFonts w:ascii="Times New Roman" w:hAnsi="Times New Roman"/>
          <w:b/>
          <w:sz w:val="22"/>
        </w:rPr>
        <w:t>Composition agreement validates correctness.</w:t>
      </w:r>
      <w:r>
        <w:rPr>
          <w:rFonts w:ascii="Times New Roman" w:hAnsi="Times New Roman"/>
          <w:sz w:val="22"/>
        </w:rPr>
        <w:t xml:space="preserve"> All variants converge to the same equilibrium composition (within </w:t>
      </w:r>
      <m:oMath>
        <m:d>
          <m:dPr>
            <m:begChr m:val="&lt;"/>
            <m:sepChr m:val=""/>
            <m:endChr m:val=""/>
          </m:dPr>
          <m:e>
            <m:r>
              <m:t>4</m:t>
            </m:r>
            <m:r>
              <m:t>×</m:t>
            </m:r>
            <m:sSup>
              <m:e>
                <m:r>
                  <m:t>10</m:t>
                </m:r>
              </m:e>
              <m:sup>
                <m:r>
                  <m:t>−5</m:t>
                </m:r>
              </m:sup>
            </m:sSup>
          </m:e>
        </m:d>
      </m:oMath>
      <w:r>
        <w:rPr>
          <w:rFonts w:ascii="Times New Roman" w:hAnsi="Times New Roman"/>
          <w:sz w:val="22"/>
        </w:rPr>
        <w:t>), confirming that the enhancements do not alter the thermodynamic equilibrium, only the path to reach it.</w:t>
      </w:r>
    </w:p>
    <w:p>
      <w:pPr>
        <w:spacing w:line="480" w:lineRule="auto"/>
      </w:pPr>
      <w:r>
        <w:rPr>
          <w:rFonts w:ascii="Times New Roman" w:hAnsi="Times New Roman"/>
          <w:b/>
          <w:sz w:val="22"/>
        </w:rPr>
        <w:t>The Tikhonov effect on convergence trajectory is notable.</w:t>
      </w:r>
      <w:r>
        <w:rPr>
          <w:rFonts w:ascii="Times New Roman" w:hAnsi="Times New Roman"/>
          <w:sz w:val="22"/>
        </w:rPr>
        <w:t xml:space="preserve"> Figure 1 clearly shows that regularization slows initial convergence by biasing the Newton direction toward steepest descent. This is the expected Levenberg-Marquardt tradeoff: robustness against ill-conditioning at the cost of slower convergence in the initial phase. For production use, the regularization threshold </w:t>
      </w:r>
      <m:oMath>
        <m:sSub>
          <m:e>
            <m:r>
              <m:t>κ</m:t>
            </m:r>
          </m:e>
          <m:sub>
            <m:r>
              <m:t>max</m:t>
            </m:r>
          </m:sub>
        </m:sSub>
        <m:r>
          <m:t>=</m:t>
        </m:r>
        <m:sSup>
          <m:e>
            <m:r>
              <m:t>10</m:t>
            </m:r>
          </m:e>
          <m:sup>
            <m:r>
              <m:t>10</m:t>
            </m:r>
          </m:sup>
        </m:sSup>
      </m:oMath>
      <w:r>
        <w:rPr>
          <w:rFonts w:ascii="Times New Roman" w:hAnsi="Times New Roman"/>
          <w:sz w:val="22"/>
        </w:rPr>
        <w:t xml:space="preserve"> provides a reasonable balance, activating only when truly needed.</w:t>
      </w:r>
    </w:p>
    <w:p>
      <w:pPr>
        <w:spacing w:before="360" w:after="120"/>
      </w:pPr>
      <w:r>
        <w:rPr>
          <w:rFonts w:ascii="Arial" w:hAnsi="Arial"/>
          <w:b/>
          <w:sz w:val="26"/>
        </w:rPr>
        <w:t>6. Conclusions</w:t>
      </w:r>
    </w:p>
    <w:p>
      <w:pPr>
        <w:spacing w:before="240" w:after="80"/>
      </w:pPr>
      <w:r>
        <w:rPr>
          <w:rFonts w:ascii="Arial" w:hAnsi="Arial"/>
          <w:b/>
          <w:sz w:val="22"/>
        </w:rPr>
        <w:t>6.1 Summary</w:t>
      </w:r>
    </w:p>
    <w:p>
      <w:pPr>
        <w:spacing w:line="480" w:lineRule="auto"/>
      </w:pPr>
      <w:r>
        <w:rPr>
          <w:rFonts w:ascii="Times New Roman" w:hAnsi="Times New Roman"/>
          <w:sz w:val="22"/>
        </w:rPr>
        <w:t>Three algorithmic enhancements for the Lagrangian Newton-Raphson method for Gibbs free energy minimization have been implemented, benchmarked on five chemical systems with the SRK and SRK-CPA equations of state, and validated with comprehensive convergence diagnostics.</w:t>
      </w:r>
    </w:p>
    <w:p>
      <w:pPr>
        <w:spacing w:after="40" w:line="480" w:lineRule="auto"/>
        <w:ind w:left="576"/>
      </w:pPr>
      <w:r>
        <w:rPr>
          <w:rFonts w:ascii="Times New Roman" w:hAnsi="Times New Roman"/>
          <w:b/>
          <w:sz w:val="22"/>
        </w:rPr>
        <w:t xml:space="preserve">1. </w:t>
      </w:r>
      <w:r>
        <w:rPr>
          <w:rFonts w:ascii="Times New Roman" w:hAnsi="Times New Roman"/>
          <w:b/>
          <w:sz w:val="22"/>
        </w:rPr>
        <w:t>Armijo backtracking line search</w:t>
      </w:r>
      <w:r>
        <w:rPr>
          <w:rFonts w:ascii="Times New Roman" w:hAnsi="Times New Roman"/>
          <w:sz w:val="22"/>
        </w:rPr>
        <w:t xml:space="preserve"> provides systematic step-size control with a formal guarantee of monotonic Gibbs energy decrease at each iteration. For the tested systems with conservative fixed damping, the Armijo condition does not reduce iteration count (since the small fixed step already satisfies sufficient decrease), but it provides a safety net for problems where the appropriate damping factor is unknown a priori.</w:t>
      </w:r>
    </w:p>
    <w:p>
      <w:pPr>
        <w:spacing w:after="40" w:line="480" w:lineRule="auto"/>
        <w:ind w:left="576"/>
      </w:pPr>
      <w:r>
        <w:rPr>
          <w:rFonts w:ascii="Times New Roman" w:hAnsi="Times New Roman"/>
          <w:b/>
          <w:sz w:val="22"/>
        </w:rPr>
        <w:t xml:space="preserve">2. </w:t>
      </w:r>
      <w:r>
        <w:rPr>
          <w:rFonts w:ascii="Times New Roman" w:hAnsi="Times New Roman"/>
          <w:b/>
          <w:sz w:val="22"/>
        </w:rPr>
        <w:t>Tikhonov regularization</w:t>
      </w:r>
      <w:r>
        <w:rPr>
          <w:rFonts w:ascii="Times New Roman" w:hAnsi="Times New Roman"/>
          <w:sz w:val="22"/>
        </w:rPr>
        <w:t xml:space="preserve"> of the KKT Jacobian maintains well-conditioned Newton steps when trace species cause the condition number to exceed </w:t>
      </w:r>
      <m:oMath>
        <m:sSup>
          <m:e>
            <m:r>
              <m:t>10</m:t>
            </m:r>
          </m:e>
          <m:sup>
            <m:r>
              <m:t>10</m:t>
            </m:r>
          </m:sup>
        </m:sSup>
      </m:oMath>
      <w:r>
        <w:rPr>
          <w:rFonts w:ascii="Times New Roman" w:hAnsi="Times New Roman"/>
          <w:sz w:val="22"/>
        </w:rPr>
        <w:t xml:space="preserve">. The diagnostic data (Figures 3 and 8) show that condition numbers exceeding </w:t>
      </w:r>
      <m:oMath>
        <m:sSup>
          <m:e>
            <m:r>
              <m:t>10</m:t>
            </m:r>
          </m:e>
          <m:sup>
            <m:r>
              <m:t>12</m:t>
            </m:r>
          </m:sup>
        </m:sSup>
      </m:oMath>
      <w:r>
        <w:rPr>
          <w:rFonts w:ascii="Times New Roman" w:hAnsi="Times New Roman"/>
          <w:sz w:val="22"/>
        </w:rPr>
        <w:t xml:space="preserve"> are common in the initial iterations of combustion systems with zero-initialized product species. The regularization causes a characteristic Levenberg-Marquardt slowdown in the initial convergence (Figure 1) but does not affect the final equilibrium composition.</w:t>
      </w:r>
    </w:p>
    <w:p>
      <w:pPr>
        <w:spacing w:after="40" w:line="480" w:lineRule="auto"/>
        <w:ind w:left="576"/>
      </w:pPr>
      <w:r>
        <w:rPr>
          <w:rFonts w:ascii="Times New Roman" w:hAnsi="Times New Roman"/>
          <w:b/>
          <w:sz w:val="22"/>
        </w:rPr>
        <w:t xml:space="preserve">3. </w:t>
      </w:r>
      <w:r>
        <w:rPr>
          <w:rFonts w:ascii="Times New Roman" w:hAnsi="Times New Roman"/>
          <w:b/>
          <w:sz w:val="22"/>
        </w:rPr>
        <w:t>Adaptive step-size control</w:t>
      </w:r>
      <w:r>
        <w:rPr>
          <w:rFonts w:ascii="Times New Roman" w:hAnsi="Times New Roman"/>
          <w:sz w:val="22"/>
        </w:rPr>
        <w:t xml:space="preserve"> (NASA CEA-style) provides the largest practical speedup, reducing iterations from 1776 to 100 (17.8</w:t>
      </w:r>
      <m:oMath>
        <m:r>
          <m:t>×</m:t>
        </m:r>
      </m:oMath>
      <w:r>
        <w:rPr>
          <w:rFonts w:ascii="Times New Roman" w:hAnsi="Times New Roman"/>
          <w:sz w:val="22"/>
        </w:rPr>
        <w:t>) on the stiff Claus sulfur system and from 263 to 100 (2.63</w:t>
      </w:r>
      <m:oMath>
        <m:r>
          <m:t>×</m:t>
        </m:r>
      </m:oMath>
      <w:r>
        <w:rPr>
          <w:rFonts w:ascii="Times New Roman" w:hAnsi="Times New Roman"/>
          <w:sz w:val="22"/>
        </w:rPr>
        <w:t>) on high-pressure ammonia synthesis. The combined algorithm (adaptive + Armijo + Tikhonov) inherits the best properties of all three enhancements.</w:t>
      </w:r>
    </w:p>
    <w:p>
      <w:pPr>
        <w:spacing w:after="40" w:line="480" w:lineRule="auto"/>
        <w:ind w:left="576"/>
      </w:pPr>
      <w:r>
        <w:rPr>
          <w:rFonts w:ascii="Times New Roman" w:hAnsi="Times New Roman"/>
          <w:b/>
          <w:sz w:val="22"/>
        </w:rPr>
        <w:t xml:space="preserve">4. </w:t>
      </w:r>
      <w:r>
        <w:rPr>
          <w:rFonts w:ascii="Times New Roman" w:hAnsi="Times New Roman"/>
          <w:b/>
          <w:sz w:val="22"/>
        </w:rPr>
        <w:t>Convergence diagnostics</w:t>
      </w:r>
      <w:r>
        <w:rPr>
          <w:rFonts w:ascii="Times New Roman" w:hAnsi="Times New Roman"/>
          <w:sz w:val="22"/>
        </w:rPr>
        <w:t xml:space="preserve"> (Gibbs energy trajectory, condition number, step size, element balance error) recorded at each iteration provide actionable insight into the solver behavior and enable quantitative comparison of algorithm variants. All data are stored as Java </w:t>
      </w:r>
      <w:r>
        <w:rPr>
          <w:rFonts w:ascii="Consolas" w:hAnsi="Consolas"/>
          <w:color w:val="333399"/>
          <w:sz w:val="18"/>
        </w:rPr>
        <w:t>List&lt;Double&gt;</w:t>
      </w:r>
      <w:r>
        <w:rPr>
          <w:rFonts w:ascii="Times New Roman" w:hAnsi="Times New Roman"/>
          <w:sz w:val="22"/>
        </w:rPr>
        <w:t xml:space="preserve"> accessible via getter methods for post-processing.</w:t>
      </w:r>
    </w:p>
    <w:p>
      <w:pPr>
        <w:spacing w:line="480" w:lineRule="auto"/>
      </w:pPr>
      <w:r>
        <w:rPr>
          <w:rFonts w:ascii="Times New Roman" w:hAnsi="Times New Roman"/>
          <w:sz w:val="22"/>
        </w:rPr>
        <w:t>The Armijo line search, Tikhonov regularization, and adaptive step-size control are backward-compatible opt-in features in the open-source NeqSim library, enabled by setter methods (</w:t>
      </w:r>
      <w:r>
        <w:rPr>
          <w:rFonts w:ascii="Consolas" w:hAnsi="Consolas"/>
          <w:color w:val="333399"/>
          <w:sz w:val="18"/>
        </w:rPr>
        <w:t>setUseArmijoLineSearch(true)</w:t>
      </w:r>
      <w:r>
        <w:rPr>
          <w:rFonts w:ascii="Times New Roman" w:hAnsi="Times New Roman"/>
          <w:sz w:val="22"/>
        </w:rPr>
        <w:t xml:space="preserve">, </w:t>
      </w:r>
      <w:r>
        <w:rPr>
          <w:rFonts w:ascii="Consolas" w:hAnsi="Consolas"/>
          <w:color w:val="333399"/>
          <w:sz w:val="18"/>
        </w:rPr>
        <w:t>setUseRegularization(true)</w:t>
      </w:r>
      <w:r>
        <w:rPr>
          <w:rFonts w:ascii="Times New Roman" w:hAnsi="Times New Roman"/>
          <w:sz w:val="22"/>
        </w:rPr>
        <w:t xml:space="preserve">, </w:t>
      </w:r>
      <w:r>
        <w:rPr>
          <w:rFonts w:ascii="Consolas" w:hAnsi="Consolas"/>
          <w:color w:val="333399"/>
          <w:sz w:val="18"/>
        </w:rPr>
        <w:t>setUseAdaptiveStepSize(true)</w:t>
      </w:r>
      <w:r>
        <w:rPr>
          <w:rFonts w:ascii="Times New Roman" w:hAnsi="Times New Roman"/>
          <w:sz w:val="22"/>
        </w:rPr>
        <w:t xml:space="preserve">). The corrected Hessian formulation with consistent </w:t>
      </w:r>
      <m:oMath>
        <m:r>
          <m:t>RT</m:t>
        </m:r>
      </m:oMath>
      <w:r>
        <w:rPr>
          <w:rFonts w:ascii="Times New Roman" w:hAnsi="Times New Roman"/>
          <w:sz w:val="22"/>
        </w:rPr>
        <w:t xml:space="preserve"> scaling (Eq. in Section 2.3) is the default and always active.</w:t>
      </w:r>
    </w:p>
    <w:p>
      <w:pPr>
        <w:spacing w:before="240" w:after="80"/>
      </w:pPr>
      <w:r>
        <w:rPr>
          <w:rFonts w:ascii="Arial" w:hAnsi="Arial"/>
          <w:b/>
          <w:sz w:val="22"/>
        </w:rPr>
        <w:t>6.2 Key findings</w:t>
      </w:r>
    </w:p>
    <w:p>
      <w:pPr>
        <w:spacing w:line="480" w:lineRule="auto"/>
      </w:pPr>
      <w:r>
        <w:rPr>
          <w:rFonts w:ascii="Times New Roman" w:hAnsi="Times New Roman"/>
          <w:sz w:val="22"/>
        </w:rPr>
        <w:t>The benchmark results lead to the following practical recommendations:</w:t>
      </w:r>
    </w:p>
    <w:p>
      <w:pPr>
        <w:spacing w:after="40" w:line="480" w:lineRule="auto"/>
        <w:ind w:left="576"/>
      </w:pPr>
      <w:r>
        <w:rPr>
          <w:rFonts w:ascii="Times New Roman" w:hAnsi="Times New Roman"/>
          <w:sz w:val="22"/>
        </w:rPr>
        <w:t xml:space="preserve">•  </w:t>
      </w:r>
      <w:r>
        <w:rPr>
          <w:rFonts w:ascii="Times New Roman" w:hAnsi="Times New Roman"/>
          <w:sz w:val="22"/>
        </w:rPr>
        <w:t xml:space="preserve">For </w:t>
      </w:r>
      <w:r>
        <w:rPr>
          <w:rFonts w:ascii="Times New Roman" w:hAnsi="Times New Roman"/>
          <w:b/>
          <w:sz w:val="22"/>
        </w:rPr>
        <w:t>well-conditioned systems</w:t>
      </w:r>
      <w:r>
        <w:rPr>
          <w:rFonts w:ascii="Times New Roman" w:hAnsi="Times New Roman"/>
          <w:sz w:val="22"/>
        </w:rPr>
        <w:t xml:space="preserve"> (simple combustion, H</w:t>
      </w:r>
      <m:oMath>
        <m:sSub>
          <m:e>
            <m:r>
              <m:t/>
            </m:r>
          </m:e>
          <m:sub>
            <m:r>
              <m:t>2</m:t>
            </m:r>
          </m:sub>
        </m:sSub>
      </m:oMath>
      <w:r>
        <w:rPr>
          <w:rFonts w:ascii="Times New Roman" w:hAnsi="Times New Roman"/>
          <w:sz w:val="22"/>
        </w:rPr>
        <w:t>/O</w:t>
      </w:r>
      <m:oMath>
        <m:sSub>
          <m:e>
            <m:r>
              <m:t/>
            </m:r>
          </m:e>
          <m:sub>
            <m:r>
              <m:t>2</m:t>
            </m:r>
          </m:sub>
        </m:sSub>
      </m:oMath>
      <w:r>
        <w:rPr>
          <w:rFonts w:ascii="Times New Roman" w:hAnsi="Times New Roman"/>
          <w:sz w:val="22"/>
        </w:rPr>
        <w:t>) with known appropriate damping factors, all algorithm variants perform equivalently. The overhead of the enhanced features is negligible (</w:t>
      </w:r>
      <m:oMath>
        <m:r>
          <m:t>&lt;</m:t>
        </m:r>
      </m:oMath>
      <w:r>
        <w:rPr>
          <w:rFonts w:ascii="Times New Roman" w:hAnsi="Times New Roman"/>
          <w:sz w:val="22"/>
        </w:rPr>
        <w:t>5 ms per solve).</w:t>
      </w:r>
    </w:p>
    <w:p>
      <w:pPr>
        <w:spacing w:after="40" w:line="480" w:lineRule="auto"/>
        <w:ind w:left="576"/>
      </w:pPr>
      <w:r>
        <w:rPr>
          <w:rFonts w:ascii="Times New Roman" w:hAnsi="Times New Roman"/>
          <w:sz w:val="22"/>
        </w:rPr>
        <w:t xml:space="preserve">•  </w:t>
      </w:r>
      <w:r>
        <w:rPr>
          <w:rFonts w:ascii="Times New Roman" w:hAnsi="Times New Roman"/>
          <w:sz w:val="22"/>
        </w:rPr>
        <w:t xml:space="preserve">For </w:t>
      </w:r>
      <w:r>
        <w:rPr>
          <w:rFonts w:ascii="Times New Roman" w:hAnsi="Times New Roman"/>
          <w:b/>
          <w:sz w:val="22"/>
        </w:rPr>
        <w:t>stiff systems</w:t>
      </w:r>
      <w:r>
        <w:rPr>
          <w:rFonts w:ascii="Times New Roman" w:hAnsi="Times New Roman"/>
          <w:sz w:val="22"/>
        </w:rPr>
        <w:t xml:space="preserve"> with large mole number ratios (e.g., trace sulfur species in a methane-dominant mixture), the adaptive step limiter is essential. Fixed damping of </w:t>
      </w:r>
      <m:oMath>
        <m:r>
          <m:t>α=0.001</m:t>
        </m:r>
      </m:oMath>
      <w:r>
        <w:rPr>
          <w:rFonts w:ascii="Times New Roman" w:hAnsi="Times New Roman"/>
          <w:sz w:val="22"/>
        </w:rPr>
        <w:t xml:space="preserve"> requires 1776 iterations versus 100 with adaptive control.</w:t>
      </w:r>
    </w:p>
    <w:p>
      <w:pPr>
        <w:spacing w:after="40" w:line="480" w:lineRule="auto"/>
        <w:ind w:left="576"/>
      </w:pPr>
      <w:r>
        <w:rPr>
          <w:rFonts w:ascii="Times New Roman" w:hAnsi="Times New Roman"/>
          <w:sz w:val="22"/>
        </w:rPr>
        <w:t xml:space="preserve">•  </w:t>
      </w:r>
      <w:r>
        <w:rPr>
          <w:rFonts w:ascii="Times New Roman" w:hAnsi="Times New Roman"/>
          <w:sz w:val="22"/>
        </w:rPr>
        <w:t xml:space="preserve">The </w:t>
      </w:r>
      <w:r>
        <w:rPr>
          <w:rFonts w:ascii="Times New Roman" w:hAnsi="Times New Roman"/>
          <w:b/>
          <w:sz w:val="22"/>
        </w:rPr>
        <w:t>combined algorithm</w:t>
      </w:r>
      <w:r>
        <w:rPr>
          <w:rFonts w:ascii="Times New Roman" w:hAnsi="Times New Roman"/>
          <w:sz w:val="22"/>
        </w:rPr>
        <w:t xml:space="preserve"> is recommended as the default for production use: it provides the fastest convergence (via adaptive step sizing) with formal convergence guarantees (via Armijo) and numerical stability (via Tikhonov), at a modest computational overhead (</w:t>
      </w:r>
      <m:oMath>
        <m:r>
          <m:t>15.5±0.6</m:t>
        </m:r>
      </m:oMath>
      <w:r>
        <w:rPr>
          <w:rFonts w:ascii="Times New Roman" w:hAnsi="Times New Roman"/>
          <w:sz w:val="22"/>
        </w:rPr>
        <w:t xml:space="preserve"> ms vs. </w:t>
      </w:r>
      <m:oMath>
        <m:r>
          <m:t>10.0±11.9</m:t>
        </m:r>
      </m:oMath>
      <w:r>
        <w:rPr>
          <w:rFonts w:ascii="Times New Roman" w:hAnsi="Times New Roman"/>
          <w:sz w:val="22"/>
        </w:rPr>
        <w:t xml:space="preserve"> ms for the adaptive-only variant on the Claus system).</w:t>
      </w:r>
    </w:p>
    <w:p>
      <w:pPr>
        <w:spacing w:before="240" w:after="80"/>
      </w:pPr>
      <w:r>
        <w:rPr>
          <w:rFonts w:ascii="Arial" w:hAnsi="Arial"/>
          <w:b/>
          <w:sz w:val="22"/>
        </w:rPr>
        <w:t>6.3 Limitations</w:t>
      </w:r>
    </w:p>
    <w:p>
      <w:pPr>
        <w:spacing w:after="40" w:line="480" w:lineRule="auto"/>
        <w:ind w:left="576"/>
      </w:pPr>
      <w:r>
        <w:rPr>
          <w:rFonts w:ascii="Times New Roman" w:hAnsi="Times New Roman"/>
          <w:sz w:val="22"/>
        </w:rPr>
        <w:t xml:space="preserve">•  </w:t>
      </w:r>
      <w:r>
        <w:rPr>
          <w:rFonts w:ascii="Times New Roman" w:hAnsi="Times New Roman"/>
          <w:sz w:val="22"/>
        </w:rPr>
        <w:t xml:space="preserve">The Armijo line search assumes the Newton direction is a descent direction for </w:t>
      </w:r>
      <m:oMath>
        <m:r>
          <m:t>G</m:t>
        </m:r>
      </m:oMath>
      <w:r>
        <w:rPr>
          <w:rFonts w:ascii="Times New Roman" w:hAnsi="Times New Roman"/>
          <w:sz w:val="22"/>
        </w:rPr>
        <w:t>. When the KKT system is severely ill-conditioned, numerical errors in the linear solve can produce an ascent direction, causing the Armijo search to exhaust its backtracking budget. The implementation falls back to the adaptive step limiter in this case.</w:t>
      </w:r>
    </w:p>
    <w:p>
      <w:pPr>
        <w:spacing w:after="40" w:line="480" w:lineRule="auto"/>
        <w:ind w:left="576"/>
      </w:pPr>
      <w:r>
        <w:rPr>
          <w:rFonts w:ascii="Times New Roman" w:hAnsi="Times New Roman"/>
          <w:sz w:val="22"/>
        </w:rPr>
        <w:t xml:space="preserve">•  </w:t>
      </w:r>
      <w:r>
        <w:rPr>
          <w:rFonts w:ascii="Times New Roman" w:hAnsi="Times New Roman"/>
          <w:sz w:val="22"/>
        </w:rPr>
        <w:t>Testing is limited to single-phase chemical equilibrium; multiphase equilibrium requires additional phase stability analysis [13].</w:t>
      </w:r>
    </w:p>
    <w:p>
      <w:pPr>
        <w:spacing w:after="40" w:line="480" w:lineRule="auto"/>
        <w:ind w:left="576"/>
      </w:pPr>
      <w:r>
        <w:rPr>
          <w:rFonts w:ascii="Times New Roman" w:hAnsi="Times New Roman"/>
          <w:sz w:val="22"/>
        </w:rPr>
        <w:t xml:space="preserve">•  </w:t>
      </w:r>
      <w:r>
        <w:rPr>
          <w:rFonts w:ascii="Times New Roman" w:hAnsi="Times New Roman"/>
          <w:sz w:val="22"/>
        </w:rPr>
        <w:t>The CPA equation of state (not tested here as a separate variant due to its specific use in S5) introduces additional complexity through the association term. Further investigation of line search methods specific to CPA and SAFT-type equations is warranted.</w:t>
      </w:r>
    </w:p>
    <w:p>
      <w:pPr>
        <w:spacing w:after="40" w:line="480" w:lineRule="auto"/>
        <w:ind w:left="576"/>
      </w:pPr>
      <w:r>
        <w:rPr>
          <w:rFonts w:ascii="Times New Roman" w:hAnsi="Times New Roman"/>
          <w:sz w:val="22"/>
        </w:rPr>
        <w:t xml:space="preserve">•  </w:t>
      </w:r>
      <w:r>
        <w:rPr>
          <w:rFonts w:ascii="Times New Roman" w:hAnsi="Times New Roman"/>
          <w:sz w:val="22"/>
        </w:rPr>
        <w:t>The minimum iteration count (</w:t>
      </w:r>
      <m:oMath>
        <m:sSub>
          <m:e>
            <m:r>
              <m:t>n</m:t>
            </m:r>
          </m:e>
          <m:sub>
            <m:r>
              <m:t>min</m:t>
            </m:r>
          </m:sub>
        </m:sSub>
        <m:r>
          <m:t>=100</m:t>
        </m:r>
      </m:oMath>
      <w:r>
        <w:rPr>
          <w:rFonts w:ascii="Times New Roman" w:hAnsi="Times New Roman"/>
          <w:sz w:val="22"/>
        </w:rPr>
        <w:t>) in the current implementation masks differences between variants on well-conditioned systems. A convergence-based termination criterion without minimum iterations would better differentiate the algorithms.</w:t>
      </w:r>
    </w:p>
    <w:p>
      <w:pPr>
        <w:spacing w:after="40" w:line="480" w:lineRule="auto"/>
        <w:ind w:left="576"/>
      </w:pPr>
      <w:r>
        <w:rPr>
          <w:rFonts w:ascii="Times New Roman" w:hAnsi="Times New Roman"/>
          <w:sz w:val="22"/>
        </w:rPr>
        <w:t xml:space="preserve">•  </w:t>
      </w:r>
      <w:r>
        <w:rPr>
          <w:rFonts w:ascii="Times New Roman" w:hAnsi="Times New Roman"/>
          <w:sz w:val="22"/>
        </w:rPr>
        <w:t>The stream-level mass balance check reports marginal deviations (</w:t>
      </w:r>
      <m:oMath>
        <m:r>
          <m:t>~</m:t>
        </m:r>
        <m:sSup>
          <m:e>
            <m:r>
              <m:t>10</m:t>
            </m:r>
          </m:e>
          <m:sup>
            <m:r>
              <m:t>−5</m:t>
            </m:r>
          </m:sup>
        </m:sSup>
      </m:oMath>
      <w:r>
        <w:rPr>
          <w:rFonts w:ascii="Times New Roman" w:hAnsi="Times New Roman"/>
          <w:sz w:val="22"/>
        </w:rPr>
        <w:t>–</w:t>
      </w:r>
      <m:oMath>
        <m:sSup>
          <m:e>
            <m:r>
              <m:t>10</m:t>
            </m:r>
          </m:e>
          <m:sup>
            <m:r>
              <m:t>−4</m:t>
            </m:r>
          </m:sup>
        </m:sSup>
      </m:oMath>
      <w:r>
        <w:rPr>
          <w:rFonts w:ascii="Times New Roman" w:hAnsi="Times New Roman"/>
          <w:sz w:val="22"/>
        </w:rPr>
        <w:t xml:space="preserve">) for some system–variant combinations (S1/S2 adaptive and combined; S4 all variants), even though element conservation </w:t>
      </w:r>
      <m:oMath>
        <m:r>
          <m:t>An=b</m:t>
        </m:r>
      </m:oMath>
      <w:r>
        <w:rPr>
          <w:rFonts w:ascii="Times New Roman" w:hAnsi="Times New Roman"/>
          <w:sz w:val="22"/>
        </w:rPr>
        <w:t xml:space="preserve"> is satisfied to machine precision. This discrepancy arises from the stream-level balance comparison and does not indicate a fundamental conservation error.</w:t>
      </w:r>
    </w:p>
    <w:p>
      <w:pPr>
        <w:spacing w:before="240" w:after="80"/>
      </w:pPr>
      <w:r>
        <w:rPr>
          <w:rFonts w:ascii="Arial" w:hAnsi="Arial"/>
          <w:b/>
          <w:sz w:val="22"/>
        </w:rPr>
        <w:t>6.4 Future work</w:t>
      </w:r>
    </w:p>
    <w:p>
      <w:pPr>
        <w:spacing w:after="40" w:line="480" w:lineRule="auto"/>
        <w:ind w:left="576"/>
      </w:pPr>
      <w:r>
        <w:rPr>
          <w:rFonts w:ascii="Times New Roman" w:hAnsi="Times New Roman"/>
          <w:sz w:val="22"/>
        </w:rPr>
        <w:t xml:space="preserve">•  </w:t>
      </w:r>
      <w:r>
        <w:rPr>
          <w:rFonts w:ascii="Times New Roman" w:hAnsi="Times New Roman"/>
          <w:sz w:val="22"/>
        </w:rPr>
        <w:t>Removal of the minimum iteration floor to enable finer differentiation of algorithm variants on well-conditioned systems</w:t>
      </w:r>
    </w:p>
    <w:p>
      <w:pPr>
        <w:spacing w:after="40" w:line="480" w:lineRule="auto"/>
        <w:ind w:left="576"/>
      </w:pPr>
      <w:r>
        <w:rPr>
          <w:rFonts w:ascii="Times New Roman" w:hAnsi="Times New Roman"/>
          <w:sz w:val="22"/>
        </w:rPr>
        <w:t xml:space="preserve">•  </w:t>
      </w:r>
      <w:r>
        <w:rPr>
          <w:rFonts w:ascii="Times New Roman" w:hAnsi="Times New Roman"/>
          <w:sz w:val="22"/>
        </w:rPr>
        <w:t>Extension to adiabatic (enthalpy-constrained) equilibrium with the Armijo condition applied to a merit function combining Gibbs energy and enthalpy residual</w:t>
      </w:r>
    </w:p>
    <w:p>
      <w:pPr>
        <w:spacing w:after="40" w:line="480" w:lineRule="auto"/>
        <w:ind w:left="576"/>
      </w:pPr>
      <w:r>
        <w:rPr>
          <w:rFonts w:ascii="Times New Roman" w:hAnsi="Times New Roman"/>
          <w:sz w:val="22"/>
        </w:rPr>
        <w:t xml:space="preserve">•  </w:t>
      </w:r>
      <w:r>
        <w:rPr>
          <w:rFonts w:ascii="Times New Roman" w:hAnsi="Times New Roman"/>
          <w:sz w:val="22"/>
        </w:rPr>
        <w:t>Investigation of second-order (Wolfe) conditions for superlinear convergence</w:t>
      </w:r>
    </w:p>
    <w:p>
      <w:pPr>
        <w:spacing w:after="40" w:line="480" w:lineRule="auto"/>
        <w:ind w:left="576"/>
      </w:pPr>
      <w:r>
        <w:rPr>
          <w:rFonts w:ascii="Times New Roman" w:hAnsi="Times New Roman"/>
          <w:sz w:val="22"/>
        </w:rPr>
        <w:t xml:space="preserve">•  </w:t>
      </w:r>
      <w:r>
        <w:rPr>
          <w:rFonts w:ascii="Times New Roman" w:hAnsi="Times New Roman"/>
          <w:sz w:val="22"/>
        </w:rPr>
        <w:t>Coupling with phase stability analysis for simultaneous phase and chemical equilibrium</w:t>
      </w:r>
    </w:p>
    <w:p>
      <w:pPr>
        <w:spacing w:after="40" w:line="480" w:lineRule="auto"/>
        <w:ind w:left="576"/>
      </w:pPr>
      <w:r>
        <w:rPr>
          <w:rFonts w:ascii="Times New Roman" w:hAnsi="Times New Roman"/>
          <w:sz w:val="22"/>
        </w:rPr>
        <w:t xml:space="preserve">•  </w:t>
      </w:r>
      <w:r>
        <w:rPr>
          <w:rFonts w:ascii="Times New Roman" w:hAnsi="Times New Roman"/>
          <w:sz w:val="22"/>
        </w:rPr>
        <w:t>Trust-region methods as an alternative to line search for the saddle-point KKT system</w:t>
      </w:r>
    </w:p>
    <w:p>
      <w:pPr>
        <w:spacing w:after="40" w:line="480" w:lineRule="auto"/>
        <w:ind w:left="576"/>
      </w:pPr>
      <w:r>
        <w:rPr>
          <w:rFonts w:ascii="Times New Roman" w:hAnsi="Times New Roman"/>
          <w:sz w:val="22"/>
        </w:rPr>
        <w:t xml:space="preserve">•  </w:t>
      </w:r>
      <w:r>
        <w:rPr>
          <w:rFonts w:ascii="Times New Roman" w:hAnsi="Times New Roman"/>
          <w:sz w:val="22"/>
        </w:rPr>
        <w:t>Systematic comparison with the RAND method [23] and element potential methods [18]</w:t>
      </w:r>
    </w:p>
    <w:p>
      <w:pPr>
        <w:spacing w:before="360" w:after="120"/>
      </w:pPr>
      <w:r>
        <w:rPr>
          <w:rFonts w:ascii="Arial" w:hAnsi="Arial"/>
          <w:b/>
          <w:sz w:val="26"/>
        </w:rPr>
        <w:t>Acknowledgements</w:t>
      </w:r>
    </w:p>
    <w:p>
      <w:pPr>
        <w:spacing w:line="480" w:lineRule="auto"/>
      </w:pPr>
      <w:r>
        <w:rPr>
          <w:rFonts w:ascii="Times New Roman" w:hAnsi="Times New Roman"/>
          <w:sz w:val="22"/>
        </w:rPr>
        <w:t>This work uses NeqSim, an open-source thermodynamic and process simulation library developed at NTNU and Equinor. The author thanks the contributors to the NeqSim open-source project.</w:t>
      </w:r>
    </w:p>
    <w:p>
      <w:pPr>
        <w:spacing w:before="360" w:after="120"/>
      </w:pPr>
      <w:r>
        <w:rPr>
          <w:rFonts w:ascii="Arial" w:hAnsi="Arial"/>
          <w:b/>
          <w:sz w:val="26"/>
        </w:rPr>
        <w:t>Data availability</w:t>
      </w:r>
    </w:p>
    <w:p>
      <w:pPr>
        <w:spacing w:line="480" w:lineRule="auto"/>
      </w:pPr>
      <w:r>
        <w:rPr>
          <w:rFonts w:ascii="Times New Roman" w:hAnsi="Times New Roman"/>
          <w:sz w:val="22"/>
        </w:rPr>
        <w:t>All benchmark configurations, raw results, and source code are available in the NeqSim repository at https://github.com/equinor/neqsim.</w:t>
      </w:r>
    </w:p>
    <w:p>
      <w:pPr>
        <w:spacing w:before="360"/>
      </w:pPr>
      <w:r>
        <w:rPr>
          <w:rFonts w:ascii="Arial" w:hAnsi="Arial"/>
          <w:b/>
          <w:sz w:val="26"/>
        </w:rPr>
        <w:t>References</w:t>
      </w:r>
    </w:p>
    <w:p>
      <w:pPr>
        <w:spacing w:after="40" w:line="240" w:lineRule="auto"/>
        <w:ind w:left="576" w:hanging="576"/>
      </w:pPr>
      <w:r>
        <w:rPr>
          <w:rFonts w:ascii="Times New Roman" w:hAnsi="Times New Roman"/>
          <w:sz w:val="18"/>
        </w:rPr>
        <w:t>[1]  Armijo, L. (1966).  Minimization of Functions Having {Lipschitz.  Pacific J. Math., 16, 1--3.</w:t>
      </w:r>
    </w:p>
    <w:p>
      <w:pPr>
        <w:spacing w:after="40" w:line="240" w:lineRule="auto"/>
        <w:ind w:left="576" w:hanging="576"/>
      </w:pPr>
      <w:r>
        <w:rPr>
          <w:rFonts w:ascii="Times New Roman" w:hAnsi="Times New Roman"/>
          <w:sz w:val="18"/>
        </w:rPr>
        <w:t>[2]  Castier, M. (2009).  Solution of the Isochoric-Isoenergetic Flash Problem by Direct Entropy Maximization.  Fluid Phase Equilib., 276, 7--17.</w:t>
      </w:r>
    </w:p>
    <w:p>
      <w:pPr>
        <w:spacing w:after="40" w:line="240" w:lineRule="auto"/>
        <w:ind w:left="576" w:hanging="576"/>
      </w:pPr>
      <w:r>
        <w:rPr>
          <w:rFonts w:ascii="Times New Roman" w:hAnsi="Times New Roman"/>
          <w:sz w:val="18"/>
        </w:rPr>
        <w:t>[3]  Dennis, J. E. and Schnabel, R. B. (1996).  Numerical Methods for Unconstrained Optimization and Nonlinear Equations.  SIAM.</w:t>
      </w:r>
    </w:p>
    <w:p>
      <w:pPr>
        <w:spacing w:after="40" w:line="240" w:lineRule="auto"/>
        <w:ind w:left="576" w:hanging="576"/>
      </w:pPr>
      <w:r>
        <w:rPr>
          <w:rFonts w:ascii="Times New Roman" w:hAnsi="Times New Roman"/>
          <w:sz w:val="18"/>
        </w:rPr>
        <w:t>[4]  Eriksson, G. (1971).  Thermodynamic Studies of High Temperature Equilibria. {III.  Acta Chem. Scand., 25, 2651--2658.</w:t>
      </w:r>
    </w:p>
    <w:p>
      <w:pPr>
        <w:spacing w:after="40" w:line="240" w:lineRule="auto"/>
        <w:ind w:left="576" w:hanging="576"/>
      </w:pPr>
      <w:r>
        <w:rPr>
          <w:rFonts w:ascii="Times New Roman" w:hAnsi="Times New Roman"/>
          <w:sz w:val="18"/>
        </w:rPr>
        <w:t>[5]  Gordon, S. and McBride, B. J. (1994).  Computer Program for Calculation of Complex Chemical Equilibrium Compositions and Applications {I.</w:t>
      </w:r>
    </w:p>
    <w:p>
      <w:pPr>
        <w:spacing w:after="40" w:line="240" w:lineRule="auto"/>
        <w:ind w:left="576" w:hanging="576"/>
      </w:pPr>
      <w:r>
        <w:rPr>
          <w:rFonts w:ascii="Times New Roman" w:hAnsi="Times New Roman"/>
          <w:sz w:val="18"/>
        </w:rPr>
        <w:t>[6]  Greiner, H. (1991).  An Efficient Implementation of {Newton's.  Comput. Chem. Eng., 15, 115--123.</w:t>
      </w:r>
    </w:p>
    <w:p>
      <w:pPr>
        <w:spacing w:after="40" w:line="240" w:lineRule="auto"/>
        <w:ind w:left="576" w:hanging="576"/>
      </w:pPr>
      <w:r>
        <w:rPr>
          <w:rFonts w:ascii="Times New Roman" w:hAnsi="Times New Roman"/>
          <w:sz w:val="18"/>
        </w:rPr>
        <w:t>[7]  Hansen, P. C. (1998).  Rank-Deficient and Discrete Ill-Posed Problems: Numerical Aspects of Linear Inversion.  SIAM.</w:t>
      </w:r>
    </w:p>
    <w:p>
      <w:pPr>
        <w:spacing w:after="40" w:line="240" w:lineRule="auto"/>
        <w:ind w:left="576" w:hanging="576"/>
      </w:pPr>
      <w:r>
        <w:rPr>
          <w:rFonts w:ascii="Times New Roman" w:hAnsi="Times New Roman"/>
          <w:sz w:val="18"/>
        </w:rPr>
        <w:t>[8]  Koukkari, P. and Pajarre, R. (2006).  Calculation of Constrained Equilibria by {Gibbs.  Calphad, 30, 18--26.</w:t>
      </w:r>
    </w:p>
    <w:p>
      <w:pPr>
        <w:spacing w:after="40" w:line="240" w:lineRule="auto"/>
        <w:ind w:left="576" w:hanging="576"/>
      </w:pPr>
      <w:r>
        <w:rPr>
          <w:rFonts w:ascii="Times New Roman" w:hAnsi="Times New Roman"/>
          <w:sz w:val="18"/>
        </w:rPr>
        <w:t>[9]  Leal, A. M. M. and Kulik, D. A. and Kosakowski, G. (2016).  Computational Methods for Reactive Transport Modeling: An Extended Law of Mass-Action, {xLMA.  Adv. Water Resour., 96, 405--422.</w:t>
      </w:r>
    </w:p>
    <w:p>
      <w:pPr>
        <w:spacing w:after="40" w:line="240" w:lineRule="auto"/>
        <w:ind w:left="576" w:hanging="576"/>
      </w:pPr>
      <w:r>
        <w:rPr>
          <w:rFonts w:ascii="Times New Roman" w:hAnsi="Times New Roman"/>
          <w:sz w:val="18"/>
        </w:rPr>
        <w:t>[10]  McBride, B. J. and Gordon, S. (1996).  Computer Program for Calculation of Complex Chemical Equilibrium Compositions and Applications {II.</w:t>
      </w:r>
    </w:p>
    <w:p>
      <w:pPr>
        <w:spacing w:after="40" w:line="240" w:lineRule="auto"/>
        <w:ind w:left="576" w:hanging="576"/>
      </w:pPr>
      <w:r>
        <w:rPr>
          <w:rFonts w:ascii="Times New Roman" w:hAnsi="Times New Roman"/>
          <w:sz w:val="18"/>
        </w:rPr>
        <w:t>[11]  Michelsen, M. L. (1982).  The Isothermal Flash Problem. {Part I.  Fluid Phase Equilib., 9, 1--19.</w:t>
      </w:r>
    </w:p>
    <w:p>
      <w:pPr>
        <w:spacing w:after="40" w:line="240" w:lineRule="auto"/>
        <w:ind w:left="576" w:hanging="576"/>
      </w:pPr>
      <w:r>
        <w:rPr>
          <w:rFonts w:ascii="Times New Roman" w:hAnsi="Times New Roman"/>
          <w:sz w:val="18"/>
        </w:rPr>
        <w:t>[12]  Michelsen, Michael L. (1982).  The isothermal flash problem. Part II. Phase-split calculation.  Fluid Phase Equilibria, 9, 21--40.</w:t>
      </w:r>
    </w:p>
    <w:p>
      <w:pPr>
        <w:spacing w:after="40" w:line="240" w:lineRule="auto"/>
        <w:ind w:left="576" w:hanging="576"/>
      </w:pPr>
      <w:r>
        <w:rPr>
          <w:rFonts w:ascii="Times New Roman" w:hAnsi="Times New Roman"/>
          <w:sz w:val="18"/>
        </w:rPr>
        <w:t>[13]  Michelsen, M. L. and Mollerup, J. M. (2007).  Thermodynamic Models: Fundamentals \&amp; Computational Aspects.  Tie-Line Publications, 2nd ed.</w:t>
      </w:r>
    </w:p>
    <w:p>
      <w:pPr>
        <w:spacing w:after="40" w:line="240" w:lineRule="auto"/>
        <w:ind w:left="576" w:hanging="576"/>
      </w:pPr>
      <w:r>
        <w:rPr>
          <w:rFonts w:ascii="Times New Roman" w:hAnsi="Times New Roman"/>
          <w:sz w:val="18"/>
        </w:rPr>
        <w:t>[14]  Solbraa, Even (2024).  {NeqSim.</w:t>
      </w:r>
    </w:p>
    <w:p>
      <w:pPr>
        <w:spacing w:after="40" w:line="240" w:lineRule="auto"/>
        <w:ind w:left="576" w:hanging="576"/>
      </w:pPr>
      <w:r>
        <w:rPr>
          <w:rFonts w:ascii="Times New Roman" w:hAnsi="Times New Roman"/>
          <w:sz w:val="18"/>
        </w:rPr>
        <w:t>[15]  Nocedal, J. and Wright, S. J. (2006).  Numerical Optimization.  Springer, 2nd ed.</w:t>
      </w:r>
    </w:p>
    <w:p>
      <w:pPr>
        <w:spacing w:after="40" w:line="240" w:lineRule="auto"/>
        <w:ind w:left="576" w:hanging="576"/>
      </w:pPr>
      <w:r>
        <w:rPr>
          <w:rFonts w:ascii="Times New Roman" w:hAnsi="Times New Roman"/>
          <w:sz w:val="18"/>
        </w:rPr>
        <w:t>[16]  Peng, D.-Y. and Robinson, D. B. (1976).  A New Two-Constant Equation of State.  Ind. Eng. Chem. Fundam., 15, 59--64.</w:t>
      </w:r>
    </w:p>
    <w:p>
      <w:pPr>
        <w:spacing w:after="40" w:line="240" w:lineRule="auto"/>
        <w:ind w:left="576" w:hanging="576"/>
      </w:pPr>
      <w:r>
        <w:rPr>
          <w:rFonts w:ascii="Times New Roman" w:hAnsi="Times New Roman"/>
          <w:sz w:val="18"/>
        </w:rPr>
        <w:t>[17]  Rachford, H. H. and Rice, J. D. (1952).  Procedure for use of electronic digital computers in calculating flash vaporization hydrocarbon equilibrium.  Journal of Petroleum Technology, 4, 19.</w:t>
      </w:r>
    </w:p>
    <w:p>
      <w:pPr>
        <w:spacing w:after="40" w:line="240" w:lineRule="auto"/>
        <w:ind w:left="576" w:hanging="576"/>
      </w:pPr>
      <w:r>
        <w:rPr>
          <w:rFonts w:ascii="Times New Roman" w:hAnsi="Times New Roman"/>
          <w:sz w:val="18"/>
        </w:rPr>
        <w:t>[18]  Reynolds, W. C. (1986).  The Element Potential Method for Chemical Equilibrium Analysis: Implementation in the Interactive Program {STANJAN.</w:t>
      </w:r>
    </w:p>
    <w:p>
      <w:pPr>
        <w:spacing w:after="40" w:line="240" w:lineRule="auto"/>
        <w:ind w:left="576" w:hanging="576"/>
      </w:pPr>
      <w:r>
        <w:rPr>
          <w:rFonts w:ascii="Times New Roman" w:hAnsi="Times New Roman"/>
          <w:sz w:val="18"/>
        </w:rPr>
        <w:t>[19]  Smith, W. R. and Missen, R. W. (1982).  Chemical Reaction Equilibrium Analysis: Theory and Algorithms.  Wiley-Interscience.</w:t>
      </w:r>
    </w:p>
    <w:p>
      <w:pPr>
        <w:spacing w:after="40" w:line="240" w:lineRule="auto"/>
        <w:ind w:left="576" w:hanging="576"/>
      </w:pPr>
      <w:r>
        <w:rPr>
          <w:rFonts w:ascii="Times New Roman" w:hAnsi="Times New Roman"/>
          <w:sz w:val="18"/>
        </w:rPr>
        <w:t>[20]  Smith, J. M. and Van Ness, H. C. and Abbott, M. M. (2005).  Introduction to Chemical Engineering Thermodynamics.  McGraw-Hill, 7th ed.</w:t>
      </w:r>
    </w:p>
    <w:p>
      <w:pPr>
        <w:spacing w:after="40" w:line="240" w:lineRule="auto"/>
        <w:ind w:left="576" w:hanging="576"/>
      </w:pPr>
      <w:r>
        <w:rPr>
          <w:rFonts w:ascii="Times New Roman" w:hAnsi="Times New Roman"/>
          <w:sz w:val="18"/>
        </w:rPr>
        <w:t>[21]  Soave, G. (1972).  Equilibrium Constants from a Modified {Redlich-Kwong.  Chem. Eng. Sci., 27, 1197--1203.</w:t>
      </w:r>
    </w:p>
    <w:p>
      <w:pPr>
        <w:spacing w:after="40" w:line="240" w:lineRule="auto"/>
        <w:ind w:left="576" w:hanging="576"/>
      </w:pPr>
      <w:r>
        <w:rPr>
          <w:rFonts w:ascii="Times New Roman" w:hAnsi="Times New Roman"/>
          <w:sz w:val="18"/>
        </w:rPr>
        <w:t>[22]  Tikhonov, A. N. and Arsenin, V. Y. (1977).  Solutions of Ill-Posed Problems.  Winston.</w:t>
      </w:r>
    </w:p>
    <w:p>
      <w:pPr>
        <w:spacing w:after="40" w:line="240" w:lineRule="auto"/>
        <w:ind w:left="576" w:hanging="576"/>
      </w:pPr>
      <w:r>
        <w:rPr>
          <w:rFonts w:ascii="Times New Roman" w:hAnsi="Times New Roman"/>
          <w:sz w:val="18"/>
        </w:rPr>
        <w:t>[23]  Tsanas, C. and Stenby, E. H. and Yan, W. (2018).  Calculation of Multiphase Chemical Equilibrium by the Modified {RAND.  Ind. Eng. Chem. Res., 57, 6815--6826.</w:t>
      </w:r>
    </w:p>
    <w:p>
      <w:pPr>
        <w:spacing w:after="40" w:line="240" w:lineRule="auto"/>
        <w:ind w:left="576" w:hanging="576"/>
      </w:pPr>
      <w:r>
        <w:rPr>
          <w:rFonts w:ascii="Times New Roman" w:hAnsi="Times New Roman"/>
          <w:sz w:val="18"/>
        </w:rPr>
        <w:t>[24]  Villars, D. S. (1959).  A Method of Successive Approximations for Computing Combustion Equilibria on a High Speed Digital Computer.  J. Phys. Chem., 63, 521--525.</w:t>
      </w:r>
    </w:p>
    <w:p>
      <w:pPr>
        <w:spacing w:after="40" w:line="240" w:lineRule="auto"/>
        <w:ind w:left="576" w:hanging="576"/>
      </w:pPr>
      <w:r>
        <w:rPr>
          <w:rFonts w:ascii="Times New Roman" w:hAnsi="Times New Roman"/>
          <w:sz w:val="18"/>
        </w:rPr>
        <w:t>[25]  White, W. B. and Johnson, S. M. and Dantzig, G. B. (1958).  Chemical Equilibrium in Complex Mixtures.  J. Chem. Phys., 28, 751--755.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after="240" w:before="480"/>
      <w:jc w:val="center"/>
    </w:pPr>
    <w:rPr>
      <w:rFonts w:ascii="Arial" w:hAnsi="Arial"/>
      <w:b/>
      <w:color w:val="1565C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