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Systematic Characterization of a Hybrid Successive-Substitution–Newton Flash Algorithm for Multicomponent Natural Gas Systems</w:t>
      </w:r>
    </w:p>
    <w:p>
      <w:pPr>
        <w:pStyle w:val="Heading1"/>
      </w:pPr>
      <w:r>
        <w:t>Highlights</w:t>
      </w:r>
    </w:p>
    <w:p>
      <w:pPr>
        <w:pStyle w:val="ListBullet"/>
      </w:pPr>
      <w:r>
        <w:t>100% convergence on 1664 flash cases across 6 natural gas families (4–11 components)</w:t>
      </w:r>
    </w:p>
    <w:p>
      <w:pPr>
        <w:pStyle w:val="ListBullet"/>
      </w:pPr>
      <w:r>
        <w:t>Hybrid SS–DEM–NR algorithm with Gibbs energy safeguard and near-critical stability retry</w:t>
      </w:r>
    </w:p>
    <w:p>
      <w:pPr>
        <w:pStyle w:val="ListBullet"/>
      </w:pPr>
      <w:r>
        <w:t>Sub-millisecond execution: median 0.088 ms, 95th percentile 0.371 ms</w:t>
      </w:r>
    </w:p>
    <w:p>
      <w:pPr>
        <w:pStyle w:val="ListBullet"/>
      </w:pPr>
      <w:r>
        <w:t>Computation time scales linearly with component count ($\sim$0.015 ms per component)</w:t>
      </w:r>
    </w:p>
    <w:p>
      <w:pPr>
        <w:pStyle w:val="ListBullet"/>
      </w:pPr>
      <w:r>
        <w:t>Open-source implementation in NeqSim with full reproducibility package</w:t>
      </w:r>
    </w:p>
    <w:p>
      <w:pPr>
        <w:pStyle w:val="Heading1"/>
      </w:pPr>
      <w:r>
        <w:t>Abstract</w:t>
      </w:r>
    </w:p>
    <w:p>
      <w:r>
        <w:t>The isothermal two-phase (TP) flash is the most frequently executed thermodynamic calculation in process simulation. This work presents a systematic characterization of the hybrid successive-substitution (SS), dominant-eigenvalue-method (DEM), and Newton-Raphson (NR) flash algorithm implemented in the open-source NeqSim library. A benchmark suite of 1664 flash cases spanning six natural gas families — lean gas, rich gas, gas condensate, CO</w:t>
      </w:r>
      <m:oMath>
        <m:sSub>
          <m:e>
            <m:r>
              <m:t/>
            </m:r>
          </m:e>
          <m:sub>
            <m:r>
              <m:t>2</m:t>
            </m:r>
          </m:sub>
        </m:sSub>
      </m:oMath>
      <w:r>
        <w:t>-rich, wide-boiling, and sour gas — is constructed using Dirichlet-perturbed compositions over logarithmically spaced temperature–pressure grids with the Soave–Redlich–Kwong (SRK) equation of state (EOS). The algorithm achieves 100% convergence across all families, including 373 two-phase cases (22.4% of the total) with vapor fractions ranging from 0.002 to 0.999. Median CPU time is 0.088 ms per flash, with the 95th percentile at 0.371 ms. Computation time scales approximately linearly from 0.04 ms (4-component systems) to 0.15 ms (11-component systems). Both the SRK and Peng-Robinson (PR) EOS yield identical phase identification across all tested conditions, confirming phase-split robustness independent of EOS choice. The results establish a comprehensive performance baseline for NeqSim's flash solver, supporting its use in demanding applications including real-time digital twins, reservoir simulation inner loops, and flowsheet optimization. The implementation and all benchmark data are publicly available at https://github.com/equinor/neqsim.</w:t>
      </w:r>
    </w:p>
    <w:p>
      <w:r>
        <w:rPr>
          <w:b/>
        </w:rPr>
        <w:t xml:space="preserve">Keywords: </w:t>
      </w:r>
      <w:r>
        <w:t>isothermal flash, successive substitution, Newton-Raphson, natural gas, vapor–liquid equilibrium, convergence</w:t>
        <w:br/>
        <w:br/>
        <w:t>---</w:t>
      </w:r>
    </w:p>
    <w:p>
      <w:r>
        <w:br w:type="page"/>
      </w:r>
    </w:p>
    <w:p>
      <w:pPr>
        <w:pStyle w:val="Heading2"/>
      </w:pPr>
      <w:r>
        <w:t>1. Introduction</w:t>
      </w:r>
    </w:p>
    <w:p>
      <w:pPr>
        <w:pStyle w:val="Heading3"/>
      </w:pPr>
      <w:r>
        <w:t>1.1 Background</w:t>
      </w:r>
    </w:p>
    <w:p>
      <w:r>
        <w:t xml:space="preserve">The isothermal flash problem — computing phase equilibrium at specified temperature </w:t>
      </w:r>
      <m:oMath>
        <m:r>
          <m:t>T</m:t>
        </m:r>
      </m:oMath>
      <w:r>
        <w:t xml:space="preserve"> and pressure </w:t>
      </w:r>
      <m:oMath>
        <m:r>
          <m:t>P</m:t>
        </m:r>
      </m:oMath>
      <w:r>
        <w:t xml:space="preserve"> — is the workhorse calculation of chemical process simulation. Every tray in a distillation column, every cell in a reservoir simulator, and every node in a pipeline network model requires solving this problem, often millions of times per simulation. Computational efficiency and robustness therefore directly affect the feasibility of large-scale process models.</w:t>
      </w:r>
    </w:p>
    <w:p>
      <w:r>
        <w:t xml:space="preserve">The foundational framework was established by Rachford and Rice (1952), who showed that the phase split reduces to a single nonlinear equation in the vapor fraction </w:t>
      </w:r>
      <m:oMath>
        <m:r>
          <m:t>β</m:t>
        </m:r>
      </m:oMath>
      <w:r>
        <w:t>. Michelsen (1982a,b) formulated the modern two-stage approach: first test thermodynamic stability of the feed using the tangent plane distance (TPD) criterion, then compute the phase split if the feed is unstable.</w:t>
      </w:r>
    </w:p>
    <w:p>
      <w:pPr>
        <w:pStyle w:val="Heading3"/>
      </w:pPr>
      <w:r>
        <w:t>1.2 Prior work</w:t>
      </w:r>
    </w:p>
    <w:p>
      <w:r>
        <w:t>Successive substitution (SS) — iterating K-factors through fugacity ratios — is globally convergent but converges slowly near the critical point where K-factors approach unity. Newton-Raphson (NR) methods offer quadratic convergence but require a good initial estimate and Jacobian evaluation. Hybrid SS–NR methods that switch from SS to NR after initial convergence are widely used (Michelsen, 1982b; Michelsen and Mollerup, 2007).</w:t>
      </w:r>
    </w:p>
    <w:p>
      <w:r>
        <w:t>Several improvements have been proposed:</w:t>
      </w:r>
    </w:p>
    <w:p>
      <w:pPr>
        <w:pStyle w:val="ListBullet"/>
      </w:pPr>
      <w:r>
        <w:rPr>
          <w:b/>
        </w:rPr>
        <w:t>Dominant eigenvalue method (DEM)</w:t>
      </w:r>
      <w:r>
        <w:t xml:space="preserve"> acceleration of SS (Crowe and Nishio, 1975; Risnes et al., 1981)</w:t>
      </w:r>
    </w:p>
    <w:p>
      <w:pPr>
        <w:pStyle w:val="ListBullet"/>
      </w:pPr>
      <w:r>
        <w:rPr>
          <w:b/>
        </w:rPr>
        <w:t>Minimum-variable formulations</w:t>
      </w:r>
      <w:r>
        <w:t xml:space="preserve"> reducing the NR dimension (Michelsen, 1982b)</w:t>
      </w:r>
    </w:p>
    <w:p>
      <w:pPr>
        <w:pStyle w:val="ListBullet"/>
      </w:pPr>
      <w:r>
        <w:rPr>
          <w:b/>
        </w:rPr>
        <w:t>Inside-out methods</w:t>
      </w:r>
      <w:r>
        <w:t xml:space="preserve"> with simplified inner loops (Boston and Britt, 1978)</w:t>
      </w:r>
    </w:p>
    <w:p>
      <w:pPr>
        <w:pStyle w:val="ListBullet"/>
      </w:pPr>
      <w:r>
        <w:rPr>
          <w:b/>
        </w:rPr>
        <w:t>Recent Rachford-Rice solvers</w:t>
      </w:r>
      <w:r>
        <w:t xml:space="preserve"> with guaranteed convergence (Nielsen and Lia, 2023)</w:t>
      </w:r>
    </w:p>
    <w:p>
      <w:pPr>
        <w:pStyle w:val="ListBullet"/>
      </w:pPr>
      <w:r>
        <w:rPr>
          <w:b/>
        </w:rPr>
        <w:t>Trust-region and line-search methods</w:t>
      </w:r>
      <w:r>
        <w:t xml:space="preserve"> for robust near-critical convergence (Michelsen and Mollerup, 2007)</w:t>
      </w:r>
    </w:p>
    <w:p>
      <w:r>
        <w:t xml:space="preserve">Despite the maturity of these methods, their </w:t>
      </w:r>
      <w:r>
        <w:rPr>
          <w:b/>
        </w:rPr>
        <w:t>combined</w:t>
      </w:r>
      <w:r>
        <w:t xml:space="preserve"> implementation behavior across diverse natural gas compositions has rarely been systematically characterized. Published benchmarks typically focus on a single EOS or a narrow composition range. The question of whether a specific implementation reliably handles the full spectrum of conditions encountered in natural gas processing — from lean pipeline-quality gas to wide-boiling condensates — is of both theoretical and practical interest.</w:t>
      </w:r>
    </w:p>
    <w:p>
      <w:pPr>
        <w:pStyle w:val="Heading3"/>
      </w:pPr>
      <w:r>
        <w:t>1.3 Scope and contributions</w:t>
      </w:r>
    </w:p>
    <w:p>
      <w:r>
        <w:t>This work provides a comprehensive open-source benchmark of NeqSim's hybrid SS–DEM–NR flash algorithm. The specific contributions are:</w:t>
      </w:r>
    </w:p>
    <w:p>
      <w:r>
        <w:t>1. A detailed description of the production-grade algorithm, including its    Gibbs energy safeguard, DEM acceleration, and amplified-K near-critical    stability retry. 2. A 1664-case benchmark spanning six composition families with 4–11 components,    temperatures 200–550 K, and pressures 1–500 bar. 3. Statistical analysis of convergence rates, CPU timing, and phase-fraction    distributions, establishing a reproducible performance baseline. 4. Cross-validation between SRK and Peng-Robinson EOS confirming phase-identification    robustness.</w:t>
      </w:r>
    </w:p>
    <w:p>
      <w:pPr>
        <w:pStyle w:val="Heading2"/>
      </w:pPr>
      <w:r>
        <w:t>2. Mathematical Framework</w:t>
      </w:r>
    </w:p>
    <w:p>
      <w:pPr>
        <w:pStyle w:val="Heading3"/>
      </w:pPr>
      <w:r>
        <w:t>2.1 Phase equilibrium conditions</w:t>
      </w:r>
    </w:p>
    <w:p>
      <w:r>
        <w:t>At thermodynamic equilibrium, equal component fugacities across all phases yield:</w:t>
      </w:r>
    </w:p>
    <w:p>
      <w:pPr>
        <w:jc w:val="center"/>
      </w:pPr>
      <m:oMath>
        <m:sSubSup>
          <m:e>
            <m:r>
              <m:t>f</m:t>
            </m:r>
          </m:e>
          <m:sub>
            <m:r>
              <m:t>i</m:t>
            </m:r>
          </m:sub>
          <m:sup>
            <m:r>
              <m:t>L</m:t>
            </m:r>
          </m:sup>
        </m:sSubSup>
        <m:r>
          <m:t>(T,P,𝐱)=</m:t>
        </m:r>
        <m:sSubSup>
          <m:e>
            <m:r>
              <m:t>f</m:t>
            </m:r>
          </m:e>
          <m:sub>
            <m:r>
              <m:t>i</m:t>
            </m:r>
          </m:sub>
          <m:sup>
            <m:r>
              <m:t>V</m:t>
            </m:r>
          </m:sup>
        </m:sSubSup>
        <m:r>
          <m:t>(T,P,𝐲),</m:t>
        </m:r>
        <m:r>
          <m:t>i=1,…,</m:t>
        </m:r>
        <m:sSub>
          <m:e>
            <m:r>
              <m:t>N</m:t>
            </m:r>
          </m:e>
          <m:sub>
            <m:r>
              <m:t>c</m:t>
            </m:r>
          </m:sub>
        </m:sSub>
      </m:oMath>
      <w:r>
        <w:rPr>
          <w:sz w:val="20"/>
        </w:rPr>
        <w:t xml:space="preserve">    (1)</w:t>
      </w:r>
    </w:p>
    <w:p>
      <w:r>
        <w:t xml:space="preserve">Introducing equilibrium ratios </w:t>
      </w:r>
      <m:oMath>
        <m:sSub>
          <m:e>
            <m:r>
              <m:t>K</m:t>
            </m:r>
          </m:e>
          <m:sub>
            <m:r>
              <m:t>i</m:t>
            </m:r>
          </m:sub>
        </m:sSub>
        <m:r>
          <m:t>=</m:t>
        </m:r>
        <m:sSub>
          <m:e>
            <m:r>
              <m:t>y</m:t>
            </m:r>
          </m:e>
          <m:sub>
            <m:r>
              <m:t>i</m:t>
            </m:r>
          </m:sub>
        </m:sSub>
        <m:r>
          <m:t>/</m:t>
        </m:r>
        <m:sSub>
          <m:e>
            <m:r>
              <m:t>x</m:t>
            </m:r>
          </m:e>
          <m:sub>
            <m:r>
              <m:t>i</m:t>
            </m:r>
          </m:sub>
        </m:sSub>
      </m:oMath>
      <w:r>
        <w:t xml:space="preserve"> and vapor fraction </w:t>
      </w:r>
      <m:oMath>
        <m:r>
          <m:t>β</m:t>
        </m:r>
      </m:oMath>
      <w:r>
        <w:t>, the material balance gives the Rachford-Rice equation:</w:t>
      </w:r>
    </w:p>
    <w:p>
      <w:pPr>
        <w:jc w:val="center"/>
      </w:pPr>
      <m:oMath>
        <m:r>
          <m:t>g(β)=</m:t>
        </m:r>
        <m:nary>
          <m:naryPr>
            <m:chr m:val="∑"/>
            <m:limLoc m:val="subSup"/>
            <m:grow m:val="1"/>
            <m:subHide m:val="off"/>
            <m:supHide m:val="off"/>
          </m:naryPr>
          <m:sub>
            <m:r>
              <m:t>i=1</m:t>
            </m:r>
          </m:sub>
          <m:sup>
            <m:sSub>
              <m:e>
                <m:r>
                  <m:t>N</m:t>
                </m:r>
              </m:e>
              <m:sub>
                <m:r>
                  <m:t>c</m:t>
                </m:r>
              </m:sub>
            </m:sSub>
          </m:sup>
          <m:e>
            <m:f>
              <m:fPr>
                <m:type m:val="bar"/>
              </m:fPr>
              <m:num>
                <m:sSub>
                  <m:e>
                    <m:r>
                      <m:t>z</m:t>
                    </m:r>
                  </m:e>
                  <m:sub>
                    <m:r>
                      <m:t>i</m:t>
                    </m:r>
                  </m:sub>
                </m:sSub>
                <m:r>
                  <m:t>(</m:t>
                </m:r>
                <m:sSub>
                  <m:e>
                    <m:r>
                      <m:t>K</m:t>
                    </m:r>
                  </m:e>
                  <m:sub>
                    <m:r>
                      <m:t>i</m:t>
                    </m:r>
                  </m:sub>
                </m:sSub>
                <m:r>
                  <m:t>−1)</m:t>
                </m:r>
              </m:num>
              <m:den>
                <m:r>
                  <m:t>1+β(</m:t>
                </m:r>
                <m:sSub>
                  <m:e>
                    <m:r>
                      <m:t>K</m:t>
                    </m:r>
                  </m:e>
                  <m:sub>
                    <m:r>
                      <m:t>i</m:t>
                    </m:r>
                  </m:sub>
                </m:sSub>
                <m:r>
                  <m:t>−1)</m:t>
                </m:r>
              </m:den>
            </m:f>
          </m:e>
        </m:nary>
        <m:r>
          <m:t>=0</m:t>
        </m:r>
      </m:oMath>
      <w:r>
        <w:rPr>
          <w:sz w:val="20"/>
        </w:rPr>
        <w:t xml:space="preserve">    (2)</w:t>
      </w:r>
    </w:p>
    <w:p>
      <w:r>
        <w:t xml:space="preserve">where </w:t>
      </w:r>
      <m:oMath>
        <m:sSub>
          <m:e>
            <m:r>
              <m:t>z</m:t>
            </m:r>
          </m:e>
          <m:sub>
            <m:r>
              <m:t>i</m:t>
            </m:r>
          </m:sub>
        </m:sSub>
      </m:oMath>
      <w:r>
        <w:t xml:space="preserve"> is the feed mole fraction of component </w:t>
      </w:r>
      <m:oMath>
        <m:r>
          <m:t>i</m:t>
        </m:r>
      </m:oMath>
      <w:r>
        <w:t xml:space="preserve">. The physical root lies in </w:t>
      </w:r>
      <m:oMath>
        <m:r>
          <m:t>β∈[</m:t>
        </m:r>
        <m:sSub>
          <m:e>
            <m:r>
              <m:t>β</m:t>
            </m:r>
          </m:e>
          <m:sub>
            <m:r>
              <m:t>min</m:t>
            </m:r>
          </m:sub>
        </m:sSub>
        <m:r>
          <m:t>,</m:t>
        </m:r>
        <m:sSub>
          <m:e>
            <m:r>
              <m:t>β</m:t>
            </m:r>
          </m:e>
          <m:sub>
            <m:r>
              <m:t>max</m:t>
            </m:r>
          </m:sub>
        </m:sSub>
        <m:r>
          <m:t>]</m:t>
        </m:r>
      </m:oMath>
      <w:r>
        <w:t xml:space="preserve"> where </w:t>
      </w:r>
      <m:oMath>
        <m:sSub>
          <m:e>
            <m:r>
              <m:t>β</m:t>
            </m:r>
          </m:e>
          <m:sub>
            <m:r>
              <m:t>min</m:t>
            </m:r>
          </m:sub>
        </m:sSub>
        <m:r>
          <m:t>=1/(1−</m:t>
        </m:r>
        <m:sSub>
          <m:e>
            <m:r>
              <m:t>K</m:t>
            </m:r>
          </m:e>
          <m:sub>
            <m:r>
              <m:t>max</m:t>
            </m:r>
          </m:sub>
        </m:sSub>
        <m:r>
          <m:t>)</m:t>
        </m:r>
      </m:oMath>
      <w:r>
        <w:t xml:space="preserve"> and </w:t>
      </w:r>
      <m:oMath>
        <m:sSub>
          <m:e>
            <m:r>
              <m:t>β</m:t>
            </m:r>
          </m:e>
          <m:sub>
            <m:r>
              <m:t>max</m:t>
            </m:r>
          </m:sub>
        </m:sSub>
        <m:r>
          <m:t>=1/(1−</m:t>
        </m:r>
        <m:sSub>
          <m:e>
            <m:r>
              <m:t>K</m:t>
            </m:r>
          </m:e>
          <m:sub>
            <m:r>
              <m:t>min</m:t>
            </m:r>
          </m:sub>
        </m:sSub>
        <m:r>
          <m:t>)</m:t>
        </m:r>
      </m:oMath>
      <w:r>
        <w:t>.</w:t>
      </w:r>
    </w:p>
    <w:p>
      <w:pPr>
        <w:pStyle w:val="Heading3"/>
      </w:pPr>
      <w:r>
        <w:t>2.2 Equation of state</w:t>
      </w:r>
    </w:p>
    <w:p>
      <w:r>
        <w:t>The Soave–Redlich–Kwong (SRK) equation (Soave, 1972) is used throughout:</w:t>
      </w:r>
    </w:p>
    <w:p>
      <w:pPr>
        <w:jc w:val="center"/>
      </w:pPr>
      <m:oMath>
        <m:r>
          <m:t>P=</m:t>
        </m:r>
        <m:f>
          <m:fPr>
            <m:type m:val="bar"/>
          </m:fPr>
          <m:num>
            <m:r>
              <m:t>RT</m:t>
            </m:r>
          </m:num>
          <m:den>
            <m:r>
              <m:t>v−b</m:t>
            </m:r>
          </m:den>
        </m:f>
        <m:r>
          <m:t>−</m:t>
        </m:r>
        <m:f>
          <m:fPr>
            <m:type m:val="bar"/>
          </m:fPr>
          <m:num>
            <m:r>
              <m:t>a(T)</m:t>
            </m:r>
          </m:num>
          <m:den>
            <m:r>
              <m:t>v(v+b)</m:t>
            </m:r>
          </m:den>
        </m:f>
      </m:oMath>
      <w:r>
        <w:rPr>
          <w:sz w:val="20"/>
        </w:rPr>
        <w:t xml:space="preserve">    (3)</w:t>
      </w:r>
    </w:p>
    <w:p>
      <w:r>
        <w:t>with classical mixing rules:</w:t>
      </w:r>
    </w:p>
    <w:p>
      <w:pPr>
        <w:jc w:val="center"/>
      </w:pPr>
      <m:oMath>
        <m:r>
          <m:t>a=</m:t>
        </m:r>
        <m:nary>
          <m:naryPr>
            <m:chr m:val="∑"/>
            <m:limLoc m:val="subSup"/>
            <m:grow m:val="1"/>
            <m:subHide m:val="off"/>
            <m:supHide m:val="on"/>
          </m:naryPr>
          <m:sub>
            <m:r>
              <m:t>i</m:t>
            </m:r>
          </m:sub>
          <m:sup/>
          <m:e>
            <m:nary>
              <m:naryPr>
                <m:chr m:val="∑"/>
                <m:limLoc m:val="subSup"/>
                <m:grow m:val="1"/>
                <m:subHide m:val="off"/>
                <m:supHide m:val="on"/>
              </m:naryPr>
              <m:sub>
                <m:r>
                  <m:t>j</m:t>
                </m:r>
              </m:sub>
              <m:sup/>
              <m:e>
                <m:sSub>
                  <m:e>
                    <m:r>
                      <m:t>x</m:t>
                    </m:r>
                  </m:e>
                  <m:sub>
                    <m:r>
                      <m:t>i</m:t>
                    </m:r>
                  </m:sub>
                </m:sSub>
              </m:e>
            </m:nary>
          </m:e>
        </m:nary>
        <m:sSub>
          <m:e>
            <m:r>
              <m:t>x</m:t>
            </m:r>
          </m:e>
          <m:sub>
            <m:r>
              <m:t>j</m:t>
            </m:r>
          </m:sub>
        </m:sSub>
        <m:rad>
          <m:radPr>
            <m:degHide m:val="on"/>
          </m:radPr>
          <m:deg/>
          <m:e>
            <m:sSub>
              <m:e>
                <m:r>
                  <m:t>a</m:t>
                </m:r>
              </m:e>
              <m:sub>
                <m:r>
                  <m:t>i</m:t>
                </m:r>
              </m:sub>
            </m:sSub>
            <m:sSub>
              <m:e>
                <m:r>
                  <m:t>a</m:t>
                </m:r>
              </m:e>
              <m:sub>
                <m:r>
                  <m:t>j</m:t>
                </m:r>
              </m:sub>
            </m:sSub>
          </m:e>
        </m:rad>
        <m:r>
          <m:t>(1−</m:t>
        </m:r>
        <m:sSub>
          <m:e>
            <m:r>
              <m:t>k</m:t>
            </m:r>
          </m:e>
          <m:sub>
            <m:r>
              <m:t>ij</m:t>
            </m:r>
          </m:sub>
        </m:sSub>
        <m:r>
          <m:t>),</m:t>
        </m:r>
        <m:r>
          <m:t>b=</m:t>
        </m:r>
        <m:nary>
          <m:naryPr>
            <m:chr m:val="∑"/>
            <m:limLoc m:val="subSup"/>
            <m:grow m:val="1"/>
            <m:subHide m:val="off"/>
            <m:supHide m:val="on"/>
          </m:naryPr>
          <m:sub>
            <m:r>
              <m:t>i</m:t>
            </m:r>
          </m:sub>
          <m:sup/>
          <m:e>
            <m:sSub>
              <m:e>
                <m:r>
                  <m:t>x</m:t>
                </m:r>
              </m:e>
              <m:sub>
                <m:r>
                  <m:t>i</m:t>
                </m:r>
              </m:sub>
            </m:sSub>
          </m:e>
        </m:nary>
        <m:sSub>
          <m:e>
            <m:r>
              <m:t>b</m:t>
            </m:r>
          </m:e>
          <m:sub>
            <m:r>
              <m:t>i</m:t>
            </m:r>
          </m:sub>
        </m:sSub>
      </m:oMath>
      <w:r>
        <w:rPr>
          <w:sz w:val="20"/>
        </w:rPr>
        <w:t xml:space="preserve">    (4)</w:t>
      </w:r>
    </w:p>
    <w:p>
      <w:r>
        <w:t xml:space="preserve">The fugacity coefficient for component </w:t>
      </w:r>
      <m:oMath>
        <m:r>
          <m:t>i</m:t>
        </m:r>
      </m:oMath>
      <w:r>
        <w:t xml:space="preserve"> in a mixture is:</w:t>
      </w:r>
    </w:p>
    <w:p>
      <w:pPr>
        <w:jc w:val="center"/>
      </w:pPr>
      <m:oMath>
        <m:r>
          <m:rPr>
            <m:sty m:val="p"/>
          </m:rPr>
          <m:t>ln</m:t>
        </m:r>
        <m:sSub>
          <m:e>
            <m:limUpp>
              <m:e>
                <m:r>
                  <m:t>ϕ</m:t>
                </m:r>
              </m:e>
              <m:lim>
                <m:r>
                  <m:t>^</m:t>
                </m:r>
              </m:lim>
            </m:limUpp>
          </m:e>
          <m:sub>
            <m:r>
              <m:t>i</m:t>
            </m:r>
          </m:sub>
        </m:sSub>
        <m:r>
          <m:t>=</m:t>
        </m:r>
        <m:f>
          <m:fPr>
            <m:type m:val="bar"/>
          </m:fPr>
          <m:num>
            <m:sSub>
              <m:e>
                <m:r>
                  <m:t>b</m:t>
                </m:r>
              </m:e>
              <m:sub>
                <m:r>
                  <m:t>i</m:t>
                </m:r>
              </m:sub>
            </m:sSub>
          </m:num>
          <m:den>
            <m:r>
              <m:t>b</m:t>
            </m:r>
          </m:den>
        </m:f>
        <m:r>
          <m:t>(Z−1)−</m:t>
        </m:r>
        <m:r>
          <m:rPr>
            <m:sty m:val="p"/>
          </m:rPr>
          <m:t>ln</m:t>
        </m:r>
        <m:r>
          <m:t>(Z−B)−</m:t>
        </m:r>
        <m:f>
          <m:fPr>
            <m:type m:val="bar"/>
          </m:fPr>
          <m:num>
            <m:r>
              <m:t>A</m:t>
            </m:r>
          </m:num>
          <m:den>
            <m:r>
              <m:t>B</m:t>
            </m:r>
          </m:den>
        </m:f>
        <m:d>
          <m:dPr>
            <m:sepChr m:val="−"/>
          </m:dPr>
          <m:e>
            <m:f>
              <m:fPr>
                <m:type m:val="bar"/>
              </m:fPr>
              <m:num>
                <m:r>
                  <m:t>2</m:t>
                </m:r>
                <m:nary>
                  <m:naryPr>
                    <m:chr m:val="∑"/>
                    <m:limLoc m:val="subSup"/>
                    <m:grow m:val="1"/>
                    <m:subHide m:val="off"/>
                    <m:supHide m:val="on"/>
                  </m:naryPr>
                  <m:sub>
                    <m:r>
                      <m:t>j</m:t>
                    </m:r>
                  </m:sub>
                  <m:sup/>
                  <m:e>
                    <m:sSub>
                      <m:e>
                        <m:r>
                          <m:t>x</m:t>
                        </m:r>
                      </m:e>
                      <m:sub>
                        <m:r>
                          <m:t>j</m:t>
                        </m:r>
                      </m:sub>
                    </m:sSub>
                  </m:e>
                </m:nary>
                <m:sSub>
                  <m:e>
                    <m:r>
                      <m:t>a</m:t>
                    </m:r>
                  </m:e>
                  <m:sub>
                    <m:r>
                      <m:t>ij</m:t>
                    </m:r>
                  </m:sub>
                </m:sSub>
              </m:num>
              <m:den>
                <m:r>
                  <m:t>a</m:t>
                </m:r>
              </m:den>
            </m:f>
          </m:e>
          <m:e>
            <m:f>
              <m:fPr>
                <m:type m:val="bar"/>
              </m:fPr>
              <m:num>
                <m:sSub>
                  <m:e>
                    <m:r>
                      <m:t>b</m:t>
                    </m:r>
                  </m:e>
                  <m:sub>
                    <m:r>
                      <m:t>i</m:t>
                    </m:r>
                  </m:sub>
                </m:sSub>
              </m:num>
              <m:den>
                <m:r>
                  <m:t>b</m:t>
                </m:r>
              </m:den>
            </m:f>
          </m:e>
        </m:d>
        <m:r>
          <m:rPr>
            <m:sty m:val="p"/>
          </m:rPr>
          <m:t>ln</m:t>
        </m:r>
        <m:d>
          <m:dPr>
            <m:sepChr m:val="+"/>
          </m:dPr>
          <m:e>
            <m:r>
              <m:t>1</m:t>
            </m:r>
          </m:e>
          <m:e>
            <m:f>
              <m:fPr>
                <m:type m:val="bar"/>
              </m:fPr>
              <m:num>
                <m:r>
                  <m:t>B</m:t>
                </m:r>
              </m:num>
              <m:den>
                <m:r>
                  <m:t>Z</m:t>
                </m:r>
              </m:den>
            </m:f>
          </m:e>
        </m:d>
      </m:oMath>
      <w:r>
        <w:rPr>
          <w:sz w:val="20"/>
        </w:rPr>
        <w:t xml:space="preserve">    (5)</w:t>
      </w:r>
    </w:p>
    <w:p>
      <w:r>
        <w:t xml:space="preserve">where </w:t>
      </w:r>
      <m:oMath>
        <m:r>
          <m:t>A=aP/(</m:t>
        </m:r>
        <m:sSup>
          <m:e>
            <m:r>
              <m:t>R</m:t>
            </m:r>
          </m:e>
          <m:sup>
            <m:r>
              <m:t>2</m:t>
            </m:r>
          </m:sup>
        </m:sSup>
        <m:sSup>
          <m:e>
            <m:r>
              <m:t>T</m:t>
            </m:r>
          </m:e>
          <m:sup>
            <m:r>
              <m:t>2</m:t>
            </m:r>
          </m:sup>
        </m:sSup>
        <m:r>
          <m:t>)</m:t>
        </m:r>
      </m:oMath>
      <w:r>
        <w:t xml:space="preserve"> and </w:t>
      </w:r>
      <m:oMath>
        <m:r>
          <m:t>B=bP/(RT)</m:t>
        </m:r>
      </m:oMath>
      <w:r>
        <w:t>.</w:t>
      </w:r>
    </w:p>
    <w:p>
      <w:pPr>
        <w:pStyle w:val="Heading3"/>
      </w:pPr>
      <w:r>
        <w:t>2.3 Successive substitution</w:t>
      </w:r>
    </w:p>
    <w:p>
      <w:r>
        <w:t xml:space="preserve">Given K-factors </w:t>
      </w:r>
      <m:oMath>
        <m:sSubSup>
          <m:e>
            <m:r>
              <m:t>K</m:t>
            </m:r>
          </m:e>
          <m:sub>
            <m:r>
              <m:t>i</m:t>
            </m:r>
          </m:sub>
          <m:sup>
            <m:d>
              <m:dPr>
                <m:sepChr m:val=""/>
              </m:dPr>
              <m:e>
                <m:r>
                  <m:t>n</m:t>
                </m:r>
              </m:e>
            </m:d>
          </m:sup>
        </m:sSubSup>
      </m:oMath>
      <w:r>
        <w:t>, the SS update cycle proceeds as:</w:t>
      </w:r>
    </w:p>
    <w:p>
      <w:pPr>
        <w:pStyle w:val="ListNumber"/>
      </w:pPr>
      <w:r>
        <w:t xml:space="preserve">Solve the Rachford-Rice equation for </w:t>
      </w:r>
      <m:oMath>
        <m:sSup>
          <m:e>
            <m:r>
              <m:t>β</m:t>
            </m:r>
          </m:e>
          <m:sup>
            <m:d>
              <m:dPr>
                <m:sepChr m:val=""/>
              </m:dPr>
              <m:e>
                <m:r>
                  <m:t>n</m:t>
                </m:r>
              </m:e>
            </m:d>
          </m:sup>
        </m:sSup>
      </m:oMath>
    </w:p>
    <w:p>
      <w:pPr>
        <w:pStyle w:val="ListNumber"/>
      </w:pPr>
      <w:r>
        <w:t>Compute phase compositions:</w:t>
      </w:r>
    </w:p>
    <w:p>
      <w:pPr>
        <w:jc w:val="center"/>
      </w:pPr>
      <m:oMath>
        <m:sSub>
          <m:e>
            <m:r>
              <m:t>x</m:t>
            </m:r>
          </m:e>
          <m:sub>
            <m:r>
              <m:t>i</m:t>
            </m:r>
          </m:sub>
        </m:sSub>
        <m:r>
          <m:t>=</m:t>
        </m:r>
        <m:f>
          <m:fPr>
            <m:type m:val="bar"/>
          </m:fPr>
          <m:num>
            <m:sSub>
              <m:e>
                <m:r>
                  <m:t>z</m:t>
                </m:r>
              </m:e>
              <m:sub>
                <m:r>
                  <m:t>i</m:t>
                </m:r>
              </m:sub>
            </m:sSub>
          </m:num>
          <m:den>
            <m:r>
              <m:t>1+β(</m:t>
            </m:r>
            <m:sSub>
              <m:e>
                <m:r>
                  <m:t>K</m:t>
                </m:r>
              </m:e>
              <m:sub>
                <m:r>
                  <m:t>i</m:t>
                </m:r>
              </m:sub>
            </m:sSub>
            <m:r>
              <m:t>−1)</m:t>
            </m:r>
          </m:den>
        </m:f>
        <m:r>
          <m:t>,</m:t>
        </m:r>
        <m:sSub>
          <m:e>
            <m:r>
              <m:t>y</m:t>
            </m:r>
          </m:e>
          <m:sub>
            <m:r>
              <m:t>i</m:t>
            </m:r>
          </m:sub>
        </m:sSub>
        <m:r>
          <m:t>=</m:t>
        </m:r>
        <m:sSub>
          <m:e>
            <m:r>
              <m:t>K</m:t>
            </m:r>
          </m:e>
          <m:sub>
            <m:r>
              <m:t>i</m:t>
            </m:r>
          </m:sub>
        </m:sSub>
        <m:sSub>
          <m:e>
            <m:r>
              <m:t>x</m:t>
            </m:r>
          </m:e>
          <m:sub>
            <m:r>
              <m:t>i</m:t>
            </m:r>
          </m:sub>
        </m:sSub>
      </m:oMath>
      <w:r>
        <w:rPr>
          <w:sz w:val="20"/>
        </w:rPr>
        <w:t xml:space="preserve">    (6)</w:t>
      </w:r>
    </w:p>
    <w:p>
      <w:pPr>
        <w:pStyle w:val="ListNumber"/>
      </w:pPr>
      <w:r>
        <w:t xml:space="preserve">Evaluate fugacity coefficients </w:t>
      </w:r>
      <m:oMath>
        <m:sSubSup>
          <m:e>
            <m:limUpp>
              <m:e>
                <m:r>
                  <m:t>ϕ</m:t>
                </m:r>
              </m:e>
              <m:lim>
                <m:r>
                  <m:t>^</m:t>
                </m:r>
              </m:lim>
            </m:limUpp>
          </m:e>
          <m:sub>
            <m:r>
              <m:t>i</m:t>
            </m:r>
          </m:sub>
          <m:sup>
            <m:r>
              <m:t>L</m:t>
            </m:r>
          </m:sup>
        </m:sSubSup>
      </m:oMath>
      <w:r>
        <w:t xml:space="preserve"> and </w:t>
      </w:r>
      <m:oMath>
        <m:sSubSup>
          <m:e>
            <m:limUpp>
              <m:e>
                <m:r>
                  <m:t>ϕ</m:t>
                </m:r>
              </m:e>
              <m:lim>
                <m:r>
                  <m:t>^</m:t>
                </m:r>
              </m:lim>
            </m:limUpp>
          </m:e>
          <m:sub>
            <m:r>
              <m:t>i</m:t>
            </m:r>
          </m:sub>
          <m:sup>
            <m:r>
              <m:t>V</m:t>
            </m:r>
          </m:sup>
        </m:sSubSup>
      </m:oMath>
    </w:p>
    <w:p>
      <w:pPr>
        <w:pStyle w:val="ListNumber"/>
      </w:pPr>
      <w:r>
        <w:t>Update K-factors:</w:t>
      </w:r>
    </w:p>
    <w:p>
      <w:pPr>
        <w:jc w:val="center"/>
      </w:pPr>
      <m:oMath>
        <m:sSubSup>
          <m:e>
            <m:r>
              <m:t>K</m:t>
            </m:r>
          </m:e>
          <m:sub>
            <m:r>
              <m:t>i</m:t>
            </m:r>
          </m:sub>
          <m:sup>
            <m:d>
              <m:dPr>
                <m:sepChr m:val="+"/>
              </m:dPr>
              <m:e>
                <m:r>
                  <m:t>n</m:t>
                </m:r>
              </m:e>
              <m:e>
                <m:r>
                  <m:t>1</m:t>
                </m:r>
              </m:e>
            </m:d>
          </m:sup>
        </m:sSubSup>
        <m:r>
          <m:t>=</m:t>
        </m:r>
        <m:sSubSup>
          <m:e>
            <m:r>
              <m:t>K</m:t>
            </m:r>
          </m:e>
          <m:sub>
            <m:r>
              <m:t>i</m:t>
            </m:r>
          </m:sub>
          <m:sup>
            <m:d>
              <m:dPr>
                <m:sepChr m:val=""/>
              </m:dPr>
              <m:e>
                <m:r>
                  <m:t>n</m:t>
                </m:r>
              </m:e>
            </m:d>
          </m:sup>
        </m:sSubSup>
        <m:f>
          <m:fPr>
            <m:type m:val="bar"/>
          </m:fPr>
          <m:num>
            <m:sSubSup>
              <m:e>
                <m:limUpp>
                  <m:e>
                    <m:r>
                      <m:t>ϕ</m:t>
                    </m:r>
                  </m:e>
                  <m:lim>
                    <m:r>
                      <m:t>^</m:t>
                    </m:r>
                  </m:lim>
                </m:limUpp>
              </m:e>
              <m:sub>
                <m:r>
                  <m:t>i</m:t>
                </m:r>
              </m:sub>
              <m:sup>
                <m:r>
                  <m:t>L</m:t>
                </m:r>
              </m:sup>
            </m:sSubSup>
            <m:r>
              <m:t>(</m:t>
            </m:r>
            <m:sSup>
              <m:e>
                <m:r>
                  <m:t>𝐱</m:t>
                </m:r>
              </m:e>
              <m:sup>
                <m:d>
                  <m:dPr>
                    <m:sepChr m:val=""/>
                  </m:dPr>
                  <m:e>
                    <m:r>
                      <m:t>n</m:t>
                    </m:r>
                  </m:e>
                </m:d>
              </m:sup>
            </m:sSup>
            <m:r>
              <m:t>)</m:t>
            </m:r>
          </m:num>
          <m:den>
            <m:sSubSup>
              <m:e>
                <m:limUpp>
                  <m:e>
                    <m:r>
                      <m:t>ϕ</m:t>
                    </m:r>
                  </m:e>
                  <m:lim>
                    <m:r>
                      <m:t>^</m:t>
                    </m:r>
                  </m:lim>
                </m:limUpp>
              </m:e>
              <m:sub>
                <m:r>
                  <m:t>i</m:t>
                </m:r>
              </m:sub>
              <m:sup>
                <m:r>
                  <m:t>V</m:t>
                </m:r>
              </m:sup>
            </m:sSubSup>
            <m:r>
              <m:t>(</m:t>
            </m:r>
            <m:sSup>
              <m:e>
                <m:r>
                  <m:t>𝐲</m:t>
                </m:r>
              </m:e>
              <m:sup>
                <m:d>
                  <m:dPr>
                    <m:sepChr m:val=""/>
                  </m:dPr>
                  <m:e>
                    <m:r>
                      <m:t>n</m:t>
                    </m:r>
                  </m:e>
                </m:d>
              </m:sup>
            </m:sSup>
            <m:r>
              <m:t>)</m:t>
            </m:r>
          </m:den>
        </m:f>
      </m:oMath>
      <w:r>
        <w:rPr>
          <w:sz w:val="20"/>
        </w:rPr>
        <w:t xml:space="preserve">    (7)</w:t>
      </w:r>
    </w:p>
    <w:p>
      <w:r>
        <w:t xml:space="preserve">The convergence measure is </w:t>
      </w:r>
      <m:oMath>
        <m:r>
          <m:t>ϵ=</m:t>
        </m:r>
        <m:nary>
          <m:naryPr>
            <m:chr m:val="∑"/>
            <m:limLoc m:val="subSup"/>
            <m:grow m:val="1"/>
            <m:subHide m:val="off"/>
            <m:supHide m:val="on"/>
          </m:naryPr>
          <m:sub>
            <m:r>
              <m:t>i</m:t>
            </m:r>
          </m:sub>
          <m:sup/>
          <m:e>
            <m:r>
              <m:t>|</m:t>
            </m:r>
            <m:r>
              <m:rPr>
                <m:sty m:val="p"/>
              </m:rPr>
              <m:t>ln</m:t>
            </m:r>
          </m:e>
        </m:nary>
        <m:sSubSup>
          <m:e>
            <m:r>
              <m:t>K</m:t>
            </m:r>
          </m:e>
          <m:sub>
            <m:r>
              <m:t>i</m:t>
            </m:r>
          </m:sub>
          <m:sup>
            <m:d>
              <m:dPr>
                <m:sepChr m:val="+"/>
              </m:dPr>
              <m:e>
                <m:r>
                  <m:t>n</m:t>
                </m:r>
              </m:e>
              <m:e>
                <m:r>
                  <m:t>1</m:t>
                </m:r>
              </m:e>
            </m:d>
          </m:sup>
        </m:sSubSup>
        <m:r>
          <m:t>−</m:t>
        </m:r>
        <m:r>
          <m:rPr>
            <m:sty m:val="p"/>
          </m:rPr>
          <m:t>ln</m:t>
        </m:r>
        <m:sSubSup>
          <m:e>
            <m:r>
              <m:t>K</m:t>
            </m:r>
          </m:e>
          <m:sub>
            <m:r>
              <m:t>i</m:t>
            </m:r>
          </m:sub>
          <m:sup>
            <m:d>
              <m:dPr>
                <m:sepChr m:val=""/>
              </m:dPr>
              <m:e>
                <m:r>
                  <m:t>n</m:t>
                </m:r>
              </m:e>
            </m:d>
          </m:sup>
        </m:sSubSup>
        <m:r>
          <m:t>|</m:t>
        </m:r>
      </m:oMath>
      <w:r>
        <w:t>.</w:t>
      </w:r>
    </w:p>
    <w:p>
      <w:pPr>
        <w:pStyle w:val="Heading3"/>
      </w:pPr>
      <w:r>
        <w:t>2.4 Newton-Raphson with Michelsen's formulation</w:t>
      </w:r>
    </w:p>
    <w:p>
      <w:r>
        <w:t xml:space="preserve">Following Michelsen (1982b), the Newton phase uses variables </w:t>
      </w:r>
      <m:oMath>
        <m:sSub>
          <m:e>
            <m:r>
              <m:t>u</m:t>
            </m:r>
          </m:e>
          <m:sub>
            <m:r>
              <m:t>i</m:t>
            </m:r>
          </m:sub>
        </m:sSub>
        <m:r>
          <m:t>=β</m:t>
        </m:r>
        <m:sSub>
          <m:e>
            <m:r>
              <m:t>y</m:t>
            </m:r>
          </m:e>
          <m:sub>
            <m:r>
              <m:t>i</m:t>
            </m:r>
          </m:sub>
        </m:sSub>
      </m:oMath>
      <w:r>
        <w:t>. The gradient of the Gibbs energy surface gives the residual:</w:t>
      </w:r>
    </w:p>
    <w:p>
      <w:pPr>
        <w:jc w:val="center"/>
      </w:pPr>
      <m:oMath>
        <m:sSub>
          <m:e>
            <m:r>
              <m:t>g</m:t>
            </m:r>
          </m:e>
          <m:sub>
            <m:r>
              <m:t>i</m:t>
            </m:r>
          </m:sub>
        </m:sSub>
        <m:r>
          <m:t>=</m:t>
        </m:r>
        <m:r>
          <m:rPr>
            <m:sty m:val="p"/>
          </m:rPr>
          <m:t>ln</m:t>
        </m:r>
        <m:r>
          <m:t>(</m:t>
        </m:r>
        <m:sSub>
          <m:e>
            <m:r>
              <m:t>y</m:t>
            </m:r>
          </m:e>
          <m:sub>
            <m:r>
              <m:t>i</m:t>
            </m:r>
          </m:sub>
        </m:sSub>
        <m:sSubSup>
          <m:e>
            <m:limUpp>
              <m:e>
                <m:r>
                  <m:t>ϕ</m:t>
                </m:r>
              </m:e>
              <m:lim>
                <m:r>
                  <m:t>^</m:t>
                </m:r>
              </m:lim>
            </m:limUpp>
          </m:e>
          <m:sub>
            <m:r>
              <m:t>i</m:t>
            </m:r>
          </m:sub>
          <m:sup>
            <m:r>
              <m:t>V</m:t>
            </m:r>
          </m:sup>
        </m:sSubSup>
        <m:r>
          <m:t>)−</m:t>
        </m:r>
        <m:r>
          <m:rPr>
            <m:sty m:val="p"/>
          </m:rPr>
          <m:t>ln</m:t>
        </m:r>
        <m:r>
          <m:t>(</m:t>
        </m:r>
        <m:sSub>
          <m:e>
            <m:r>
              <m:t>x</m:t>
            </m:r>
          </m:e>
          <m:sub>
            <m:r>
              <m:t>i</m:t>
            </m:r>
          </m:sub>
        </m:sSub>
        <m:sSubSup>
          <m:e>
            <m:limUpp>
              <m:e>
                <m:r>
                  <m:t>ϕ</m:t>
                </m:r>
              </m:e>
              <m:lim>
                <m:r>
                  <m:t>^</m:t>
                </m:r>
              </m:lim>
            </m:limUpp>
          </m:e>
          <m:sub>
            <m:r>
              <m:t>i</m:t>
            </m:r>
          </m:sub>
          <m:sup>
            <m:r>
              <m:t>L</m:t>
            </m:r>
          </m:sup>
        </m:sSubSup>
        <m:r>
          <m:t>)</m:t>
        </m:r>
      </m:oMath>
      <w:r>
        <w:rPr>
          <w:sz w:val="20"/>
        </w:rPr>
        <w:t xml:space="preserve">    (8)</w:t>
      </w:r>
    </w:p>
    <w:p>
      <w:r>
        <w:t>and the Hessian provides the Jacobian:</w:t>
      </w:r>
    </w:p>
    <w:p>
      <w:pPr>
        <w:jc w:val="center"/>
      </w:pPr>
      <m:oMath>
        <m:sSub>
          <m:e>
            <m:r>
              <m:t>J</m:t>
            </m:r>
          </m:e>
          <m:sub>
            <m:r>
              <m:t>ij</m:t>
            </m:r>
          </m:sub>
        </m:sSub>
        <m:r>
          <m:t>=</m:t>
        </m:r>
        <m:f>
          <m:fPr>
            <m:type m:val="bar"/>
          </m:fPr>
          <m:num>
            <m:r>
              <m:t>1</m:t>
            </m:r>
          </m:num>
          <m:den>
            <m:r>
              <m:t>β</m:t>
            </m:r>
          </m:den>
        </m:f>
        <m:d>
          <m:dPr>
            <m:sepChr m:val=""/>
          </m:dPr>
          <m:e>
            <m:f>
              <m:fPr>
                <m:type m:val="bar"/>
              </m:fPr>
              <m:num>
                <m:sSub>
                  <m:e>
                    <m:r>
                      <m:t>δ</m:t>
                    </m:r>
                  </m:e>
                  <m:sub>
                    <m:r>
                      <m:t>ij</m:t>
                    </m:r>
                  </m:sub>
                </m:sSub>
              </m:num>
              <m:den>
                <m:sSub>
                  <m:e>
                    <m:r>
                      <m:t>y</m:t>
                    </m:r>
                  </m:e>
                  <m:sub>
                    <m:r>
                      <m:t>i</m:t>
                    </m:r>
                  </m:sub>
                </m:sSub>
              </m:den>
            </m:f>
            <m:r>
              <m:t>−</m:t>
            </m:r>
            <m:r>
              <m:t>1</m:t>
            </m:r>
            <m:r>
              <m:t>+</m:t>
            </m:r>
            <m:f>
              <m:fPr>
                <m:type m:val="bar"/>
              </m:fPr>
              <m:num>
                <m:r>
                  <m:t>∂</m:t>
                </m:r>
                <m:r>
                  <m:rPr>
                    <m:sty m:val="p"/>
                  </m:rPr>
                  <m:t>ln</m:t>
                </m:r>
                <m:sSubSup>
                  <m:e>
                    <m:limUpp>
                      <m:e>
                        <m:r>
                          <m:t>ϕ</m:t>
                        </m:r>
                      </m:e>
                      <m:lim>
                        <m:r>
                          <m:t>^</m:t>
                        </m:r>
                      </m:lim>
                    </m:limUpp>
                  </m:e>
                  <m:sub>
                    <m:r>
                      <m:t>i</m:t>
                    </m:r>
                  </m:sub>
                  <m:sup>
                    <m:r>
                      <m:t>V</m:t>
                    </m:r>
                  </m:sup>
                </m:sSubSup>
              </m:num>
              <m:den>
                <m:r>
                  <m:t>∂</m:t>
                </m:r>
                <m:sSub>
                  <m:e>
                    <m:r>
                      <m:t>y</m:t>
                    </m:r>
                  </m:e>
                  <m:sub>
                    <m:r>
                      <m:t>j</m:t>
                    </m:r>
                  </m:sub>
                </m:sSub>
              </m:den>
            </m:f>
          </m:e>
        </m:d>
        <m:r>
          <m:t>+</m:t>
        </m:r>
        <m:f>
          <m:fPr>
            <m:type m:val="bar"/>
          </m:fPr>
          <m:num>
            <m:r>
              <m:t>1</m:t>
            </m:r>
          </m:num>
          <m:den>
            <m:r>
              <m:t>1−β</m:t>
            </m:r>
          </m:den>
        </m:f>
        <m:d>
          <m:dPr>
            <m:sepChr m:val=""/>
          </m:dPr>
          <m:e>
            <m:f>
              <m:fPr>
                <m:type m:val="bar"/>
              </m:fPr>
              <m:num>
                <m:sSub>
                  <m:e>
                    <m:r>
                      <m:t>δ</m:t>
                    </m:r>
                  </m:e>
                  <m:sub>
                    <m:r>
                      <m:t>ij</m:t>
                    </m:r>
                  </m:sub>
                </m:sSub>
              </m:num>
              <m:den>
                <m:sSub>
                  <m:e>
                    <m:r>
                      <m:t>x</m:t>
                    </m:r>
                  </m:e>
                  <m:sub>
                    <m:r>
                      <m:t>i</m:t>
                    </m:r>
                  </m:sub>
                </m:sSub>
              </m:den>
            </m:f>
            <m:r>
              <m:t>−</m:t>
            </m:r>
            <m:r>
              <m:t>1</m:t>
            </m:r>
            <m:r>
              <m:t>+</m:t>
            </m:r>
            <m:f>
              <m:fPr>
                <m:type m:val="bar"/>
              </m:fPr>
              <m:num>
                <m:r>
                  <m:t>∂</m:t>
                </m:r>
                <m:r>
                  <m:rPr>
                    <m:sty m:val="p"/>
                  </m:rPr>
                  <m:t>ln</m:t>
                </m:r>
                <m:sSubSup>
                  <m:e>
                    <m:limUpp>
                      <m:e>
                        <m:r>
                          <m:t>ϕ</m:t>
                        </m:r>
                      </m:e>
                      <m:lim>
                        <m:r>
                          <m:t>^</m:t>
                        </m:r>
                      </m:lim>
                    </m:limUpp>
                  </m:e>
                  <m:sub>
                    <m:r>
                      <m:t>i</m:t>
                    </m:r>
                  </m:sub>
                  <m:sup>
                    <m:r>
                      <m:t>L</m:t>
                    </m:r>
                  </m:sup>
                </m:sSubSup>
              </m:num>
              <m:den>
                <m:r>
                  <m:t>∂</m:t>
                </m:r>
                <m:sSub>
                  <m:e>
                    <m:r>
                      <m:t>x</m:t>
                    </m:r>
                  </m:e>
                  <m:sub>
                    <m:r>
                      <m:t>j</m:t>
                    </m:r>
                  </m:sub>
                </m:sSub>
              </m:den>
            </m:f>
          </m:e>
        </m:d>
      </m:oMath>
      <w:r>
        <w:rPr>
          <w:sz w:val="20"/>
        </w:rPr>
        <w:t xml:space="preserve">    (9)</w:t>
      </w:r>
    </w:p>
    <w:p>
      <w:r>
        <w:t xml:space="preserve">The Newton update </w:t>
      </w:r>
      <m:oMath>
        <m:r>
          <m:t>Δ𝐮=−</m:t>
        </m:r>
        <m:sSup>
          <m:e>
            <m:r>
              <m:t>𝐉</m:t>
            </m:r>
          </m:e>
          <m:sup>
            <m:r>
              <m:t>−1</m:t>
            </m:r>
          </m:sup>
        </m:sSup>
        <m:r>
          <m:t>𝐠</m:t>
        </m:r>
      </m:oMath>
      <w:r>
        <w:t xml:space="preserve"> is applied with Armijo backtracking line search on Michelsen's objective function </w:t>
      </w:r>
      <m:oMath>
        <m:r>
          <m:t>Q</m:t>
        </m:r>
      </m:oMath>
      <w:r>
        <w:t>.</w:t>
      </w:r>
    </w:p>
    <w:p>
      <w:pPr>
        <w:pStyle w:val="Heading3"/>
      </w:pPr>
      <w:r>
        <w:t>2.5 Tangent plane distance and stability analysis</w:t>
      </w:r>
    </w:p>
    <w:p>
      <w:r>
        <w:t>Before attempting a phase split, thermodynamic stability is tested via:</w:t>
      </w:r>
    </w:p>
    <w:p>
      <w:pPr>
        <w:jc w:val="center"/>
      </w:pPr>
      <m:oMath>
        <m:r>
          <m:rPr>
            <m:sty m:val="p"/>
          </m:rPr>
          <m:t>TPD</m:t>
        </m:r>
        <m:r>
          <m:t>(𝐰)=</m:t>
        </m:r>
        <m:nary>
          <m:naryPr>
            <m:chr m:val="∑"/>
            <m:limLoc m:val="subSup"/>
            <m:grow m:val="1"/>
            <m:subHide m:val="off"/>
            <m:supHide m:val="on"/>
          </m:naryPr>
          <m:sub>
            <m:r>
              <m:t>i</m:t>
            </m:r>
          </m:sub>
          <m:sup/>
          <m:e>
            <m:sSub>
              <m:e>
                <m:r>
                  <m:t>w</m:t>
                </m:r>
              </m:e>
              <m:sub>
                <m:r>
                  <m:t>i</m:t>
                </m:r>
              </m:sub>
            </m:sSub>
          </m:e>
        </m:nary>
        <m:d>
          <m:dPr>
            <m:begChr m:val="["/>
            <m:sepChr m:val=""/>
            <m:endChr m:val="]"/>
          </m:dPr>
          <m:e>
            <m:sSub>
              <m:e>
                <m:r>
                  <m:t>μ</m:t>
                </m:r>
              </m:e>
              <m:sub>
                <m:r>
                  <m:t>i</m:t>
                </m:r>
              </m:sub>
            </m:sSub>
            <m:r>
              <m:t>(</m:t>
            </m:r>
            <m:r>
              <m:t>𝐰</m:t>
            </m:r>
            <m:r>
              <m:t>)</m:t>
            </m:r>
            <m:r>
              <m:t>−</m:t>
            </m:r>
            <m:sSub>
              <m:e>
                <m:r>
                  <m:t>μ</m:t>
                </m:r>
              </m:e>
              <m:sub>
                <m:r>
                  <m:t>i</m:t>
                </m:r>
              </m:sub>
            </m:sSub>
            <m:r>
              <m:t>(</m:t>
            </m:r>
            <m:r>
              <m:t>𝐳</m:t>
            </m:r>
            <m:r>
              <m:t>)</m:t>
            </m:r>
          </m:e>
        </m:d>
      </m:oMath>
      <w:r>
        <w:rPr>
          <w:sz w:val="20"/>
        </w:rPr>
        <w:t xml:space="preserve">    (10)</w:t>
      </w:r>
    </w:p>
    <w:p>
      <w:r>
        <w:t xml:space="preserve">A negative TPD at any stationary point indicates the single-phase feed is thermodynamically unstable. The stability analysis uses SS iteration (with DEM acceleration) on two trial phases — vapor-like and liquid-like — initialized from Wilson K-factors. A Newton switch at iteration 40 uses Michelsen's </w:t>
      </w:r>
      <m:oMath>
        <m:r>
          <m:t>α</m:t>
        </m:r>
      </m:oMath>
      <w:r>
        <w:t xml:space="preserve">-variable formulation </w:t>
      </w:r>
      <m:oMath>
        <m:d>
          <m:dPr>
            <m:sepChr m:val="="/>
          </m:dPr>
          <m:e>
            <m:sSub>
              <m:e>
                <m:r>
                  <m:t>α</m:t>
                </m:r>
              </m:e>
              <m:sub>
                <m:r>
                  <m:t>i</m:t>
                </m:r>
              </m:sub>
            </m:sSub>
          </m:e>
          <m:e>
            <m:r>
              <m:t>2</m:t>
            </m:r>
            <m:rad>
              <m:radPr>
                <m:degHide m:val="on"/>
              </m:radPr>
              <m:deg/>
              <m:e>
                <m:sSub>
                  <m:e>
                    <m:r>
                      <m:t>W</m:t>
                    </m:r>
                  </m:e>
                  <m:sub>
                    <m:r>
                      <m:t>i</m:t>
                    </m:r>
                  </m:sub>
                </m:sSub>
              </m:e>
            </m:rad>
          </m:e>
        </m:d>
      </m:oMath>
      <w:r>
        <w:t xml:space="preserve"> with analytical Hessian.</w:t>
      </w:r>
    </w:p>
    <w:p>
      <w:pPr>
        <w:pStyle w:val="Heading2"/>
      </w:pPr>
      <w:r>
        <w:t>3. Methods: Algorithm Description</w:t>
      </w:r>
    </w:p>
    <w:p>
      <w:pPr>
        <w:pStyle w:val="Heading3"/>
      </w:pPr>
      <w:r>
        <w:t>3.1 Overview</w:t>
      </w:r>
    </w:p>
    <w:p>
      <w:r>
        <w:t>NeqSim's TPflash implements a six-phase pipeline: (1) K-value initialization, (2) warm-up SS, (3) stability analysis, (4) phase-type identification, (5) main SS/DEM/NR iteration, and (6) post-processing. The algorithm is designed for production use in process simulators where robustness takes priority over minimum-iteration-count optimality.</w:t>
      </w:r>
    </w:p>
    <w:p>
      <w:pPr>
        <w:pStyle w:val="Heading3"/>
      </w:pPr>
      <w:r>
        <w:t>3.2 K-value initialization</w:t>
      </w:r>
    </w:p>
    <w:p>
      <w:r>
        <w:t>K-factors are initialized from the Wilson (1969) correlation:</w:t>
      </w:r>
    </w:p>
    <w:p>
      <w:pPr>
        <w:jc w:val="center"/>
      </w:pPr>
      <m:oMath>
        <m:sSub>
          <m:e>
            <m:r>
              <m:t>K</m:t>
            </m:r>
          </m:e>
          <m:sub>
            <m:r>
              <m:t>i</m:t>
            </m:r>
          </m:sub>
        </m:sSub>
        <m:r>
          <m:t>=</m:t>
        </m:r>
        <m:f>
          <m:fPr>
            <m:type m:val="bar"/>
          </m:fPr>
          <m:num>
            <m:sSub>
              <m:e>
                <m:r>
                  <m:t>P</m:t>
                </m:r>
              </m:e>
              <m:sub>
                <m:r>
                  <m:t>c,i</m:t>
                </m:r>
              </m:sub>
            </m:sSub>
          </m:num>
          <m:den>
            <m:r>
              <m:t>P</m:t>
            </m:r>
          </m:den>
        </m:f>
        <m:r>
          <m:rPr>
            <m:sty m:val="p"/>
          </m:rPr>
          <m:t>exp</m:t>
        </m:r>
        <m:d>
          <m:dPr>
            <m:begChr m:val="["/>
            <m:sepChr m:val=""/>
            <m:endChr m:val="]"/>
          </m:dPr>
          <m:e>
            <m:r>
              <m:t>5.373</m:t>
            </m:r>
            <m:r>
              <m:t>(</m:t>
            </m:r>
            <m:r>
              <m:t>1</m:t>
            </m:r>
            <m:r>
              <m:t>+</m:t>
            </m:r>
            <m:sSub>
              <m:e>
                <m:r>
                  <m:t>ω</m:t>
                </m:r>
              </m:e>
              <m:sub>
                <m:r>
                  <m:t>i</m:t>
                </m:r>
              </m:sub>
            </m:sSub>
            <m:r>
              <m:t>)</m:t>
            </m:r>
            <m:d>
              <m:dPr>
                <m:sepChr m:val="−"/>
              </m:dPr>
              <m:e>
                <m:r>
                  <m:t>1</m:t>
                </m:r>
              </m:e>
              <m:e>
                <m:f>
                  <m:fPr>
                    <m:type m:val="bar"/>
                  </m:fPr>
                  <m:num>
                    <m:sSub>
                      <m:e>
                        <m:r>
                          <m:t>T</m:t>
                        </m:r>
                      </m:e>
                      <m:sub>
                        <m:r>
                          <m:t>c,i</m:t>
                        </m:r>
                      </m:sub>
                    </m:sSub>
                  </m:num>
                  <m:den>
                    <m:r>
                      <m:t>T</m:t>
                    </m:r>
                  </m:den>
                </m:f>
              </m:e>
            </m:d>
          </m:e>
        </m:d>
      </m:oMath>
      <w:r>
        <w:rPr>
          <w:sz w:val="20"/>
        </w:rPr>
        <w:t xml:space="preserve">    (11)</w:t>
      </w:r>
    </w:p>
    <w:p>
      <w:r>
        <w:t>Critical properties (</w:t>
      </w:r>
      <m:oMath>
        <m:sSub>
          <m:e>
            <m:r>
              <m:t>T</m:t>
            </m:r>
          </m:e>
          <m:sub>
            <m:r>
              <m:t>c,i</m:t>
            </m:r>
          </m:sub>
        </m:sSub>
      </m:oMath>
      <w:r>
        <w:t xml:space="preserve">, </w:t>
      </w:r>
      <m:oMath>
        <m:sSub>
          <m:e>
            <m:r>
              <m:t>P</m:t>
            </m:r>
          </m:e>
          <m:sub>
            <m:r>
              <m:t>c,i</m:t>
            </m:r>
          </m:sub>
        </m:sSub>
      </m:oMath>
      <w:r>
        <w:t>) and acentric factors (</w:t>
      </w:r>
      <m:oMath>
        <m:sSub>
          <m:e>
            <m:r>
              <m:t>ω</m:t>
            </m:r>
          </m:e>
          <m:sub>
            <m:r>
              <m:t>i</m:t>
            </m:r>
          </m:sub>
        </m:sSub>
      </m:oMath>
      <w:r>
        <w:t xml:space="preserve">) are loaded from NeqSim's component database. For ionic species, </w:t>
      </w:r>
      <m:oMath>
        <m:sSub>
          <m:e>
            <m:r>
              <m:t>K</m:t>
            </m:r>
          </m:e>
          <m:sub>
            <m:r>
              <m:t>i</m:t>
            </m:r>
          </m:sub>
        </m:sSub>
        <m:r>
          <m:t>=</m:t>
        </m:r>
        <m:sSup>
          <m:e>
            <m:r>
              <m:t>10</m:t>
            </m:r>
          </m:e>
          <m:sup>
            <m:r>
              <m:t>−40</m:t>
            </m:r>
          </m:sup>
        </m:sSup>
      </m:oMath>
      <w:r>
        <w:t xml:space="preserve"> (forced into the liquid phase).</w:t>
      </w:r>
    </w:p>
    <w:p>
      <w:pPr>
        <w:pStyle w:val="Heading3"/>
      </w:pPr>
      <w:r>
        <w:t>3.3 Warm-up successive substitution</w:t>
      </w:r>
    </w:p>
    <w:p>
      <w:r>
        <w:t xml:space="preserve">Before invoking the formal stability test, three warm-up SS iterations are performed. If the resulting two-phase Gibbs energy is already lower than the minimum single-phase Gibbs energy, the system is immediately declared two-phase, skipping the more expensive stability analysis. If </w:t>
      </w:r>
      <m:oMath>
        <m:r>
          <m:t>β</m:t>
        </m:r>
      </m:oMath>
      <w:r>
        <w:t xml:space="preserve"> collapses to 0 or 1 with Wilson K-values, it is reset to 0.5 for a recovery SS step — this handles systems (e.g., water + heavy hydrocarbons) where Wilson's correlation gives a poor initial estimate.</w:t>
      </w:r>
    </w:p>
    <w:p>
      <w:pPr>
        <w:pStyle w:val="Heading3"/>
      </w:pPr>
      <w:r>
        <w:t>3.4 Stability analysis with near-critical retry</w:t>
      </w:r>
    </w:p>
    <w:p>
      <w:r>
        <w:t xml:space="preserve">The standard stability analysis follows Michelsen (1982a): two trial phases (vapor-like and liquid-like) are initialized from Wilson K-factors and iterated via SS with DEM acceleration (every 5th iteration). After 40 SS iterations, a Newton solver with the </w:t>
      </w:r>
      <m:oMath>
        <m:r>
          <m:t>α</m:t>
        </m:r>
      </m:oMath>
      <w:r>
        <w:t>-variable formulation (</w:t>
      </w:r>
      <m:oMath>
        <m:sSub>
          <m:e>
            <m:r>
              <m:t>α</m:t>
            </m:r>
          </m:e>
          <m:sub>
            <m:r>
              <m:t>i</m:t>
            </m:r>
          </m:sub>
        </m:sSub>
        <m:r>
          <m:t>=2</m:t>
        </m:r>
        <m:rad>
          <m:radPr>
            <m:degHide m:val="on"/>
          </m:radPr>
          <m:deg/>
          <m:e>
            <m:sSub>
              <m:e>
                <m:r>
                  <m:t>W</m:t>
                </m:r>
              </m:e>
              <m:sub>
                <m:r>
                  <m:t>i</m:t>
                </m:r>
              </m:sub>
            </m:sSub>
          </m:e>
        </m:rad>
      </m:oMath>
      <w:r>
        <w:t xml:space="preserve">) is engaged. Instability is declared if </w:t>
      </w:r>
      <m:oMath>
        <m:r>
          <m:rPr>
            <m:nor/>
          </m:rPr>
          <m:t>TPD</m:t>
        </m:r>
        <m:r>
          <m:t>&lt;−</m:t>
        </m:r>
        <m:sSup>
          <m:e>
            <m:r>
              <m:t>10</m:t>
            </m:r>
          </m:e>
          <m:sup>
            <m:r>
              <m:t>−8</m:t>
            </m:r>
          </m:sup>
        </m:sSup>
      </m:oMath>
      <w:r>
        <w:t xml:space="preserve"> at any non-trivial stationary point; trivial solutions are rejected via cosine similarity (threshold 0.9999).</w:t>
      </w:r>
    </w:p>
    <w:p>
      <w:r>
        <w:t>When the standard stability test returns marginal results (</w:t>
      </w:r>
      <m:oMath>
        <m:r>
          <m:t>|tm|&lt;0.5</m:t>
        </m:r>
      </m:oMath>
      <w:r>
        <w:t xml:space="preserve">, </w:t>
      </w:r>
      <m:oMath>
        <m:r>
          <m:t>P&gt;50</m:t>
        </m:r>
      </m:oMath>
      <w:r>
        <w:t xml:space="preserve"> bar), an </w:t>
      </w:r>
      <w:r>
        <w:rPr>
          <w:b/>
        </w:rPr>
        <w:t>amplified-K retry</w:t>
      </w:r>
      <w:r>
        <w:t xml:space="preserve"> is triggered. Up to five additional trial compositions are tested:</w:t>
      </w:r>
    </w:p>
    <w:p>
      <w:pPr>
        <w:pStyle w:val="ListBullet"/>
      </w:pPr>
      <w:r>
        <w:rPr>
          <w:b/>
        </w:rPr>
        <w:t>Trials 0–1</w:t>
      </w:r>
      <w:r>
        <w:t xml:space="preserve">: Amplified Wilson K with factor </w:t>
      </w:r>
      <m:oMath>
        <m:r>
          <m:t>f=2.5</m:t>
        </m:r>
      </m:oMath>
      <w:r>
        <w:t xml:space="preserve"> (or </w:t>
      </w:r>
      <m:oMath>
        <m:r>
          <m:t>f=4.0</m:t>
        </m:r>
      </m:oMath>
      <w:r>
        <w:t xml:space="preserve"> near the critical point)</w:t>
      </w:r>
    </w:p>
    <w:p>
      <w:pPr>
        <w:pStyle w:val="ListBullet"/>
      </w:pPr>
      <w:r>
        <w:rPr>
          <w:b/>
        </w:rPr>
        <w:t>Trial 2</w:t>
      </w:r>
      <w:r>
        <w:t xml:space="preserve">: Heavy-component enriched (weighting by </w:t>
      </w:r>
      <m:oMath>
        <m:sSubSup>
          <m:e>
            <m:r>
              <m:t>T</m:t>
            </m:r>
          </m:e>
          <m:sub>
            <m:r>
              <m:t>c</m:t>
            </m:r>
          </m:sub>
          <m:sup>
            <m:r>
              <m:t>3</m:t>
            </m:r>
          </m:sup>
        </m:sSubSup>
      </m:oMath>
      <w:r>
        <w:t>)</w:t>
      </w:r>
    </w:p>
    <w:p>
      <w:pPr>
        <w:pStyle w:val="ListBullet"/>
      </w:pPr>
      <w:r>
        <w:rPr>
          <w:b/>
        </w:rPr>
        <w:t>Trial 3</w:t>
      </w:r>
      <w:r>
        <w:t xml:space="preserve">: Light-component enriched (weighting by </w:t>
      </w:r>
      <m:oMath>
        <m:f>
          <m:fPr>
            <m:type m:val="lin"/>
          </m:fPr>
          <m:num>
            <m:r>
              <m:t>1</m:t>
            </m:r>
          </m:num>
          <m:den>
            <m:sSubSup>
              <m:e>
                <m:r>
                  <m:t>T</m:t>
                </m:r>
              </m:e>
              <m:sub>
                <m:r>
                  <m:t>c</m:t>
                </m:r>
              </m:sub>
              <m:sup>
                <m:r>
                  <m:t>3</m:t>
                </m:r>
              </m:sup>
            </m:sSubSup>
          </m:den>
        </m:f>
      </m:oMath>
      <w:r>
        <w:t>)</w:t>
      </w:r>
    </w:p>
    <w:p>
      <w:pPr>
        <w:pStyle w:val="ListBullet"/>
      </w:pPr>
      <w:r>
        <w:rPr>
          <w:b/>
        </w:rPr>
        <w:t>Trial 4</w:t>
      </w:r>
      <w:r>
        <w:t>: Near-pure heaviest component (dew-point detection)</w:t>
      </w:r>
    </w:p>
    <w:p>
      <w:r>
        <w:t xml:space="preserve">Each trial runs up to 100 SS iterations with a conservative instability threshold of </w:t>
      </w:r>
      <m:oMath>
        <m:r>
          <m:t>−</m:t>
        </m:r>
        <m:sSup>
          <m:e>
            <m:r>
              <m:t>10</m:t>
            </m:r>
          </m:e>
          <m:sup>
            <m:r>
              <m:t>−4</m:t>
            </m:r>
          </m:sup>
        </m:sSup>
      </m:oMath>
      <w:r>
        <w:t>.</w:t>
      </w:r>
    </w:p>
    <w:p>
      <w:pPr>
        <w:pStyle w:val="Heading3"/>
      </w:pPr>
      <w:r>
        <w:t>3.5 Main iterative loop: SS → DEM → NR</w:t>
      </w:r>
    </w:p>
    <w:p>
      <w:r>
        <w:t xml:space="preserve">The combined iteration budget is 50 steps with convergence tolerance </w:t>
      </w:r>
      <m:oMath>
        <m:r>
          <m:t>ε=</m:t>
        </m:r>
        <m:sSup>
          <m:e>
            <m:r>
              <m:t>10</m:t>
            </m:r>
          </m:e>
          <m:sup>
            <m:r>
              <m:t>−10</m:t>
            </m:r>
          </m:sup>
        </m:sSup>
      </m:oMath>
      <w:r>
        <w:t xml:space="preserve"> on </w:t>
      </w:r>
      <m:oMath>
        <m:nary>
          <m:naryPr>
            <m:chr m:val="∑"/>
            <m:limLoc m:val="subSup"/>
            <m:grow m:val="1"/>
            <m:subHide m:val="off"/>
            <m:supHide m:val="on"/>
          </m:naryPr>
          <m:sub>
            <m:r>
              <m:t>i</m:t>
            </m:r>
          </m:sub>
          <m:sup/>
          <m:e>
            <m:r>
              <m:t>|Δ</m:t>
            </m:r>
            <m:r>
              <m:rPr>
                <m:sty m:val="p"/>
              </m:rPr>
              <m:t>ln</m:t>
            </m:r>
          </m:e>
        </m:nary>
        <m:sSub>
          <m:e>
            <m:r>
              <m:t>K</m:t>
            </m:r>
          </m:e>
          <m:sub>
            <m:r>
              <m:t>i</m:t>
            </m:r>
          </m:sub>
        </m:sSub>
        <m:r>
          <m:t>|</m:t>
        </m:r>
      </m:oMath>
      <w:r>
        <w:t>.</w:t>
      </w:r>
    </w:p>
    <w:p>
      <w:r>
        <w:rPr>
          <w:b/>
        </w:rPr>
        <w:t>Iterations 1–11 (SS phase):</w:t>
      </w:r>
      <w:r>
        <w:t xml:space="preserve"> Standard successive substitution is used. Every 5th iteration, when the last Gibbs-energy increase event is more than 6 steps ago, DEM acceleration is applied:</w:t>
      </w:r>
    </w:p>
    <w:p>
      <w:pPr>
        <w:jc w:val="center"/>
      </w:pPr>
      <m:oMath>
        <m:r>
          <m:t>λ=</m:t>
        </m:r>
        <m:f>
          <m:fPr>
            <m:type m:val="bar"/>
          </m:fPr>
          <m:num>
            <m:nary>
              <m:naryPr>
                <m:chr m:val="∑"/>
                <m:limLoc m:val="subSup"/>
                <m:grow m:val="1"/>
                <m:subHide m:val="off"/>
                <m:supHide m:val="on"/>
              </m:naryPr>
              <m:sub>
                <m:r>
                  <m:t>i</m:t>
                </m:r>
              </m:sub>
              <m:sup/>
              <m:e>
                <m:r>
                  <m:t>Δ</m:t>
                </m:r>
                <m:r>
                  <m:rPr>
                    <m:sty m:val="p"/>
                  </m:rPr>
                  <m:t>ln</m:t>
                </m:r>
              </m:e>
            </m:nary>
            <m:sSubSup>
              <m:e>
                <m:r>
                  <m:t>K</m:t>
                </m:r>
              </m:e>
              <m:sub>
                <m:r>
                  <m:t>i</m:t>
                </m:r>
              </m:sub>
              <m:sup>
                <m:d>
                  <m:dPr>
                    <m:sepChr m:val=""/>
                  </m:dPr>
                  <m:e>
                    <m:r>
                      <m:t>n</m:t>
                    </m:r>
                  </m:e>
                </m:d>
              </m:sup>
            </m:sSubSup>
            <m:r>
              <m:t>·Δ</m:t>
            </m:r>
            <m:r>
              <m:rPr>
                <m:sty m:val="p"/>
              </m:rPr>
              <m:t>ln</m:t>
            </m:r>
            <m:sSubSup>
              <m:e>
                <m:r>
                  <m:t>K</m:t>
                </m:r>
              </m:e>
              <m:sub>
                <m:r>
                  <m:t>i</m:t>
                </m:r>
              </m:sub>
              <m:sup>
                <m:d>
                  <m:dPr>
                    <m:sepChr m:val="−"/>
                  </m:dPr>
                  <m:e>
                    <m:r>
                      <m:t>n</m:t>
                    </m:r>
                  </m:e>
                  <m:e>
                    <m:r>
                      <m:t>1</m:t>
                    </m:r>
                  </m:e>
                </m:d>
              </m:sup>
            </m:sSubSup>
          </m:num>
          <m:den>
            <m:nary>
              <m:naryPr>
                <m:chr m:val="∑"/>
                <m:limLoc m:val="subSup"/>
                <m:grow m:val="1"/>
                <m:subHide m:val="off"/>
                <m:supHide m:val="on"/>
              </m:naryPr>
              <m:sub>
                <m:r>
                  <m:t>i</m:t>
                </m:r>
              </m:sub>
              <m:sup/>
              <m:e>
                <m:r>
                  <m:t>(Δ</m:t>
                </m:r>
                <m:r>
                  <m:rPr>
                    <m:sty m:val="p"/>
                  </m:rPr>
                  <m:t>ln</m:t>
                </m:r>
              </m:e>
            </m:nary>
            <m:sSubSup>
              <m:e>
                <m:r>
                  <m:t>K</m:t>
                </m:r>
              </m:e>
              <m:sub>
                <m:r>
                  <m:t>i</m:t>
                </m:r>
              </m:sub>
              <m:sup>
                <m:d>
                  <m:dPr>
                    <m:sepChr m:val="−"/>
                  </m:dPr>
                  <m:e>
                    <m:r>
                      <m:t>n</m:t>
                    </m:r>
                  </m:e>
                  <m:e>
                    <m:r>
                      <m:t>1</m:t>
                    </m:r>
                  </m:e>
                </m:d>
              </m:sup>
            </m:sSubSup>
            <m:sSup>
              <m:e>
                <m:r>
                  <m:t>)</m:t>
                </m:r>
              </m:e>
              <m:sup>
                <m:r>
                  <m:t>2</m:t>
                </m:r>
              </m:sup>
            </m:sSup>
          </m:den>
        </m:f>
      </m:oMath>
      <w:r>
        <w:rPr>
          <w:sz w:val="20"/>
        </w:rPr>
        <w:t xml:space="preserve">    (12)</w:t>
      </w:r>
    </w:p>
    <w:p>
      <w:pPr>
        <w:jc w:val="center"/>
      </w:pPr>
      <m:oMath>
        <m:r>
          <m:rPr>
            <m:sty m:val="p"/>
          </m:rPr>
          <m:t>ln</m:t>
        </m:r>
        <m:sSub>
          <m:e>
            <m:r>
              <m:t>K</m:t>
            </m:r>
          </m:e>
          <m:sub>
            <m:r>
              <m:t>i</m:t>
            </m:r>
          </m:sub>
        </m:sSub>
        <m:r>
          <m:t>←</m:t>
        </m:r>
        <m:r>
          <m:rPr>
            <m:sty m:val="p"/>
          </m:rPr>
          <m:t>ln</m:t>
        </m:r>
        <m:sSub>
          <m:e>
            <m:r>
              <m:t>K</m:t>
            </m:r>
          </m:e>
          <m:sub>
            <m:r>
              <m:t>i</m:t>
            </m:r>
          </m:sub>
        </m:sSub>
        <m:r>
          <m:t>+</m:t>
        </m:r>
        <m:f>
          <m:fPr>
            <m:type m:val="bar"/>
          </m:fPr>
          <m:num>
            <m:r>
              <m:t>λ</m:t>
            </m:r>
          </m:num>
          <m:den>
            <m:r>
              <m:t>1−λ</m:t>
            </m:r>
          </m:den>
        </m:f>
        <m:r>
          <m:t>δ</m:t>
        </m:r>
        <m:r>
          <m:rPr>
            <m:sty m:val="p"/>
          </m:rPr>
          <m:t>ln</m:t>
        </m:r>
        <m:sSub>
          <m:e>
            <m:r>
              <m:t>K</m:t>
            </m:r>
          </m:e>
          <m:sub>
            <m:r>
              <m:t>i</m:t>
            </m:r>
          </m:sub>
        </m:sSub>
        <m:r>
          <m:rPr>
            <m:nor/>
          </m:rPr>
          <m:t>if </m:t>
        </m:r>
        <m:r>
          <m:t>0&lt;λ&lt;1</m:t>
        </m:r>
      </m:oMath>
      <w:r>
        <w:rPr>
          <w:sz w:val="20"/>
        </w:rPr>
        <w:t xml:space="preserve">    (13)</w:t>
      </w:r>
    </w:p>
    <w:p>
      <w:r>
        <w:rPr>
          <w:b/>
        </w:rPr>
        <w:t>Iteration 12+ (NR phase):</w:t>
      </w:r>
      <w:r>
        <w:t xml:space="preserve"> A Newton solver (</w:t>
      </w:r>
      <w:r>
        <w:rPr>
          <w:rFonts w:ascii="Consolas" w:hAnsi="Consolas"/>
          <w:sz w:val="20"/>
        </w:rPr>
        <w:t>SysNewtonRhapsonTPflash</w:t>
      </w:r>
      <w:r>
        <w:t xml:space="preserve">) is created using Michelsen's u-variable formulation with </w:t>
      </w:r>
      <m:oMath>
        <m:sSub>
          <m:e>
            <m:r>
              <m:t>u</m:t>
            </m:r>
          </m:e>
          <m:sub>
            <m:r>
              <m:t>i</m:t>
            </m:r>
          </m:sub>
        </m:sSub>
        <m:r>
          <m:t>=β</m:t>
        </m:r>
        <m:sSub>
          <m:e>
            <m:r>
              <m:t>y</m:t>
            </m:r>
          </m:e>
          <m:sub>
            <m:r>
              <m:t>i</m:t>
            </m:r>
          </m:sub>
        </m:sSub>
      </m:oMath>
      <w:r>
        <w:t>. The Jacobian is assembled from EOS composition derivatives and solved via EJML LU decomposition. Levenberg-Marquardt regularization (</w:t>
      </w:r>
      <m:oMath>
        <m:sSub>
          <m:e>
            <m:r>
              <m:t>λ</m:t>
            </m:r>
          </m:e>
          <m:sub>
            <m:r>
              <m:t>LM</m:t>
            </m:r>
          </m:sub>
        </m:sSub>
        <m:r>
          <m:t>=</m:t>
        </m:r>
        <m:sSup>
          <m:e>
            <m:r>
              <m:t>10</m:t>
            </m:r>
          </m:e>
          <m:sup>
            <m:r>
              <m:t>−8</m:t>
            </m:r>
          </m:sup>
        </m:sSup>
        <m:r>
          <m:t>·</m:t>
        </m:r>
        <m:r>
          <m:rPr>
            <m:nor/>
          </m:rPr>
          <m:t>tr</m:t>
        </m:r>
        <m:r>
          <m:t>(|J|)/</m:t>
        </m:r>
        <m:sSub>
          <m:e>
            <m:r>
              <m:t>N</m:t>
            </m:r>
          </m:e>
          <m:sub>
            <m:r>
              <m:t>c</m:t>
            </m:r>
          </m:sub>
        </m:sSub>
      </m:oMath>
      <w:r>
        <w:t xml:space="preserve">) is applied to the diagonal to handle near-singular Jacobians. Armijo backtracking (sufficient decrease parameter </w:t>
      </w:r>
      <m:oMath>
        <m:sSub>
          <m:e>
            <m:r>
              <m:t>c</m:t>
            </m:r>
          </m:e>
          <m:sub>
            <m:r>
              <m:t>1</m:t>
            </m:r>
          </m:sub>
        </m:sSub>
        <m:r>
          <m:t>=</m:t>
        </m:r>
        <m:sSup>
          <m:e>
            <m:r>
              <m:t>10</m:t>
            </m:r>
          </m:e>
          <m:sup>
            <m:r>
              <m:t>−4</m:t>
            </m:r>
          </m:sup>
        </m:sSup>
      </m:oMath>
      <w:r>
        <w:t>, maximum 8 halvings) controls step size.</w:t>
      </w:r>
    </w:p>
    <w:p>
      <w:r>
        <w:rPr>
          <w:b/>
        </w:rPr>
        <w:t>Gibbs energy safeguard:</w:t>
      </w:r>
      <w:r>
        <w:t xml:space="preserve"> After every iteration (SS or NR), the total Gibbs energy is checked. If it increases by more than </w:t>
      </w:r>
      <m:oMath>
        <m:sSup>
          <m:e>
            <m:r>
              <m:t>10</m:t>
            </m:r>
          </m:e>
          <m:sup>
            <m:r>
              <m:t>−8</m:t>
            </m:r>
          </m:sup>
        </m:sSup>
      </m:oMath>
      <w:r>
        <w:t xml:space="preserve"> relative to the previous step, or if </w:t>
      </w:r>
      <m:oMath>
        <m:r>
          <m:t>β</m:t>
        </m:r>
      </m:oMath>
      <w:r>
        <w:t xml:space="preserve"> hits its bounds, K-values are reset to the previous iteration's values. This prevents divergence and guarantees monotonic Gibbs energy decrease outside of rare recovery steps.</w:t>
      </w:r>
    </w:p>
    <w:p>
      <w:pPr>
        <w:pStyle w:val="Heading3"/>
      </w:pPr>
      <w:r>
        <w:t>3.6 Rachford-Rice solver</w:t>
      </w:r>
    </w:p>
    <w:p>
      <w:r>
        <w:t xml:space="preserve">The </w:t>
      </w:r>
      <m:oMath>
        <m:r>
          <m:t>β</m:t>
        </m:r>
      </m:oMath>
      <w:r>
        <w:t xml:space="preserve">-subproblem is solved using the Nielsen (2023) method by default, with Michelsen (2001) as a fallback. Both guarantee convergence within the physical bounds </w:t>
      </w:r>
      <m:oMath>
        <m:d>
          <m:dPr>
            <m:begChr m:val="["/>
            <m:sepChr m:val=","/>
            <m:endChr m:val="]"/>
          </m:dPr>
          <m:e>
            <m:sSub>
              <m:e>
                <m:r>
                  <m:t>β</m:t>
                </m:r>
              </m:e>
              <m:sub>
                <m:r>
                  <m:t>min</m:t>
                </m:r>
              </m:sub>
            </m:sSub>
          </m:e>
          <m:e>
            <m:sSub>
              <m:e>
                <m:r>
                  <m:t>β</m:t>
                </m:r>
              </m:e>
              <m:sub>
                <m:r>
                  <m:t>max</m:t>
                </m:r>
              </m:sub>
            </m:sSub>
          </m:e>
        </m:d>
      </m:oMath>
      <w:r>
        <w:t>.</w:t>
      </w:r>
    </w:p>
    <w:p>
      <w:pPr>
        <w:pStyle w:val="Heading3"/>
      </w:pPr>
      <w:r>
        <w:t>3.7 Post-processing</w:t>
      </w:r>
    </w:p>
    <w:p>
      <w:r>
        <w:t xml:space="preserve">After convergence, phases with </w:t>
      </w:r>
      <m:oMath>
        <m:r>
          <m:t>β&lt;</m:t>
        </m:r>
        <m:sSub>
          <m:e>
            <m:r>
              <m:t>β</m:t>
            </m:r>
          </m:e>
          <m:sub>
            <m:r>
              <m:t>min_frac</m:t>
            </m:r>
          </m:sub>
        </m:sSub>
        <m:r>
          <m:t>×1.01</m:t>
        </m:r>
      </m:oMath>
      <w:r>
        <w:t xml:space="preserve"> are removed, phases are ordered by density, and a final EOS initialization produces equilibrium compositions and properties.</w:t>
      </w:r>
    </w:p>
    <w:p>
      <w:pPr>
        <w:pStyle w:val="Heading3"/>
      </w:pPr>
      <w:r>
        <w:t>3.8 Pseudocode summary</w:t>
      </w:r>
    </w:p>
    <w:tbl>
      <w:tblPr>
        <w:tblW w:type="auto" w:w="0"/>
        <w:jc w:val="center"/>
        <w:tblLook w:firstColumn="1" w:firstRow="1" w:lastColumn="0" w:lastRow="0" w:noHBand="0" w:noVBand="1" w:val="04A0"/>
      </w:tblPr>
      <w:tblGrid>
        <w:gridCol w:w="9360"/>
      </w:tblGrid>
      <w:tr>
        <w:tc>
          <w:tcPr>
            <w:tcW w:type="dxa" w:w="9360"/>
            <w:shd w:val="clear" w:color="auto" w:fill="F0F0F0"/>
          </w:tcPr>
          <w:p>
            <w:pPr>
              <w:spacing w:before="0" w:after="0" w:line="240" w:lineRule="auto"/>
            </w:pPr>
            <w:r>
              <w:rPr>
                <w:rFonts w:ascii="Consolas" w:hAnsi="Consolas"/>
                <w:sz w:val="17"/>
              </w:rPr>
              <w:t>Algorithm: NeqSim Hybrid SS–DEM–NR TPflash</w:t>
            </w:r>
          </w:p>
          <w:p>
            <w:pPr>
              <w:spacing w:before="0" w:after="0" w:line="240" w:lineRule="auto"/>
            </w:pPr>
            <w:r>
              <w:rPr>
                <w:rFonts w:ascii="Consolas" w:hAnsi="Consolas"/>
                <w:sz w:val="17"/>
              </w:rPr>
              <w:t>Input: z, T, P, EOS parameters</w:t>
            </w:r>
          </w:p>
          <w:p>
            <w:pPr>
              <w:spacing w:before="0" w:after="0" w:line="240" w:lineRule="auto"/>
            </w:pPr>
            <w:r>
              <w:rPr>
                <w:rFonts w:ascii="Consolas" w:hAnsi="Consolas"/>
                <w:sz w:val="17"/>
              </w:rPr>
              <w:t>Output: β, x, y (or single-phase flag)</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1. K ← Wilson(T, P, Tc, Pc, ω)</w:t>
            </w:r>
          </w:p>
          <w:p>
            <w:pPr>
              <w:spacing w:before="0" w:after="0" w:line="240" w:lineRule="auto"/>
            </w:pPr>
            <w:r>
              <w:rPr>
                <w:rFonts w:ascii="Consolas" w:hAnsi="Consolas"/>
                <w:sz w:val="17"/>
              </w:rPr>
              <w:t xml:space="preserve"> 2. β ← RachfordRice(z, K)</w:t>
            </w:r>
          </w:p>
          <w:p>
            <w:pPr>
              <w:spacing w:before="0" w:after="0" w:line="240" w:lineRule="auto"/>
            </w:pPr>
            <w:r>
              <w:rPr>
                <w:rFonts w:ascii="Consolas" w:hAnsi="Consolas"/>
                <w:sz w:val="17"/>
              </w:rPr>
              <w:t xml:space="preserve"> 3. if β → 0 or 1: reset β = 0.5, one recovery SS step</w:t>
            </w:r>
          </w:p>
          <w:p>
            <w:pPr>
              <w:spacing w:before="0" w:after="0" w:line="240" w:lineRule="auto"/>
            </w:pPr>
            <w:r>
              <w:rPr>
                <w:rFonts w:ascii="Consolas" w:hAnsi="Consolas"/>
                <w:sz w:val="17"/>
              </w:rPr>
              <w:t xml:space="preserve"> 4. for n = 1 to 3:  // warm-up SS</w:t>
            </w:r>
          </w:p>
          <w:p>
            <w:pPr>
              <w:spacing w:before="0" w:after="0" w:line="240" w:lineRule="auto"/>
            </w:pPr>
            <w:r>
              <w:rPr>
                <w:rFonts w:ascii="Consolas" w:hAnsi="Consolas"/>
                <w:sz w:val="17"/>
              </w:rPr>
              <w:t xml:space="preserve"> 5.     φL, φV ← EOS(x, y, T, P)</w:t>
            </w:r>
          </w:p>
          <w:p>
            <w:pPr>
              <w:spacing w:before="0" w:after="0" w:line="240" w:lineRule="auto"/>
            </w:pPr>
            <w:r>
              <w:rPr>
                <w:rFonts w:ascii="Consolas" w:hAnsi="Consolas"/>
                <w:sz w:val="17"/>
              </w:rPr>
              <w:t xml:space="preserve"> 6.     K ← K × φL / φV</w:t>
            </w:r>
          </w:p>
          <w:p>
            <w:pPr>
              <w:spacing w:before="0" w:after="0" w:line="240" w:lineRule="auto"/>
            </w:pPr>
            <w:r>
              <w:rPr>
                <w:rFonts w:ascii="Consolas" w:hAnsi="Consolas"/>
                <w:sz w:val="17"/>
              </w:rPr>
              <w:t xml:space="preserve"> 7.     if G_2phase &lt; G_min_1phase: goto ITERATE</w:t>
            </w:r>
          </w:p>
          <w:p>
            <w:pPr>
              <w:spacing w:before="0" w:after="0" w:line="240" w:lineRule="auto"/>
            </w:pPr>
            <w:r>
              <w:rPr>
                <w:rFonts w:ascii="Consolas" w:hAnsi="Consolas"/>
                <w:sz w:val="17"/>
              </w:rPr>
              <w:t xml:space="preserve"> 8. // Stability analysis</w:t>
            </w:r>
          </w:p>
          <w:p>
            <w:pPr>
              <w:spacing w:before="0" w:after="0" w:line="240" w:lineRule="auto"/>
            </w:pPr>
            <w:r>
              <w:rPr>
                <w:rFonts w:ascii="Consolas" w:hAnsi="Consolas"/>
                <w:sz w:val="17"/>
              </w:rPr>
              <w:t xml:space="preserve"> 9. if two-phase uncertain:</w:t>
            </w:r>
          </w:p>
          <w:p>
            <w:pPr>
              <w:spacing w:before="0" w:after="0" w:line="240" w:lineRule="auto"/>
            </w:pPr>
            <w:r>
              <w:rPr>
                <w:rFonts w:ascii="Consolas" w:hAnsi="Consolas"/>
                <w:sz w:val="17"/>
              </w:rPr>
              <w:t>10.     (stable, K_new) ← StabilityAnalysis(z, T, P, K)</w:t>
            </w:r>
          </w:p>
          <w:p>
            <w:pPr>
              <w:spacing w:before="0" w:after="0" w:line="240" w:lineRule="auto"/>
            </w:pPr>
            <w:r>
              <w:rPr>
                <w:rFonts w:ascii="Consolas" w:hAnsi="Consolas"/>
                <w:sz w:val="17"/>
              </w:rPr>
              <w:t>11.     if stable and marginal: AmplifiedKRetry(K, z, T, P)</w:t>
            </w:r>
          </w:p>
          <w:p>
            <w:pPr>
              <w:spacing w:before="0" w:after="0" w:line="240" w:lineRule="auto"/>
            </w:pPr>
            <w:r>
              <w:rPr>
                <w:rFonts w:ascii="Consolas" w:hAnsi="Consolas"/>
                <w:sz w:val="17"/>
              </w:rPr>
              <w:t>12.     if stable: return SINGLE_PHASE</w:t>
            </w:r>
          </w:p>
          <w:p>
            <w:pPr>
              <w:spacing w:before="0" w:after="0" w:line="240" w:lineRule="auto"/>
            </w:pPr>
            <w:r>
              <w:rPr>
                <w:rFonts w:ascii="Consolas" w:hAnsi="Consolas"/>
                <w:sz w:val="17"/>
              </w:rPr>
              <w:t>13. // Main iteration</w:t>
            </w:r>
          </w:p>
          <w:p>
            <w:pPr>
              <w:spacing w:before="0" w:after="0" w:line="240" w:lineRule="auto"/>
            </w:pPr>
            <w:r>
              <w:rPr>
                <w:rFonts w:ascii="Consolas" w:hAnsi="Consolas"/>
                <w:sz w:val="17"/>
              </w:rPr>
              <w:t>14. ITERATE:</w:t>
            </w:r>
          </w:p>
          <w:p>
            <w:pPr>
              <w:spacing w:before="0" w:after="0" w:line="240" w:lineRule="auto"/>
            </w:pPr>
            <w:r>
              <w:rPr>
                <w:rFonts w:ascii="Consolas" w:hAnsi="Consolas"/>
                <w:sz w:val="17"/>
              </w:rPr>
              <w:t>15. for n = 1 to 50:</w:t>
            </w:r>
          </w:p>
          <w:p>
            <w:pPr>
              <w:spacing w:before="0" w:after="0" w:line="240" w:lineRule="auto"/>
            </w:pPr>
            <w:r>
              <w:rPr>
                <w:rFonts w:ascii="Consolas" w:hAnsi="Consolas"/>
                <w:sz w:val="17"/>
              </w:rPr>
              <w:t>16.     if n &lt; 12:</w:t>
            </w:r>
          </w:p>
          <w:p>
            <w:pPr>
              <w:spacing w:before="0" w:after="0" w:line="240" w:lineRule="auto"/>
            </w:pPr>
            <w:r>
              <w:rPr>
                <w:rFonts w:ascii="Consolas" w:hAnsi="Consolas"/>
                <w:sz w:val="17"/>
              </w:rPr>
              <w:t>17.         if n mod 5 == 0 and eligible: DEM_accelerate(K)</w:t>
            </w:r>
          </w:p>
          <w:p>
            <w:pPr>
              <w:spacing w:before="0" w:after="0" w:line="240" w:lineRule="auto"/>
            </w:pPr>
            <w:r>
              <w:rPr>
                <w:rFonts w:ascii="Consolas" w:hAnsi="Consolas"/>
                <w:sz w:val="17"/>
              </w:rPr>
              <w:t>18.         else: SS_update(K)</w:t>
            </w:r>
          </w:p>
          <w:p>
            <w:pPr>
              <w:spacing w:before="0" w:after="0" w:line="240" w:lineRule="auto"/>
            </w:pPr>
            <w:r>
              <w:rPr>
                <w:rFonts w:ascii="Consolas" w:hAnsi="Consolas"/>
                <w:sz w:val="17"/>
              </w:rPr>
              <w:t>19.     else:</w:t>
            </w:r>
          </w:p>
          <w:p>
            <w:pPr>
              <w:spacing w:before="0" w:after="0" w:line="240" w:lineRule="auto"/>
            </w:pPr>
            <w:r>
              <w:rPr>
                <w:rFonts w:ascii="Consolas" w:hAnsi="Consolas"/>
                <w:sz w:val="17"/>
              </w:rPr>
              <w:t>20.         Δu ← -J⁻¹g  (Newton with LM regularization)</w:t>
            </w:r>
          </w:p>
          <w:p>
            <w:pPr>
              <w:spacing w:before="0" w:after="0" w:line="240" w:lineRule="auto"/>
            </w:pPr>
            <w:r>
              <w:rPr>
                <w:rFonts w:ascii="Consolas" w:hAnsi="Consolas"/>
                <w:sz w:val="17"/>
              </w:rPr>
              <w:t>21.         u ← u + α·Δu  (Armijo backtracking)</w:t>
            </w:r>
          </w:p>
          <w:p>
            <w:pPr>
              <w:spacing w:before="0" w:after="0" w:line="240" w:lineRule="auto"/>
            </w:pPr>
            <w:r>
              <w:rPr>
                <w:rFonts w:ascii="Consolas" w:hAnsi="Consolas"/>
                <w:sz w:val="17"/>
              </w:rPr>
              <w:t>22.     if G increased: resetK()</w:t>
            </w:r>
          </w:p>
          <w:p>
            <w:pPr>
              <w:spacing w:before="0" w:after="0" w:line="240" w:lineRule="auto"/>
            </w:pPr>
            <w:r>
              <w:rPr>
                <w:rFonts w:ascii="Consolas" w:hAnsi="Consolas"/>
                <w:sz w:val="17"/>
              </w:rPr>
              <w:t>23.     if Σ|Δln K| &lt; 1e-10: return SUCCESS(β, x, y)</w:t>
            </w:r>
          </w:p>
          <w:p>
            <w:pPr>
              <w:spacing w:before="0" w:after="0" w:line="240" w:lineRule="auto"/>
            </w:pPr>
            <w:r>
              <w:rPr>
                <w:rFonts w:ascii="Consolas" w:hAnsi="Consolas"/>
                <w:sz w:val="17"/>
              </w:rPr>
              <w:t>24. return CONVERGED(β, x, y)</w:t>
            </w:r>
          </w:p>
        </w:tc>
      </w:tr>
    </w:tbl>
    <w:p/>
    <w:p>
      <w:pPr>
        <w:pStyle w:val="Heading2"/>
      </w:pPr>
      <w:r>
        <w:t>4. Benchmark Design</w:t>
      </w:r>
    </w:p>
    <w:p>
      <w:pPr>
        <w:pStyle w:val="Heading3"/>
      </w:pPr>
      <w:r>
        <w:t>4.1 Fluid families</w:t>
      </w:r>
    </w:p>
    <w:p>
      <w:r>
        <w:t>Six natural gas families are defined to span a representative range of thermodynamic behavior, from simple lean gases to complex wide-boiling condensates: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spacing w:before="40" w:after="40"/>
            </w:pPr>
            <w:r>
              <w:rPr>
                <w:sz w:val="18"/>
              </w:rPr>
            </w:r>
            <w:r>
              <w:rPr>
                <w:b/>
                <w:sz w:val="18"/>
              </w:rPr>
              <w:t>Family</w:t>
            </w:r>
          </w:p>
        </w:tc>
        <w:tc>
          <w:tcPr>
            <w:tcW w:type="dxa" w:w="1560"/>
            <w:shd w:val="clear" w:color="auto" w:fill="D6E4F0"/>
          </w:tcPr>
          <w:p>
            <w:pPr>
              <w:spacing w:before="40" w:after="40"/>
            </w:pPr>
            <w:r>
              <w:rPr>
                <w:sz w:val="18"/>
              </w:rPr>
            </w:r>
            <w:r>
              <w:rPr>
                <w:b/>
                <w:sz w:val="18"/>
              </w:rPr>
              <w:t>Key components</w:t>
            </w:r>
          </w:p>
        </w:tc>
        <w:tc>
          <w:tcPr>
            <w:tcW w:type="dxa" w:w="1560"/>
            <w:shd w:val="clear" w:color="auto" w:fill="D6E4F0"/>
          </w:tcPr>
          <w:p>
            <w:pPr>
              <w:spacing w:before="40" w:after="40"/>
            </w:pPr>
            <w:r>
              <w:rPr>
                <w:sz w:val="18"/>
              </w:rPr>
            </w:r>
            <m:oMath>
              <m:sSub>
                <m:e>
                  <m:r>
                    <m:t>N</m:t>
                  </m:r>
                </m:e>
                <m:sub>
                  <m:r>
                    <m:t>c</m:t>
                  </m:r>
                </m:sub>
              </m:sSub>
            </m:oMath>
          </w:p>
        </w:tc>
        <w:tc>
          <w:tcPr>
            <w:tcW w:type="dxa" w:w="1560"/>
            <w:shd w:val="clear" w:color="auto" w:fill="D6E4F0"/>
          </w:tcPr>
          <w:p>
            <w:pPr>
              <w:spacing w:before="40" w:after="40"/>
            </w:pPr>
            <w:r>
              <w:rPr>
                <w:sz w:val="18"/>
              </w:rPr>
            </w:r>
            <m:oMath>
              <m:r>
                <m:t>T</m:t>
              </m:r>
            </m:oMath>
            <w:r>
              <w:rPr>
                <w:b/>
                <w:sz w:val="18"/>
              </w:rPr>
              <w:t xml:space="preserve"> range (K)</w:t>
            </w:r>
          </w:p>
        </w:tc>
        <w:tc>
          <w:tcPr>
            <w:tcW w:type="dxa" w:w="1560"/>
            <w:shd w:val="clear" w:color="auto" w:fill="D6E4F0"/>
          </w:tcPr>
          <w:p>
            <w:pPr>
              <w:spacing w:before="40" w:after="40"/>
            </w:pPr>
            <w:r>
              <w:rPr>
                <w:sz w:val="18"/>
              </w:rPr>
            </w:r>
            <m:oMath>
              <m:r>
                <m:t>P</m:t>
              </m:r>
            </m:oMath>
            <w:r>
              <w:rPr>
                <w:b/>
                <w:sz w:val="18"/>
              </w:rPr>
              <w:t xml:space="preserve"> range (bar)</w:t>
            </w:r>
          </w:p>
        </w:tc>
        <w:tc>
          <w:tcPr>
            <w:tcW w:type="dxa" w:w="1560"/>
            <w:shd w:val="clear" w:color="auto" w:fill="D6E4F0"/>
          </w:tcPr>
          <w:p>
            <w:pPr>
              <w:spacing w:before="40" w:after="40"/>
            </w:pPr>
            <w:r>
              <w:rPr>
                <w:sz w:val="18"/>
              </w:rPr>
            </w:r>
            <w:r>
              <w:rPr>
                <w:b/>
                <w:sz w:val="18"/>
              </w:rPr>
              <w:t>Cases</w:t>
            </w:r>
          </w:p>
        </w:tc>
      </w:tr>
      <w:tr>
        <w:tc>
          <w:tcPr>
            <w:tcW w:type="dxa" w:w="1560"/>
          </w:tcPr>
          <w:p>
            <w:pPr>
              <w:spacing w:before="40" w:after="40"/>
            </w:pPr>
            <w:r>
              <w:rPr>
                <w:sz w:val="18"/>
              </w:rPr>
            </w:r>
            <w:r>
              <w:rPr>
                <w:sz w:val="18"/>
              </w:rPr>
              <w:t>Lean gas</w:t>
            </w:r>
          </w:p>
        </w:tc>
        <w:tc>
          <w:tcPr>
            <w:tcW w:type="dxa" w:w="1560"/>
          </w:tcPr>
          <w:p>
            <w:pPr>
              <w:spacing w:before="40" w:after="40"/>
            </w:pPr>
            <w:r>
              <w:rPr>
                <w:sz w:val="18"/>
              </w:rPr>
            </w:r>
            <w:r>
              <w:rPr>
                <w:sz w:val="18"/>
              </w:rPr>
              <w:t>CH</w:t>
            </w:r>
            <m:oMath>
              <m:sSub>
                <m:e>
                  <m:r>
                    <m:t/>
                  </m:r>
                </m:e>
                <m:sub>
                  <m:r>
                    <m:t>4</m:t>
                  </m:r>
                </m:sub>
              </m:sSub>
            </m:oMath>
            <w:r>
              <w:rPr>
                <w:sz w:val="18"/>
              </w:rPr>
              <w:t>, C</w:t>
            </w:r>
            <m:oMath>
              <m:sSub>
                <m:e>
                  <m:r>
                    <m:t/>
                  </m:r>
                </m:e>
                <m:sub>
                  <m:r>
                    <m:t>2</m:t>
                  </m:r>
                </m:sub>
              </m:sSub>
            </m:oMath>
            <w:r>
              <w:rPr>
                <w:sz w:val="18"/>
              </w:rPr>
              <w:t>H</w:t>
            </w:r>
            <m:oMath>
              <m:sSub>
                <m:e>
                  <m:r>
                    <m:t/>
                  </m:r>
                </m:e>
                <m:sub>
                  <m:r>
                    <m:t>6</m:t>
                  </m:r>
                </m:sub>
              </m:sSub>
            </m:oMath>
            <w:r>
              <w:rPr>
                <w:sz w:val="18"/>
              </w:rPr>
              <w:t>, C</w:t>
            </w:r>
            <m:oMath>
              <m:sSub>
                <m:e>
                  <m:r>
                    <m:t/>
                  </m:r>
                </m:e>
                <m:sub>
                  <m:r>
                    <m:t>3</m:t>
                  </m:r>
                </m:sub>
              </m:sSub>
            </m:oMath>
            <w:r>
              <w:rPr>
                <w:sz w:val="18"/>
              </w:rPr>
              <w:t>H</w:t>
            </w:r>
            <m:oMath>
              <m:sSub>
                <m:e>
                  <m:r>
                    <m:t/>
                  </m:r>
                </m:e>
                <m:sub>
                  <m:r>
                    <m:t>8</m:t>
                  </m:r>
                </m:sub>
              </m:sSub>
            </m:oMath>
            <w:r>
              <w:rPr>
                <w:sz w:val="18"/>
              </w:rPr>
              <w:t>, N</w:t>
            </w:r>
            <m:oMath>
              <m:sSub>
                <m:e>
                  <m:r>
                    <m:t/>
                  </m:r>
                </m:e>
                <m:sub>
                  <m:r>
                    <m:t>2</m:t>
                  </m:r>
                </m:sub>
              </m:sSub>
            </m:oMath>
            <w:r>
              <w:rPr>
                <w:sz w:val="18"/>
              </w:rPr>
              <w:t>, CO</w:t>
            </w:r>
            <m:oMath>
              <m:sSub>
                <m:e>
                  <m:r>
                    <m:t/>
                  </m:r>
                </m:e>
                <m:sub>
                  <m:r>
                    <m:t>2</m:t>
                  </m:r>
                </m:sub>
              </m:sSub>
            </m:oMath>
          </w:p>
        </w:tc>
        <w:tc>
          <w:tcPr>
            <w:tcW w:type="dxa" w:w="1560"/>
          </w:tcPr>
          <w:p>
            <w:pPr>
              <w:spacing w:before="40" w:after="40"/>
            </w:pPr>
            <w:r>
              <w:rPr>
                <w:sz w:val="18"/>
              </w:rPr>
            </w:r>
            <w:r>
              <w:rPr>
                <w:sz w:val="18"/>
              </w:rPr>
              <w:t>5</w:t>
            </w:r>
          </w:p>
        </w:tc>
        <w:tc>
          <w:tcPr>
            <w:tcW w:type="dxa" w:w="1560"/>
          </w:tcPr>
          <w:p>
            <w:pPr>
              <w:spacing w:before="40" w:after="40"/>
            </w:pPr>
            <w:r>
              <w:rPr>
                <w:sz w:val="18"/>
              </w:rPr>
            </w:r>
            <w:r>
              <w:rPr>
                <w:sz w:val="18"/>
              </w:rPr>
              <w:t>200–400</w:t>
            </w:r>
          </w:p>
        </w:tc>
        <w:tc>
          <w:tcPr>
            <w:tcW w:type="dxa" w:w="1560"/>
          </w:tcPr>
          <w:p>
            <w:pPr>
              <w:spacing w:before="40" w:after="40"/>
            </w:pPr>
            <w:r>
              <w:rPr>
                <w:sz w:val="18"/>
              </w:rPr>
            </w:r>
            <w:r>
              <w:rPr>
                <w:sz w:val="18"/>
              </w:rPr>
              <w:t>1–200</w:t>
            </w:r>
          </w:p>
        </w:tc>
        <w:tc>
          <w:tcPr>
            <w:tcW w:type="dxa" w:w="1560"/>
          </w:tcPr>
          <w:p>
            <w:pPr>
              <w:spacing w:before="40" w:after="40"/>
            </w:pPr>
            <w:r>
              <w:rPr>
                <w:sz w:val="18"/>
              </w:rPr>
            </w:r>
            <w:r>
              <w:rPr>
                <w:sz w:val="18"/>
              </w:rPr>
              <w:t>320</w:t>
            </w:r>
          </w:p>
        </w:tc>
      </w:tr>
      <w:tr>
        <w:tc>
          <w:tcPr>
            <w:tcW w:type="dxa" w:w="1560"/>
          </w:tcPr>
          <w:p>
            <w:pPr>
              <w:spacing w:before="40" w:after="40"/>
            </w:pPr>
            <w:r>
              <w:rPr>
                <w:sz w:val="18"/>
              </w:rPr>
            </w:r>
            <w:r>
              <w:rPr>
                <w:sz w:val="18"/>
              </w:rPr>
              <w:t>Rich gas</w:t>
            </w:r>
          </w:p>
        </w:tc>
        <w:tc>
          <w:tcPr>
            <w:tcW w:type="dxa" w:w="1560"/>
          </w:tcPr>
          <w:p>
            <w:pPr>
              <w:spacing w:before="40" w:after="40"/>
            </w:pPr>
            <w:r>
              <w:rPr>
                <w:sz w:val="18"/>
              </w:rPr>
            </w:r>
            <w:r>
              <w:rPr>
                <w:sz w:val="18"/>
              </w:rPr>
              <w:t>CH</w:t>
            </w:r>
            <m:oMath>
              <m:sSub>
                <m:e>
                  <m:r>
                    <m:t/>
                  </m:r>
                </m:e>
                <m:sub>
                  <m:r>
                    <m:t>4</m:t>
                  </m:r>
                </m:sub>
              </m:sSub>
            </m:oMath>
            <w:r>
              <w:rPr>
                <w:sz w:val="18"/>
              </w:rPr>
              <w:t>–</w:t>
            </w:r>
            <m:oMath>
              <m:r>
                <m:t>n</m:t>
              </m:r>
            </m:oMath>
            <w:r>
              <w:rPr>
                <w:sz w:val="18"/>
              </w:rPr>
              <w:t>C</w:t>
            </w:r>
            <m:oMath>
              <m:sSub>
                <m:e>
                  <m:r>
                    <m:t/>
                  </m:r>
                </m:e>
                <m:sub>
                  <m:r>
                    <m:t>5</m:t>
                  </m:r>
                </m:sub>
              </m:sSub>
            </m:oMath>
            <w:r>
              <w:rPr>
                <w:sz w:val="18"/>
              </w:rPr>
              <w:t>, N</w:t>
            </w:r>
            <m:oMath>
              <m:sSub>
                <m:e>
                  <m:r>
                    <m:t/>
                  </m:r>
                </m:e>
                <m:sub>
                  <m:r>
                    <m:t>2</m:t>
                  </m:r>
                </m:sub>
              </m:sSub>
            </m:oMath>
            <w:r>
              <w:rPr>
                <w:sz w:val="18"/>
              </w:rPr>
              <w:t>, CO</w:t>
            </w:r>
            <m:oMath>
              <m:sSub>
                <m:e>
                  <m:r>
                    <m:t/>
                  </m:r>
                </m:e>
                <m:sub>
                  <m:r>
                    <m:t>2</m:t>
                  </m:r>
                </m:sub>
              </m:sSub>
            </m:oMath>
          </w:p>
        </w:tc>
        <w:tc>
          <w:tcPr>
            <w:tcW w:type="dxa" w:w="1560"/>
          </w:tcPr>
          <w:p>
            <w:pPr>
              <w:spacing w:before="40" w:after="40"/>
            </w:pPr>
            <w:r>
              <w:rPr>
                <w:sz w:val="18"/>
              </w:rPr>
            </w:r>
            <w:r>
              <w:rPr>
                <w:sz w:val="18"/>
              </w:rPr>
              <w:t>7</w:t>
            </w:r>
          </w:p>
        </w:tc>
        <w:tc>
          <w:tcPr>
            <w:tcW w:type="dxa" w:w="1560"/>
          </w:tcPr>
          <w:p>
            <w:pPr>
              <w:spacing w:before="40" w:after="40"/>
            </w:pPr>
            <w:r>
              <w:rPr>
                <w:sz w:val="18"/>
              </w:rPr>
            </w:r>
            <w:r>
              <w:rPr>
                <w:sz w:val="18"/>
              </w:rPr>
              <w:t>220–450</w:t>
            </w:r>
          </w:p>
        </w:tc>
        <w:tc>
          <w:tcPr>
            <w:tcW w:type="dxa" w:w="1560"/>
          </w:tcPr>
          <w:p>
            <w:pPr>
              <w:spacing w:before="40" w:after="40"/>
            </w:pPr>
            <w:r>
              <w:rPr>
                <w:sz w:val="18"/>
              </w:rPr>
            </w:r>
            <w:r>
              <w:rPr>
                <w:sz w:val="18"/>
              </w:rPr>
              <w:t>5–300</w:t>
            </w:r>
          </w:p>
        </w:tc>
        <w:tc>
          <w:tcPr>
            <w:tcW w:type="dxa" w:w="1560"/>
          </w:tcPr>
          <w:p>
            <w:pPr>
              <w:spacing w:before="40" w:after="40"/>
            </w:pPr>
            <w:r>
              <w:rPr>
                <w:sz w:val="18"/>
              </w:rPr>
            </w:r>
            <w:r>
              <w:rPr>
                <w:sz w:val="18"/>
              </w:rPr>
              <w:t>320</w:t>
            </w:r>
          </w:p>
        </w:tc>
      </w:tr>
      <w:tr>
        <w:tc>
          <w:tcPr>
            <w:tcW w:type="dxa" w:w="1560"/>
          </w:tcPr>
          <w:p>
            <w:pPr>
              <w:spacing w:before="40" w:after="40"/>
            </w:pPr>
            <w:r>
              <w:rPr>
                <w:sz w:val="18"/>
              </w:rPr>
            </w:r>
            <w:r>
              <w:rPr>
                <w:sz w:val="18"/>
              </w:rPr>
              <w:t>Gas condensate</w:t>
            </w:r>
          </w:p>
        </w:tc>
        <w:tc>
          <w:tcPr>
            <w:tcW w:type="dxa" w:w="1560"/>
          </w:tcPr>
          <w:p>
            <w:pPr>
              <w:spacing w:before="40" w:after="40"/>
            </w:pPr>
            <w:r>
              <w:rPr>
                <w:sz w:val="18"/>
              </w:rPr>
            </w:r>
            <w:r>
              <w:rPr>
                <w:sz w:val="18"/>
              </w:rPr>
              <w:t>CH</w:t>
            </w:r>
            <m:oMath>
              <m:sSub>
                <m:e>
                  <m:r>
                    <m:t/>
                  </m:r>
                </m:e>
                <m:sub>
                  <m:r>
                    <m:t>4</m:t>
                  </m:r>
                </m:sub>
              </m:sSub>
            </m:oMath>
            <w:r>
              <w:rPr>
                <w:sz w:val="18"/>
              </w:rPr>
              <w:t>–</w:t>
            </w:r>
            <m:oMath>
              <m:r>
                <m:t>n</m:t>
              </m:r>
            </m:oMath>
            <w:r>
              <w:rPr>
                <w:sz w:val="18"/>
              </w:rPr>
              <w:t>C</w:t>
            </w:r>
            <m:oMath>
              <m:sSub>
                <m:e>
                  <m:r>
                    <m:t/>
                  </m:r>
                </m:e>
                <m:sub>
                  <m:r>
                    <m:t>10</m:t>
                  </m:r>
                </m:sub>
              </m:sSub>
            </m:oMath>
            <w:r>
              <w:rPr>
                <w:sz w:val="18"/>
              </w:rPr>
              <w:t>, N</w:t>
            </w:r>
            <m:oMath>
              <m:sSub>
                <m:e>
                  <m:r>
                    <m:t/>
                  </m:r>
                </m:e>
                <m:sub>
                  <m:r>
                    <m:t>2</m:t>
                  </m:r>
                </m:sub>
              </m:sSub>
            </m:oMath>
            <w:r>
              <w:rPr>
                <w:sz w:val="18"/>
              </w:rPr>
              <w:t>, CO</w:t>
            </w:r>
            <m:oMath>
              <m:sSub>
                <m:e>
                  <m:r>
                    <m:t/>
                  </m:r>
                </m:e>
                <m:sub>
                  <m:r>
                    <m:t>2</m:t>
                  </m:r>
                </m:sub>
              </m:sSub>
            </m:oMath>
          </w:p>
        </w:tc>
        <w:tc>
          <w:tcPr>
            <w:tcW w:type="dxa" w:w="1560"/>
          </w:tcPr>
          <w:p>
            <w:pPr>
              <w:spacing w:before="40" w:after="40"/>
            </w:pPr>
            <w:r>
              <w:rPr>
                <w:sz w:val="18"/>
              </w:rPr>
            </w:r>
            <w:r>
              <w:rPr>
                <w:sz w:val="18"/>
              </w:rPr>
              <w:t>10</w:t>
            </w:r>
          </w:p>
        </w:tc>
        <w:tc>
          <w:tcPr>
            <w:tcW w:type="dxa" w:w="1560"/>
          </w:tcPr>
          <w:p>
            <w:pPr>
              <w:spacing w:before="40" w:after="40"/>
            </w:pPr>
            <w:r>
              <w:rPr>
                <w:sz w:val="18"/>
              </w:rPr>
            </w:r>
            <w:r>
              <w:rPr>
                <w:sz w:val="18"/>
              </w:rPr>
              <w:t>250–500</w:t>
            </w:r>
          </w:p>
        </w:tc>
        <w:tc>
          <w:tcPr>
            <w:tcW w:type="dxa" w:w="1560"/>
          </w:tcPr>
          <w:p>
            <w:pPr>
              <w:spacing w:before="40" w:after="40"/>
            </w:pPr>
            <w:r>
              <w:rPr>
                <w:sz w:val="18"/>
              </w:rPr>
            </w:r>
            <w:r>
              <w:rPr>
                <w:sz w:val="18"/>
              </w:rPr>
              <w:t>10–500</w:t>
            </w:r>
          </w:p>
        </w:tc>
        <w:tc>
          <w:tcPr>
            <w:tcW w:type="dxa" w:w="1560"/>
          </w:tcPr>
          <w:p>
            <w:pPr>
              <w:spacing w:before="40" w:after="40"/>
            </w:pPr>
            <w:r>
              <w:rPr>
                <w:sz w:val="18"/>
              </w:rPr>
            </w:r>
            <w:r>
              <w:rPr>
                <w:sz w:val="18"/>
              </w:rPr>
              <w:t>256</w:t>
            </w:r>
          </w:p>
        </w:tc>
      </w:tr>
      <w:tr>
        <w:tc>
          <w:tcPr>
            <w:tcW w:type="dxa" w:w="1560"/>
          </w:tcPr>
          <w:p>
            <w:pPr>
              <w:spacing w:before="40" w:after="40"/>
            </w:pPr>
            <w:r>
              <w:rPr>
                <w:sz w:val="18"/>
              </w:rPr>
            </w:r>
            <w:r>
              <w:rPr>
                <w:sz w:val="18"/>
              </w:rPr>
              <w:t>CO</w:t>
            </w:r>
            <m:oMath>
              <m:sSub>
                <m:e>
                  <m:r>
                    <m:t/>
                  </m:r>
                </m:e>
                <m:sub>
                  <m:r>
                    <m:t>2</m:t>
                  </m:r>
                </m:sub>
              </m:sSub>
            </m:oMath>
            <w:r>
              <w:rPr>
                <w:sz w:val="18"/>
              </w:rPr>
              <w:t>-rich</w:t>
            </w:r>
          </w:p>
        </w:tc>
        <w:tc>
          <w:tcPr>
            <w:tcW w:type="dxa" w:w="1560"/>
          </w:tcPr>
          <w:p>
            <w:pPr>
              <w:spacing w:before="40" w:after="40"/>
            </w:pPr>
            <w:r>
              <w:rPr>
                <w:sz w:val="18"/>
              </w:rPr>
            </w:r>
            <w:r>
              <w:rPr>
                <w:sz w:val="18"/>
              </w:rPr>
              <w:t>CO</w:t>
            </w:r>
            <m:oMath>
              <m:sSub>
                <m:e>
                  <m:r>
                    <m:t/>
                  </m:r>
                </m:e>
                <m:sub>
                  <m:r>
                    <m:t>2</m:t>
                  </m:r>
                </m:sub>
              </m:sSub>
            </m:oMath>
            <w:r>
              <w:rPr>
                <w:sz w:val="18"/>
              </w:rPr>
              <w:t>, CH</w:t>
            </w:r>
            <m:oMath>
              <m:sSub>
                <m:e>
                  <m:r>
                    <m:t/>
                  </m:r>
                </m:e>
                <m:sub>
                  <m:r>
                    <m:t>4</m:t>
                  </m:r>
                </m:sub>
              </m:sSub>
            </m:oMath>
            <w:r>
              <w:rPr>
                <w:sz w:val="18"/>
              </w:rPr>
              <w:t>, C</w:t>
            </w:r>
            <m:oMath>
              <m:sSub>
                <m:e>
                  <m:r>
                    <m:t/>
                  </m:r>
                </m:e>
                <m:sub>
                  <m:r>
                    <m:t>2</m:t>
                  </m:r>
                </m:sub>
              </m:sSub>
            </m:oMath>
            <w:r>
              <w:rPr>
                <w:sz w:val="18"/>
              </w:rPr>
              <w:t>H</w:t>
            </w:r>
            <m:oMath>
              <m:sSub>
                <m:e>
                  <m:r>
                    <m:t/>
                  </m:r>
                </m:e>
                <m:sub>
                  <m:r>
                    <m:t>6</m:t>
                  </m:r>
                </m:sub>
              </m:sSub>
            </m:oMath>
            <w:r>
              <w:rPr>
                <w:sz w:val="18"/>
              </w:rPr>
              <w:t>, H</w:t>
            </w:r>
            <m:oMath>
              <m:sSub>
                <m:e>
                  <m:r>
                    <m:t/>
                  </m:r>
                </m:e>
                <m:sub>
                  <m:r>
                    <m:t>2</m:t>
                  </m:r>
                </m:sub>
              </m:sSub>
            </m:oMath>
            <w:r>
              <w:rPr>
                <w:sz w:val="18"/>
              </w:rPr>
              <w:t>S</w:t>
            </w:r>
          </w:p>
        </w:tc>
        <w:tc>
          <w:tcPr>
            <w:tcW w:type="dxa" w:w="1560"/>
          </w:tcPr>
          <w:p>
            <w:pPr>
              <w:spacing w:before="40" w:after="40"/>
            </w:pPr>
            <w:r>
              <w:rPr>
                <w:sz w:val="18"/>
              </w:rPr>
            </w:r>
            <w:r>
              <w:rPr>
                <w:sz w:val="18"/>
              </w:rPr>
              <w:t>4</w:t>
            </w:r>
          </w:p>
        </w:tc>
        <w:tc>
          <w:tcPr>
            <w:tcW w:type="dxa" w:w="1560"/>
          </w:tcPr>
          <w:p>
            <w:pPr>
              <w:spacing w:before="40" w:after="40"/>
            </w:pPr>
            <w:r>
              <w:rPr>
                <w:sz w:val="18"/>
              </w:rPr>
            </w:r>
            <w:r>
              <w:rPr>
                <w:sz w:val="18"/>
              </w:rPr>
              <w:t>220–400</w:t>
            </w:r>
          </w:p>
        </w:tc>
        <w:tc>
          <w:tcPr>
            <w:tcW w:type="dxa" w:w="1560"/>
          </w:tcPr>
          <w:p>
            <w:pPr>
              <w:spacing w:before="40" w:after="40"/>
            </w:pPr>
            <w:r>
              <w:rPr>
                <w:sz w:val="18"/>
              </w:rPr>
            </w:r>
            <w:r>
              <w:rPr>
                <w:sz w:val="18"/>
              </w:rPr>
              <w:t>10–300</w:t>
            </w:r>
          </w:p>
        </w:tc>
        <w:tc>
          <w:tcPr>
            <w:tcW w:type="dxa" w:w="1560"/>
          </w:tcPr>
          <w:p>
            <w:pPr>
              <w:spacing w:before="40" w:after="40"/>
            </w:pPr>
            <w:r>
              <w:rPr>
                <w:sz w:val="18"/>
              </w:rPr>
            </w:r>
            <w:r>
              <w:rPr>
                <w:sz w:val="18"/>
              </w:rPr>
              <w:t>256</w:t>
            </w:r>
          </w:p>
        </w:tc>
      </w:tr>
      <w:tr>
        <w:tc>
          <w:tcPr>
            <w:tcW w:type="dxa" w:w="1560"/>
          </w:tcPr>
          <w:p>
            <w:pPr>
              <w:spacing w:before="40" w:after="40"/>
            </w:pPr>
            <w:r>
              <w:rPr>
                <w:sz w:val="18"/>
              </w:rPr>
            </w:r>
            <w:r>
              <w:rPr>
                <w:sz w:val="18"/>
              </w:rPr>
              <w:t>Wide-boiling</w:t>
            </w:r>
          </w:p>
        </w:tc>
        <w:tc>
          <w:tcPr>
            <w:tcW w:type="dxa" w:w="1560"/>
          </w:tcPr>
          <w:p>
            <w:pPr>
              <w:spacing w:before="40" w:after="40"/>
            </w:pPr>
            <w:r>
              <w:rPr>
                <w:sz w:val="18"/>
              </w:rPr>
            </w:r>
            <w:r>
              <w:rPr>
                <w:sz w:val="18"/>
              </w:rPr>
              <w:t>CH</w:t>
            </w:r>
            <m:oMath>
              <m:sSub>
                <m:e>
                  <m:r>
                    <m:t/>
                  </m:r>
                </m:e>
                <m:sub>
                  <m:r>
                    <m:t>4</m:t>
                  </m:r>
                </m:sub>
              </m:sSub>
            </m:oMath>
            <w:r>
              <w:rPr>
                <w:sz w:val="18"/>
              </w:rPr>
              <w:t>–</w:t>
            </w:r>
            <m:oMath>
              <m:r>
                <m:t>n</m:t>
              </m:r>
            </m:oMath>
            <w:r>
              <w:rPr>
                <w:sz w:val="18"/>
              </w:rPr>
              <w:t>C</w:t>
            </w:r>
            <m:oMath>
              <m:sSub>
                <m:e>
                  <m:r>
                    <m:t/>
                  </m:r>
                </m:e>
                <m:sub>
                  <m:r>
                    <m:t>10</m:t>
                  </m:r>
                </m:sub>
              </m:sSub>
            </m:oMath>
            <w:r>
              <w:rPr>
                <w:sz w:val="18"/>
              </w:rPr>
              <w:t xml:space="preserve">, </w:t>
            </w:r>
            <m:oMath>
              <m:r>
                <m:t>n</m:t>
              </m:r>
            </m:oMath>
            <w:r>
              <w:rPr>
                <w:sz w:val="18"/>
              </w:rPr>
              <w:t>C</w:t>
            </w:r>
            <m:oMath>
              <m:sSub>
                <m:e>
                  <m:r>
                    <m:t/>
                  </m:r>
                </m:e>
                <m:sub>
                  <m:r>
                    <m:t>16</m:t>
                  </m:r>
                </m:sub>
              </m:sSub>
            </m:oMath>
            <w:r>
              <w:rPr>
                <w:sz w:val="18"/>
              </w:rPr>
              <w:t>, N</w:t>
            </w:r>
            <m:oMath>
              <m:sSub>
                <m:e>
                  <m:r>
                    <m:t/>
                  </m:r>
                </m:e>
                <m:sub>
                  <m:r>
                    <m:t>2</m:t>
                  </m:r>
                </m:sub>
              </m:sSub>
            </m:oMath>
          </w:p>
        </w:tc>
        <w:tc>
          <w:tcPr>
            <w:tcW w:type="dxa" w:w="1560"/>
          </w:tcPr>
          <w:p>
            <w:pPr>
              <w:spacing w:before="40" w:after="40"/>
            </w:pPr>
            <w:r>
              <w:rPr>
                <w:sz w:val="18"/>
              </w:rPr>
            </w:r>
            <w:r>
              <w:rPr>
                <w:sz w:val="18"/>
              </w:rPr>
              <w:t>11</w:t>
            </w:r>
          </w:p>
        </w:tc>
        <w:tc>
          <w:tcPr>
            <w:tcW w:type="dxa" w:w="1560"/>
          </w:tcPr>
          <w:p>
            <w:pPr>
              <w:spacing w:before="40" w:after="40"/>
            </w:pPr>
            <w:r>
              <w:rPr>
                <w:sz w:val="18"/>
              </w:rPr>
            </w:r>
            <w:r>
              <w:rPr>
                <w:sz w:val="18"/>
              </w:rPr>
              <w:t>280–550</w:t>
            </w:r>
          </w:p>
        </w:tc>
        <w:tc>
          <w:tcPr>
            <w:tcW w:type="dxa" w:w="1560"/>
          </w:tcPr>
          <w:p>
            <w:pPr>
              <w:spacing w:before="40" w:after="40"/>
            </w:pPr>
            <w:r>
              <w:rPr>
                <w:sz w:val="18"/>
              </w:rPr>
            </w:r>
            <w:r>
              <w:rPr>
                <w:sz w:val="18"/>
              </w:rPr>
              <w:t>5–400</w:t>
            </w:r>
          </w:p>
        </w:tc>
        <w:tc>
          <w:tcPr>
            <w:tcW w:type="dxa" w:w="1560"/>
          </w:tcPr>
          <w:p>
            <w:pPr>
              <w:spacing w:before="40" w:after="40"/>
            </w:pPr>
            <w:r>
              <w:rPr>
                <w:sz w:val="18"/>
              </w:rPr>
            </w:r>
            <w:r>
              <w:rPr>
                <w:sz w:val="18"/>
              </w:rPr>
              <w:t>256</w:t>
            </w:r>
          </w:p>
        </w:tc>
      </w:tr>
      <w:tr>
        <w:tc>
          <w:tcPr>
            <w:tcW w:type="dxa" w:w="1560"/>
          </w:tcPr>
          <w:p>
            <w:pPr>
              <w:spacing w:before="40" w:after="40"/>
            </w:pPr>
            <w:r>
              <w:rPr>
                <w:sz w:val="18"/>
              </w:rPr>
            </w:r>
            <w:r>
              <w:rPr>
                <w:sz w:val="18"/>
              </w:rPr>
              <w:t>Sour gas</w:t>
            </w:r>
          </w:p>
        </w:tc>
        <w:tc>
          <w:tcPr>
            <w:tcW w:type="dxa" w:w="1560"/>
          </w:tcPr>
          <w:p>
            <w:pPr>
              <w:spacing w:before="40" w:after="40"/>
            </w:pPr>
            <w:r>
              <w:rPr>
                <w:sz w:val="18"/>
              </w:rPr>
            </w:r>
            <w:r>
              <w:rPr>
                <w:sz w:val="18"/>
              </w:rPr>
              <w:t>CH</w:t>
            </w:r>
            <m:oMath>
              <m:sSub>
                <m:e>
                  <m:r>
                    <m:t/>
                  </m:r>
                </m:e>
                <m:sub>
                  <m:r>
                    <m:t>4</m:t>
                  </m:r>
                </m:sub>
              </m:sSub>
            </m:oMath>
            <w:r>
              <w:rPr>
                <w:sz w:val="18"/>
              </w:rPr>
              <w:t>, CO</w:t>
            </w:r>
            <m:oMath>
              <m:sSub>
                <m:e>
                  <m:r>
                    <m:t/>
                  </m:r>
                </m:e>
                <m:sub>
                  <m:r>
                    <m:t>2</m:t>
                  </m:r>
                </m:sub>
              </m:sSub>
            </m:oMath>
            <w:r>
              <w:rPr>
                <w:sz w:val="18"/>
              </w:rPr>
              <w:t>, H</w:t>
            </w:r>
            <m:oMath>
              <m:sSub>
                <m:e>
                  <m:r>
                    <m:t/>
                  </m:r>
                </m:e>
                <m:sub>
                  <m:r>
                    <m:t>2</m:t>
                  </m:r>
                </m:sub>
              </m:sSub>
            </m:oMath>
            <w:r>
              <w:rPr>
                <w:sz w:val="18"/>
              </w:rPr>
              <w:t>S, C</w:t>
            </w:r>
            <m:oMath>
              <m:sSub>
                <m:e>
                  <m:r>
                    <m:t/>
                  </m:r>
                </m:e>
                <m:sub>
                  <m:r>
                    <m:t>2</m:t>
                  </m:r>
                </m:sub>
              </m:sSub>
            </m:oMath>
            <w:r>
              <w:rPr>
                <w:sz w:val="18"/>
              </w:rPr>
              <w:t>H</w:t>
            </w:r>
            <m:oMath>
              <m:sSub>
                <m:e>
                  <m:r>
                    <m:t/>
                  </m:r>
                </m:e>
                <m:sub>
                  <m:r>
                    <m:t>6</m:t>
                  </m:r>
                </m:sub>
              </m:sSub>
            </m:oMath>
          </w:p>
        </w:tc>
        <w:tc>
          <w:tcPr>
            <w:tcW w:type="dxa" w:w="1560"/>
          </w:tcPr>
          <w:p>
            <w:pPr>
              <w:spacing w:before="40" w:after="40"/>
            </w:pPr>
            <w:r>
              <w:rPr>
                <w:sz w:val="18"/>
              </w:rPr>
            </w:r>
            <w:r>
              <w:rPr>
                <w:sz w:val="18"/>
              </w:rPr>
              <w:t>4</w:t>
            </w:r>
          </w:p>
        </w:tc>
        <w:tc>
          <w:tcPr>
            <w:tcW w:type="dxa" w:w="1560"/>
          </w:tcPr>
          <w:p>
            <w:pPr>
              <w:spacing w:before="40" w:after="40"/>
            </w:pPr>
            <w:r>
              <w:rPr>
                <w:sz w:val="18"/>
              </w:rPr>
            </w:r>
            <w:r>
              <w:rPr>
                <w:sz w:val="18"/>
              </w:rPr>
              <w:t>250–420</w:t>
            </w:r>
          </w:p>
        </w:tc>
        <w:tc>
          <w:tcPr>
            <w:tcW w:type="dxa" w:w="1560"/>
          </w:tcPr>
          <w:p>
            <w:pPr>
              <w:spacing w:before="40" w:after="40"/>
            </w:pPr>
            <w:r>
              <w:rPr>
                <w:sz w:val="18"/>
              </w:rPr>
            </w:r>
            <w:r>
              <w:rPr>
                <w:sz w:val="18"/>
              </w:rPr>
              <w:t>10–250</w:t>
            </w:r>
          </w:p>
        </w:tc>
        <w:tc>
          <w:tcPr>
            <w:tcW w:type="dxa" w:w="1560"/>
          </w:tcPr>
          <w:p>
            <w:pPr>
              <w:spacing w:before="40" w:after="40"/>
            </w:pPr>
            <w:r>
              <w:rPr>
                <w:sz w:val="18"/>
              </w:rPr>
            </w:r>
            <w:r>
              <w:rPr>
                <w:sz w:val="18"/>
              </w:rPr>
              <w:t>256</w:t>
            </w:r>
          </w:p>
        </w:tc>
      </w:tr>
      <w:tr>
        <w:tc>
          <w:tcPr>
            <w:tcW w:type="dxa" w:w="1560"/>
          </w:tcPr>
          <w:p>
            <w:pPr>
              <w:spacing w:before="40" w:after="40"/>
            </w:pPr>
            <w:r>
              <w:rPr>
                <w:sz w:val="18"/>
              </w:rPr>
            </w:r>
            <w:r>
              <w:rPr>
                <w:b/>
                <w:sz w:val="18"/>
              </w:rPr>
              <w:t>Total</w:t>
            </w:r>
          </w:p>
        </w:tc>
        <w:tc>
          <w:tcPr>
            <w:tcW w:type="dxa" w:w="1560"/>
          </w:tcPr>
          <w:p>
            <w:pPr>
              <w:spacing w:before="40" w:after="40"/>
            </w:pPr>
            <w:r>
              <w:rPr>
                <w:sz w:val="18"/>
              </w:rPr>
            </w:r>
          </w:p>
        </w:tc>
        <w:tc>
          <w:tcPr>
            <w:tcW w:type="dxa" w:w="1560"/>
          </w:tcPr>
          <w:p>
            <w:pPr>
              <w:spacing w:before="40" w:after="40"/>
            </w:pPr>
            <w:r>
              <w:rPr>
                <w:sz w:val="18"/>
              </w:rPr>
            </w:r>
            <w:r>
              <w:rPr>
                <w:b/>
                <w:sz w:val="18"/>
              </w:rPr>
              <w:t>4–11</w:t>
            </w:r>
          </w:p>
        </w:tc>
        <w:tc>
          <w:tcPr>
            <w:tcW w:type="dxa" w:w="1560"/>
          </w:tcPr>
          <w:p>
            <w:pPr>
              <w:spacing w:before="40" w:after="40"/>
            </w:pPr>
            <w:r>
              <w:rPr>
                <w:sz w:val="18"/>
              </w:rPr>
            </w:r>
            <w:r>
              <w:rPr>
                <w:b/>
                <w:sz w:val="18"/>
              </w:rPr>
              <w:t>200–550</w:t>
            </w:r>
          </w:p>
        </w:tc>
        <w:tc>
          <w:tcPr>
            <w:tcW w:type="dxa" w:w="1560"/>
          </w:tcPr>
          <w:p>
            <w:pPr>
              <w:spacing w:before="40" w:after="40"/>
            </w:pPr>
            <w:r>
              <w:rPr>
                <w:sz w:val="18"/>
              </w:rPr>
            </w:r>
            <w:r>
              <w:rPr>
                <w:b/>
                <w:sz w:val="18"/>
              </w:rPr>
              <w:t>1–500</w:t>
            </w:r>
          </w:p>
        </w:tc>
        <w:tc>
          <w:tcPr>
            <w:tcW w:type="dxa" w:w="1560"/>
          </w:tcPr>
          <w:p>
            <w:pPr>
              <w:spacing w:before="40" w:after="40"/>
            </w:pPr>
            <w:r>
              <w:rPr>
                <w:sz w:val="18"/>
              </w:rPr>
            </w:r>
            <w:r>
              <w:rPr>
                <w:b/>
                <w:sz w:val="18"/>
              </w:rPr>
              <w:t>1664</w:t>
            </w:r>
          </w:p>
        </w:tc>
      </w:tr>
    </w:tbl>
    <w:p/>
    <w:p>
      <w:r>
        <w:t xml:space="preserve">For each family, 4–5 composition variants are generated by perturbing a physically representative base composition using a Dirichlet distribution (concentration parameter </w:t>
      </w:r>
      <m:oMath>
        <m:r>
          <m:t>α=5</m:t>
        </m:r>
      </m:oMath>
      <w:r>
        <w:t>, seed 42). Within each variant, an 8</w:t>
      </w:r>
      <m:oMath>
        <m:r>
          <m:t>×</m:t>
        </m:r>
      </m:oMath>
      <w:r>
        <w:t>8 grid of temperatures and pressures is constructed with logarithmic spacing in pressure, yielding 256–320 flash conditions per family and 1664 total cases.</w:t>
      </w:r>
    </w:p>
    <w:p>
      <w:pPr>
        <w:pStyle w:val="Heading3"/>
      </w:pPr>
      <w:r>
        <w:t>4.2 Equation of state</w:t>
      </w:r>
    </w:p>
    <w:p>
      <w:r>
        <w:t>All primary benchmarks use the Soave–Redlich–Kwong (SRK) EOS with classical van der Waals mixing rules (</w:t>
      </w:r>
      <m:oMath>
        <m:sSub>
          <m:e>
            <m:r>
              <m:t>k</m:t>
            </m:r>
          </m:e>
          <m:sub>
            <m:r>
              <m:t>ij</m:t>
            </m:r>
          </m:sub>
        </m:sSub>
        <m:r>
          <m:t>=0</m:t>
        </m:r>
      </m:oMath>
      <w:r>
        <w:t xml:space="preserve"> for all pairs). A secondary cross-check uses the Peng–Robinson (PR) EOS on a 15-point subset of the rich gas family to confirm that phase-identification results are EOS-independent.</w:t>
      </w:r>
    </w:p>
    <w:p>
      <w:pPr>
        <w:pStyle w:val="Heading3"/>
      </w:pPr>
      <w:r>
        <w:t>4.3 Computational environment</w:t>
      </w:r>
    </w:p>
    <w:p>
      <w:r>
        <w:t xml:space="preserve">All calculations use NeqSim via its Java API, accessed from Python through the </w:t>
      </w:r>
      <w:r>
        <w:rPr>
          <w:rFonts w:ascii="Consolas" w:hAnsi="Consolas"/>
          <w:sz w:val="20"/>
        </w:rPr>
        <w:t>jpype</w:t>
      </w:r>
      <w:r>
        <w:t xml:space="preserve"> bridge. Each flash is timed using </w:t>
      </w:r>
      <w:r>
        <w:rPr>
          <w:rFonts w:ascii="Consolas" w:hAnsi="Consolas"/>
          <w:sz w:val="20"/>
        </w:rPr>
        <w:t>time.perf_counter_ns()</w:t>
      </w:r>
      <w:r>
        <w:t xml:space="preserve"> and repeated 3 times, with the median taken as the representative value. The benchmark was executed on a single core of an Intel Core i9 workstation running Windows 11 with Java 21 (HotSpot JVM) and Python 3.12.</w:t>
      </w:r>
    </w:p>
    <w:p>
      <w:pPr>
        <w:pStyle w:val="Heading3"/>
      </w:pPr>
      <w:r>
        <w:t>4.4 Metrics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D6E4F0"/>
          </w:tcPr>
          <w:p>
            <w:pPr>
              <w:spacing w:before="40" w:after="40"/>
            </w:pPr>
            <w:r>
              <w:rPr>
                <w:sz w:val="18"/>
              </w:rPr>
            </w:r>
            <w:r>
              <w:rPr>
                <w:b/>
                <w:sz w:val="18"/>
              </w:rPr>
              <w:t>Metric</w:t>
            </w:r>
          </w:p>
        </w:tc>
        <w:tc>
          <w:tcPr>
            <w:tcW w:type="dxa" w:w="3120"/>
            <w:shd w:val="clear" w:color="auto" w:fill="D6E4F0"/>
          </w:tcPr>
          <w:p>
            <w:pPr>
              <w:spacing w:before="40" w:after="40"/>
            </w:pPr>
            <w:r>
              <w:rPr>
                <w:sz w:val="18"/>
              </w:rPr>
            </w:r>
            <w:r>
              <w:rPr>
                <w:b/>
                <w:sz w:val="18"/>
              </w:rPr>
              <w:t>Symbol</w:t>
            </w:r>
          </w:p>
        </w:tc>
        <w:tc>
          <w:tcPr>
            <w:tcW w:type="dxa" w:w="3120"/>
            <w:shd w:val="clear" w:color="auto" w:fill="D6E4F0"/>
          </w:tcPr>
          <w:p>
            <w:pPr>
              <w:spacing w:before="40" w:after="40"/>
            </w:pPr>
            <w:r>
              <w:rPr>
                <w:sz w:val="18"/>
              </w:rPr>
            </w:r>
            <w:r>
              <w:rPr>
                <w:b/>
                <w:sz w:val="18"/>
              </w:rPr>
              <w:t>Definition</w:t>
            </w:r>
          </w:p>
        </w:tc>
      </w:tr>
      <w:tr>
        <w:tc>
          <w:tcPr>
            <w:tcW w:type="dxa" w:w="3120"/>
          </w:tcPr>
          <w:p>
            <w:pPr>
              <w:spacing w:before="40" w:after="40"/>
            </w:pPr>
            <w:r>
              <w:rPr>
                <w:sz w:val="18"/>
              </w:rPr>
            </w:r>
            <w:r>
              <w:rPr>
                <w:sz w:val="18"/>
              </w:rPr>
              <w:t>Convergence rate</w:t>
            </w:r>
          </w:p>
        </w:tc>
        <w:tc>
          <w:tcPr>
            <w:tcW w:type="dxa" w:w="3120"/>
          </w:tcPr>
          <w:p>
            <w:pPr>
              <w:spacing w:before="40" w:after="40"/>
            </w:pPr>
            <w:r>
              <w:rPr>
                <w:sz w:val="18"/>
              </w:rPr>
            </w:r>
            <m:oMath>
              <m:r>
                <m:t>η</m:t>
              </m:r>
            </m:oMath>
          </w:p>
        </w:tc>
        <w:tc>
          <w:tcPr>
            <w:tcW w:type="dxa" w:w="3120"/>
          </w:tcPr>
          <w:p>
            <w:pPr>
              <w:spacing w:before="40" w:after="40"/>
            </w:pPr>
            <w:r>
              <w:rPr>
                <w:sz w:val="18"/>
              </w:rPr>
            </w:r>
            <w:r>
              <w:rPr>
                <w:sz w:val="18"/>
              </w:rPr>
              <w:t xml:space="preserve">Fraction converged to </w:t>
            </w:r>
            <m:oMath>
              <m:r>
                <m:t>ε&lt;</m:t>
              </m:r>
              <m:sSup>
                <m:e>
                  <m:r>
                    <m:t>10</m:t>
                  </m:r>
                </m:e>
                <m:sup>
                  <m:r>
                    <m:t>−10</m:t>
                  </m:r>
                </m:sup>
              </m:sSup>
            </m:oMath>
          </w:p>
        </w:tc>
      </w:tr>
      <w:tr>
        <w:tc>
          <w:tcPr>
            <w:tcW w:type="dxa" w:w="3120"/>
          </w:tcPr>
          <w:p>
            <w:pPr>
              <w:spacing w:before="40" w:after="40"/>
            </w:pPr>
            <w:r>
              <w:rPr>
                <w:sz w:val="18"/>
              </w:rPr>
            </w:r>
            <w:r>
              <w:rPr>
                <w:sz w:val="18"/>
              </w:rPr>
              <w:t>CPU time</w:t>
            </w:r>
          </w:p>
        </w:tc>
        <w:tc>
          <w:tcPr>
            <w:tcW w:type="dxa" w:w="3120"/>
          </w:tcPr>
          <w:p>
            <w:pPr>
              <w:spacing w:before="40" w:after="40"/>
            </w:pPr>
            <w:r>
              <w:rPr>
                <w:sz w:val="18"/>
              </w:rPr>
            </w:r>
            <m:oMath>
              <m:r>
                <m:t>t</m:t>
              </m:r>
            </m:oMath>
          </w:p>
        </w:tc>
        <w:tc>
          <w:tcPr>
            <w:tcW w:type="dxa" w:w="3120"/>
          </w:tcPr>
          <w:p>
            <w:pPr>
              <w:spacing w:before="40" w:after="40"/>
            </w:pPr>
            <w:r>
              <w:rPr>
                <w:sz w:val="18"/>
              </w:rPr>
            </w:r>
            <w:r>
              <w:rPr>
                <w:sz w:val="18"/>
              </w:rPr>
              <w:t>Wall-clock time per flash (ms), median of 3 repeats</w:t>
            </w:r>
          </w:p>
        </w:tc>
      </w:tr>
      <w:tr>
        <w:tc>
          <w:tcPr>
            <w:tcW w:type="dxa" w:w="3120"/>
          </w:tcPr>
          <w:p>
            <w:pPr>
              <w:spacing w:before="40" w:after="40"/>
            </w:pPr>
            <w:r>
              <w:rPr>
                <w:sz w:val="18"/>
              </w:rPr>
            </w:r>
            <w:r>
              <w:rPr>
                <w:sz w:val="18"/>
              </w:rPr>
              <w:t>Two-phase fraction</w:t>
            </w:r>
          </w:p>
        </w:tc>
        <w:tc>
          <w:tcPr>
            <w:tcW w:type="dxa" w:w="3120"/>
          </w:tcPr>
          <w:p>
            <w:pPr>
              <w:spacing w:before="40" w:after="40"/>
            </w:pPr>
            <w:r>
              <w:rPr>
                <w:sz w:val="18"/>
              </w:rPr>
            </w:r>
            <m:oMath>
              <m:sSub>
                <m:e>
                  <m:r>
                    <m:t>f</m:t>
                  </m:r>
                </m:e>
                <m:sub>
                  <m:r>
                    <m:t>2ϕ</m:t>
                  </m:r>
                </m:sub>
              </m:sSub>
            </m:oMath>
          </w:p>
        </w:tc>
        <w:tc>
          <w:tcPr>
            <w:tcW w:type="dxa" w:w="3120"/>
          </w:tcPr>
          <w:p>
            <w:pPr>
              <w:spacing w:before="40" w:after="40"/>
            </w:pPr>
            <w:r>
              <w:rPr>
                <w:sz w:val="18"/>
              </w:rPr>
            </w:r>
            <w:r>
              <w:rPr>
                <w:sz w:val="18"/>
              </w:rPr>
              <w:t xml:space="preserve">Fraction of cases with </w:t>
            </w:r>
            <m:oMath>
              <m:r>
                <m:t>0&lt;β&lt;1</m:t>
              </m:r>
            </m:oMath>
          </w:p>
        </w:tc>
      </w:tr>
      <w:tr>
        <w:tc>
          <w:tcPr>
            <w:tcW w:type="dxa" w:w="3120"/>
          </w:tcPr>
          <w:p>
            <w:pPr>
              <w:spacing w:before="40" w:after="40"/>
            </w:pPr>
            <w:r>
              <w:rPr>
                <w:sz w:val="18"/>
              </w:rPr>
            </w:r>
            <w:r>
              <w:rPr>
                <w:sz w:val="18"/>
              </w:rPr>
              <w:t>Vapor fraction</w:t>
            </w:r>
          </w:p>
        </w:tc>
        <w:tc>
          <w:tcPr>
            <w:tcW w:type="dxa" w:w="3120"/>
          </w:tcPr>
          <w:p>
            <w:pPr>
              <w:spacing w:before="40" w:after="40"/>
            </w:pPr>
            <w:r>
              <w:rPr>
                <w:sz w:val="18"/>
              </w:rPr>
            </w:r>
            <m:oMath>
              <m:r>
                <m:t>β</m:t>
              </m:r>
            </m:oMath>
          </w:p>
        </w:tc>
        <w:tc>
          <w:tcPr>
            <w:tcW w:type="dxa" w:w="3120"/>
          </w:tcPr>
          <w:p>
            <w:pPr>
              <w:spacing w:before="40" w:after="40"/>
            </w:pPr>
            <w:r>
              <w:rPr>
                <w:sz w:val="18"/>
              </w:rPr>
            </w:r>
            <w:r>
              <w:rPr>
                <w:sz w:val="18"/>
              </w:rPr>
              <w:t>Moles in vapor / total moles</w:t>
            </w:r>
          </w:p>
        </w:tc>
      </w:tr>
      <w:tr>
        <w:tc>
          <w:tcPr>
            <w:tcW w:type="dxa" w:w="3120"/>
          </w:tcPr>
          <w:p>
            <w:pPr>
              <w:spacing w:before="40" w:after="40"/>
            </w:pPr>
            <w:r>
              <w:rPr>
                <w:sz w:val="18"/>
              </w:rPr>
            </w:r>
            <w:r>
              <w:rPr>
                <w:sz w:val="18"/>
              </w:rPr>
              <w:t>Phase ID consistency</w:t>
            </w:r>
          </w:p>
        </w:tc>
        <w:tc>
          <w:tcPr>
            <w:tcW w:type="dxa" w:w="3120"/>
          </w:tcPr>
          <w:p>
            <w:pPr>
              <w:spacing w:before="40" w:after="40"/>
            </w:pPr>
            <w:r>
              <w:rPr>
                <w:sz w:val="18"/>
              </w:rPr>
            </w:r>
            <w:r>
              <w:rPr>
                <w:sz w:val="18"/>
              </w:rPr>
              <w:t>—</w:t>
            </w:r>
          </w:p>
        </w:tc>
        <w:tc>
          <w:tcPr>
            <w:tcW w:type="dxa" w:w="3120"/>
          </w:tcPr>
          <w:p>
            <w:pPr>
              <w:spacing w:before="40" w:after="40"/>
            </w:pPr>
            <w:r>
              <w:rPr>
                <w:sz w:val="18"/>
              </w:rPr>
            </w:r>
            <w:r>
              <w:rPr>
                <w:sz w:val="18"/>
              </w:rPr>
              <w:t>SRK vs PR agreement on single/two-phase flag</w:t>
            </w:r>
          </w:p>
        </w:tc>
      </w:tr>
    </w:tbl>
    <w:p/>
    <w:p>
      <w:pPr>
        <w:pStyle w:val="Heading2"/>
      </w:pPr>
      <w:r>
        <w:t>5. Results and Discussion</w:t>
      </w:r>
    </w:p>
    <w:p>
      <w:pPr>
        <w:pStyle w:val="Heading3"/>
      </w:pPr>
      <w:r>
        <w:t>5.1 Overall convergence</w:t>
      </w:r>
    </w:p>
    <w:p>
      <w:r>
        <w:t xml:space="preserve">The algorithm achieved </w:t>
      </w:r>
      <w:r>
        <w:rPr>
          <w:b/>
        </w:rPr>
        <w:t>100% convergence</w:t>
      </w:r>
      <w:r>
        <w:t xml:space="preserve"> across all 1664 flash cases. No failures, stalls, or non-physical phase splits were observed at any temperature–pressure condition in any of the six fluid families. Table 1 summarizes the per-family results.</w:t>
      </w:r>
    </w:p>
    <w:p>
      <w:r>
        <w:rPr>
          <w:b/>
        </w:rPr>
        <w:t>Table 1.</w:t>
      </w:r>
      <w:r>
        <w:t xml:space="preserve"> Convergence and timing summary by fluid family.</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6E4F0"/>
          </w:tcPr>
          <w:p>
            <w:pPr>
              <w:spacing w:before="40" w:after="40"/>
            </w:pPr>
            <w:r>
              <w:rPr>
                <w:sz w:val="18"/>
              </w:rPr>
            </w:r>
            <w:r>
              <w:rPr>
                <w:b/>
                <w:sz w:val="18"/>
              </w:rPr>
              <w:t>Family</w:t>
            </w:r>
          </w:p>
        </w:tc>
        <w:tc>
          <w:tcPr>
            <w:tcW w:type="dxa" w:w="1337"/>
            <w:shd w:val="clear" w:color="auto" w:fill="D6E4F0"/>
          </w:tcPr>
          <w:p>
            <w:pPr>
              <w:spacing w:before="40" w:after="40"/>
            </w:pPr>
            <w:r>
              <w:rPr>
                <w:sz w:val="18"/>
              </w:rPr>
            </w:r>
            <m:oMath>
              <m:sSub>
                <m:e>
                  <m:r>
                    <m:t>N</m:t>
                  </m:r>
                </m:e>
                <m:sub>
                  <m:r>
                    <m:t>c</m:t>
                  </m:r>
                </m:sub>
              </m:sSub>
            </m:oMath>
          </w:p>
        </w:tc>
        <w:tc>
          <w:tcPr>
            <w:tcW w:type="dxa" w:w="1337"/>
            <w:shd w:val="clear" w:color="auto" w:fill="D6E4F0"/>
          </w:tcPr>
          <w:p>
            <w:pPr>
              <w:spacing w:before="40" w:after="40"/>
            </w:pPr>
            <w:r>
              <w:rPr>
                <w:sz w:val="18"/>
              </w:rPr>
            </w:r>
            <w:r>
              <w:rPr>
                <w:b/>
                <w:sz w:val="18"/>
              </w:rPr>
              <w:t>Cases</w:t>
            </w:r>
          </w:p>
        </w:tc>
        <w:tc>
          <w:tcPr>
            <w:tcW w:type="dxa" w:w="1337"/>
            <w:shd w:val="clear" w:color="auto" w:fill="D6E4F0"/>
          </w:tcPr>
          <w:p>
            <w:pPr>
              <w:spacing w:before="40" w:after="40"/>
            </w:pPr>
            <w:r>
              <w:rPr>
                <w:sz w:val="18"/>
              </w:rPr>
            </w:r>
            <m:oMath>
              <m:r>
                <m:t>η</m:t>
              </m:r>
            </m:oMath>
            <w:r>
              <w:rPr>
                <w:b/>
                <w:sz w:val="18"/>
              </w:rPr>
              <w:t xml:space="preserve"> (%)</w:t>
            </w:r>
          </w:p>
        </w:tc>
        <w:tc>
          <w:tcPr>
            <w:tcW w:type="dxa" w:w="1337"/>
            <w:shd w:val="clear" w:color="auto" w:fill="D6E4F0"/>
          </w:tcPr>
          <w:p>
            <w:pPr>
              <w:spacing w:before="40" w:after="40"/>
            </w:pPr>
            <w:r>
              <w:rPr>
                <w:sz w:val="18"/>
              </w:rPr>
            </w:r>
            <m:oMath>
              <m:sSub>
                <m:e>
                  <m:r>
                    <m:t>f</m:t>
                  </m:r>
                </m:e>
                <m:sub>
                  <m:r>
                    <m:t>2ϕ</m:t>
                  </m:r>
                </m:sub>
              </m:sSub>
            </m:oMath>
            <w:r>
              <w:rPr>
                <w:b/>
                <w:sz w:val="18"/>
              </w:rPr>
              <w:t xml:space="preserve"> (%)</w:t>
            </w:r>
          </w:p>
        </w:tc>
        <w:tc>
          <w:tcPr>
            <w:tcW w:type="dxa" w:w="1337"/>
            <w:shd w:val="clear" w:color="auto" w:fill="D6E4F0"/>
          </w:tcPr>
          <w:p>
            <w:pPr>
              <w:spacing w:before="40" w:after="40"/>
            </w:pPr>
            <w:r>
              <w:rPr>
                <w:sz w:val="18"/>
              </w:rPr>
            </w:r>
            <m:oMath>
              <m:limUpp>
                <m:e>
                  <m:r>
                    <m:t>t</m:t>
                  </m:r>
                </m:e>
                <m:lim>
                  <m:r>
                    <m:t>~</m:t>
                  </m:r>
                </m:lim>
              </m:limUpp>
            </m:oMath>
            <w:r>
              <w:rPr>
                <w:b/>
                <w:sz w:val="18"/>
              </w:rPr>
              <w:t xml:space="preserve"> (ms)</w:t>
            </w:r>
          </w:p>
        </w:tc>
        <w:tc>
          <w:tcPr>
            <w:tcW w:type="dxa" w:w="1337"/>
            <w:shd w:val="clear" w:color="auto" w:fill="D6E4F0"/>
          </w:tcPr>
          <w:p>
            <w:pPr>
              <w:spacing w:before="40" w:after="40"/>
            </w:pPr>
            <w:r>
              <w:rPr>
                <w:sz w:val="18"/>
              </w:rPr>
            </w:r>
            <m:oMath>
              <m:sSub>
                <m:e>
                  <m:r>
                    <m:t>t</m:t>
                  </m:r>
                </m:e>
                <m:sub>
                  <m:r>
                    <m:t>P95</m:t>
                  </m:r>
                </m:sub>
              </m:sSub>
            </m:oMath>
            <w:r>
              <w:rPr>
                <w:b/>
                <w:sz w:val="18"/>
              </w:rPr>
              <w:t xml:space="preserve"> (ms)</w:t>
            </w:r>
          </w:p>
        </w:tc>
      </w:tr>
      <w:tr>
        <w:tc>
          <w:tcPr>
            <w:tcW w:type="dxa" w:w="1337"/>
          </w:tcPr>
          <w:p>
            <w:pPr>
              <w:spacing w:before="40" w:after="40"/>
            </w:pPr>
            <w:r>
              <w:rPr>
                <w:sz w:val="18"/>
              </w:rPr>
            </w:r>
            <w:r>
              <w:rPr>
                <w:sz w:val="18"/>
              </w:rPr>
              <w:t>CO</w:t>
            </w:r>
            <m:oMath>
              <m:sSub>
                <m:e>
                  <m:r>
                    <m:t/>
                  </m:r>
                </m:e>
                <m:sub>
                  <m:r>
                    <m:t>2</m:t>
                  </m:r>
                </m:sub>
              </m:sSub>
            </m:oMath>
            <w:r>
              <w:rPr>
                <w:sz w:val="18"/>
              </w:rPr>
              <w:t>-rich</w:t>
            </w:r>
          </w:p>
        </w:tc>
        <w:tc>
          <w:tcPr>
            <w:tcW w:type="dxa" w:w="1337"/>
          </w:tcPr>
          <w:p>
            <w:pPr>
              <w:spacing w:before="40" w:after="40"/>
            </w:pPr>
            <w:r>
              <w:rPr>
                <w:sz w:val="18"/>
              </w:rPr>
            </w:r>
            <w:r>
              <w:rPr>
                <w:sz w:val="18"/>
              </w:rPr>
              <w:t>4</w:t>
            </w:r>
          </w:p>
        </w:tc>
        <w:tc>
          <w:tcPr>
            <w:tcW w:type="dxa" w:w="1337"/>
          </w:tcPr>
          <w:p>
            <w:pPr>
              <w:spacing w:before="40" w:after="40"/>
            </w:pPr>
            <w:r>
              <w:rPr>
                <w:sz w:val="18"/>
              </w:rPr>
            </w:r>
            <w:r>
              <w:rPr>
                <w:sz w:val="18"/>
              </w:rPr>
              <w:t>256</w:t>
            </w:r>
          </w:p>
        </w:tc>
        <w:tc>
          <w:tcPr>
            <w:tcW w:type="dxa" w:w="1337"/>
          </w:tcPr>
          <w:p>
            <w:pPr>
              <w:spacing w:before="40" w:after="40"/>
            </w:pPr>
            <w:r>
              <w:rPr>
                <w:sz w:val="18"/>
              </w:rPr>
            </w:r>
            <w:r>
              <w:rPr>
                <w:sz w:val="18"/>
              </w:rPr>
              <w:t>100.0</w:t>
            </w:r>
          </w:p>
        </w:tc>
        <w:tc>
          <w:tcPr>
            <w:tcW w:type="dxa" w:w="1337"/>
          </w:tcPr>
          <w:p>
            <w:pPr>
              <w:spacing w:before="40" w:after="40"/>
            </w:pPr>
            <w:r>
              <w:rPr>
                <w:sz w:val="18"/>
              </w:rPr>
            </w:r>
            <w:r>
              <w:rPr>
                <w:sz w:val="18"/>
              </w:rPr>
              <w:t>5.9</w:t>
            </w:r>
          </w:p>
        </w:tc>
        <w:tc>
          <w:tcPr>
            <w:tcW w:type="dxa" w:w="1337"/>
          </w:tcPr>
          <w:p>
            <w:pPr>
              <w:spacing w:before="40" w:after="40"/>
            </w:pPr>
            <w:r>
              <w:rPr>
                <w:sz w:val="18"/>
              </w:rPr>
            </w:r>
            <w:r>
              <w:rPr>
                <w:sz w:val="18"/>
              </w:rPr>
              <w:t>0.039</w:t>
            </w:r>
          </w:p>
        </w:tc>
        <w:tc>
          <w:tcPr>
            <w:tcW w:type="dxa" w:w="1337"/>
          </w:tcPr>
          <w:p>
            <w:pPr>
              <w:spacing w:before="40" w:after="40"/>
            </w:pPr>
            <w:r>
              <w:rPr>
                <w:sz w:val="18"/>
              </w:rPr>
            </w:r>
            <w:r>
              <w:rPr>
                <w:sz w:val="18"/>
              </w:rPr>
              <w:t>0.078</w:t>
            </w:r>
          </w:p>
        </w:tc>
      </w:tr>
      <w:tr>
        <w:tc>
          <w:tcPr>
            <w:tcW w:type="dxa" w:w="1337"/>
          </w:tcPr>
          <w:p>
            <w:pPr>
              <w:spacing w:before="40" w:after="40"/>
            </w:pPr>
            <w:r>
              <w:rPr>
                <w:sz w:val="18"/>
              </w:rPr>
            </w:r>
            <w:r>
              <w:rPr>
                <w:sz w:val="18"/>
              </w:rPr>
              <w:t>Sour gas</w:t>
            </w:r>
          </w:p>
        </w:tc>
        <w:tc>
          <w:tcPr>
            <w:tcW w:type="dxa" w:w="1337"/>
          </w:tcPr>
          <w:p>
            <w:pPr>
              <w:spacing w:before="40" w:after="40"/>
            </w:pPr>
            <w:r>
              <w:rPr>
                <w:sz w:val="18"/>
              </w:rPr>
            </w:r>
            <w:r>
              <w:rPr>
                <w:sz w:val="18"/>
              </w:rPr>
              <w:t>4</w:t>
            </w:r>
          </w:p>
        </w:tc>
        <w:tc>
          <w:tcPr>
            <w:tcW w:type="dxa" w:w="1337"/>
          </w:tcPr>
          <w:p>
            <w:pPr>
              <w:spacing w:before="40" w:after="40"/>
            </w:pPr>
            <w:r>
              <w:rPr>
                <w:sz w:val="18"/>
              </w:rPr>
            </w:r>
            <w:r>
              <w:rPr>
                <w:sz w:val="18"/>
              </w:rPr>
              <w:t>256</w:t>
            </w:r>
          </w:p>
        </w:tc>
        <w:tc>
          <w:tcPr>
            <w:tcW w:type="dxa" w:w="1337"/>
          </w:tcPr>
          <w:p>
            <w:pPr>
              <w:spacing w:before="40" w:after="40"/>
            </w:pPr>
            <w:r>
              <w:rPr>
                <w:sz w:val="18"/>
              </w:rPr>
            </w:r>
            <w:r>
              <w:rPr>
                <w:sz w:val="18"/>
              </w:rPr>
              <w:t>100.0</w:t>
            </w:r>
          </w:p>
        </w:tc>
        <w:tc>
          <w:tcPr>
            <w:tcW w:type="dxa" w:w="1337"/>
          </w:tcPr>
          <w:p>
            <w:pPr>
              <w:spacing w:before="40" w:after="40"/>
            </w:pPr>
            <w:r>
              <w:rPr>
                <w:sz w:val="18"/>
              </w:rPr>
            </w:r>
            <w:r>
              <w:rPr>
                <w:sz w:val="18"/>
              </w:rPr>
              <w:t>2.7</w:t>
            </w:r>
          </w:p>
        </w:tc>
        <w:tc>
          <w:tcPr>
            <w:tcW w:type="dxa" w:w="1337"/>
          </w:tcPr>
          <w:p>
            <w:pPr>
              <w:spacing w:before="40" w:after="40"/>
            </w:pPr>
            <w:r>
              <w:rPr>
                <w:sz w:val="18"/>
              </w:rPr>
            </w:r>
            <w:r>
              <w:rPr>
                <w:sz w:val="18"/>
              </w:rPr>
              <w:t>0.041</w:t>
            </w:r>
          </w:p>
        </w:tc>
        <w:tc>
          <w:tcPr>
            <w:tcW w:type="dxa" w:w="1337"/>
          </w:tcPr>
          <w:p>
            <w:pPr>
              <w:spacing w:before="40" w:after="40"/>
            </w:pPr>
            <w:r>
              <w:rPr>
                <w:sz w:val="18"/>
              </w:rPr>
            </w:r>
            <w:r>
              <w:rPr>
                <w:sz w:val="18"/>
              </w:rPr>
              <w:t>0.146</w:t>
            </w:r>
          </w:p>
        </w:tc>
      </w:tr>
      <w:tr>
        <w:tc>
          <w:tcPr>
            <w:tcW w:type="dxa" w:w="1337"/>
          </w:tcPr>
          <w:p>
            <w:pPr>
              <w:spacing w:before="40" w:after="40"/>
            </w:pPr>
            <w:r>
              <w:rPr>
                <w:sz w:val="18"/>
              </w:rPr>
            </w:r>
            <w:r>
              <w:rPr>
                <w:sz w:val="18"/>
              </w:rPr>
              <w:t>Lean gas</w:t>
            </w:r>
          </w:p>
        </w:tc>
        <w:tc>
          <w:tcPr>
            <w:tcW w:type="dxa" w:w="1337"/>
          </w:tcPr>
          <w:p>
            <w:pPr>
              <w:spacing w:before="40" w:after="40"/>
            </w:pPr>
            <w:r>
              <w:rPr>
                <w:sz w:val="18"/>
              </w:rPr>
            </w:r>
            <w:r>
              <w:rPr>
                <w:sz w:val="18"/>
              </w:rPr>
              <w:t>5</w:t>
            </w:r>
          </w:p>
        </w:tc>
        <w:tc>
          <w:tcPr>
            <w:tcW w:type="dxa" w:w="1337"/>
          </w:tcPr>
          <w:p>
            <w:pPr>
              <w:spacing w:before="40" w:after="40"/>
            </w:pPr>
            <w:r>
              <w:rPr>
                <w:sz w:val="18"/>
              </w:rPr>
            </w:r>
            <w:r>
              <w:rPr>
                <w:sz w:val="18"/>
              </w:rPr>
              <w:t>320</w:t>
            </w:r>
          </w:p>
        </w:tc>
        <w:tc>
          <w:tcPr>
            <w:tcW w:type="dxa" w:w="1337"/>
          </w:tcPr>
          <w:p>
            <w:pPr>
              <w:spacing w:before="40" w:after="40"/>
            </w:pPr>
            <w:r>
              <w:rPr>
                <w:sz w:val="18"/>
              </w:rPr>
            </w:r>
            <w:r>
              <w:rPr>
                <w:sz w:val="18"/>
              </w:rPr>
              <w:t>100.0</w:t>
            </w:r>
          </w:p>
        </w:tc>
        <w:tc>
          <w:tcPr>
            <w:tcW w:type="dxa" w:w="1337"/>
          </w:tcPr>
          <w:p>
            <w:pPr>
              <w:spacing w:before="40" w:after="40"/>
            </w:pPr>
            <w:r>
              <w:rPr>
                <w:sz w:val="18"/>
              </w:rPr>
            </w:r>
            <w:r>
              <w:rPr>
                <w:sz w:val="18"/>
              </w:rPr>
              <w:t>4.1</w:t>
            </w:r>
          </w:p>
        </w:tc>
        <w:tc>
          <w:tcPr>
            <w:tcW w:type="dxa" w:w="1337"/>
          </w:tcPr>
          <w:p>
            <w:pPr>
              <w:spacing w:before="40" w:after="40"/>
            </w:pPr>
            <w:r>
              <w:rPr>
                <w:sz w:val="18"/>
              </w:rPr>
            </w:r>
            <w:r>
              <w:rPr>
                <w:sz w:val="18"/>
              </w:rPr>
              <w:t>0.085</w:t>
            </w:r>
          </w:p>
        </w:tc>
        <w:tc>
          <w:tcPr>
            <w:tcW w:type="dxa" w:w="1337"/>
          </w:tcPr>
          <w:p>
            <w:pPr>
              <w:spacing w:before="40" w:after="40"/>
            </w:pPr>
            <w:r>
              <w:rPr>
                <w:sz w:val="18"/>
              </w:rPr>
            </w:r>
            <w:r>
              <w:rPr>
                <w:sz w:val="18"/>
              </w:rPr>
              <w:t>0.342</w:t>
            </w:r>
          </w:p>
        </w:tc>
      </w:tr>
      <w:tr>
        <w:tc>
          <w:tcPr>
            <w:tcW w:type="dxa" w:w="1337"/>
          </w:tcPr>
          <w:p>
            <w:pPr>
              <w:spacing w:before="40" w:after="40"/>
            </w:pPr>
            <w:r>
              <w:rPr>
                <w:sz w:val="18"/>
              </w:rPr>
            </w:r>
            <w:r>
              <w:rPr>
                <w:sz w:val="18"/>
              </w:rPr>
              <w:t>Rich gas</w:t>
            </w:r>
          </w:p>
        </w:tc>
        <w:tc>
          <w:tcPr>
            <w:tcW w:type="dxa" w:w="1337"/>
          </w:tcPr>
          <w:p>
            <w:pPr>
              <w:spacing w:before="40" w:after="40"/>
            </w:pPr>
            <w:r>
              <w:rPr>
                <w:sz w:val="18"/>
              </w:rPr>
            </w:r>
            <w:r>
              <w:rPr>
                <w:sz w:val="18"/>
              </w:rPr>
              <w:t>7</w:t>
            </w:r>
          </w:p>
        </w:tc>
        <w:tc>
          <w:tcPr>
            <w:tcW w:type="dxa" w:w="1337"/>
          </w:tcPr>
          <w:p>
            <w:pPr>
              <w:spacing w:before="40" w:after="40"/>
            </w:pPr>
            <w:r>
              <w:rPr>
                <w:sz w:val="18"/>
              </w:rPr>
            </w:r>
            <w:r>
              <w:rPr>
                <w:sz w:val="18"/>
              </w:rPr>
              <w:t>320</w:t>
            </w:r>
          </w:p>
        </w:tc>
        <w:tc>
          <w:tcPr>
            <w:tcW w:type="dxa" w:w="1337"/>
          </w:tcPr>
          <w:p>
            <w:pPr>
              <w:spacing w:before="40" w:after="40"/>
            </w:pPr>
            <w:r>
              <w:rPr>
                <w:sz w:val="18"/>
              </w:rPr>
            </w:r>
            <w:r>
              <w:rPr>
                <w:sz w:val="18"/>
              </w:rPr>
              <w:t>100.0</w:t>
            </w:r>
          </w:p>
        </w:tc>
        <w:tc>
          <w:tcPr>
            <w:tcW w:type="dxa" w:w="1337"/>
          </w:tcPr>
          <w:p>
            <w:pPr>
              <w:spacing w:before="40" w:after="40"/>
            </w:pPr>
            <w:r>
              <w:rPr>
                <w:sz w:val="18"/>
              </w:rPr>
            </w:r>
            <w:r>
              <w:rPr>
                <w:sz w:val="18"/>
              </w:rPr>
              <w:t>25.9</w:t>
            </w:r>
          </w:p>
        </w:tc>
        <w:tc>
          <w:tcPr>
            <w:tcW w:type="dxa" w:w="1337"/>
          </w:tcPr>
          <w:p>
            <w:pPr>
              <w:spacing w:before="40" w:after="40"/>
            </w:pPr>
            <w:r>
              <w:rPr>
                <w:sz w:val="18"/>
              </w:rPr>
            </w:r>
            <w:r>
              <w:rPr>
                <w:sz w:val="18"/>
              </w:rPr>
              <w:t>0.148</w:t>
            </w:r>
          </w:p>
        </w:tc>
        <w:tc>
          <w:tcPr>
            <w:tcW w:type="dxa" w:w="1337"/>
          </w:tcPr>
          <w:p>
            <w:pPr>
              <w:spacing w:before="40" w:after="40"/>
            </w:pPr>
            <w:r>
              <w:rPr>
                <w:sz w:val="18"/>
              </w:rPr>
            </w:r>
            <w:r>
              <w:rPr>
                <w:sz w:val="18"/>
              </w:rPr>
              <w:t>0.393</w:t>
            </w:r>
          </w:p>
        </w:tc>
      </w:tr>
      <w:tr>
        <w:tc>
          <w:tcPr>
            <w:tcW w:type="dxa" w:w="1337"/>
          </w:tcPr>
          <w:p>
            <w:pPr>
              <w:spacing w:before="40" w:after="40"/>
            </w:pPr>
            <w:r>
              <w:rPr>
                <w:sz w:val="18"/>
              </w:rPr>
            </w:r>
            <w:r>
              <w:rPr>
                <w:sz w:val="18"/>
              </w:rPr>
              <w:t>Wide-boiling</w:t>
            </w:r>
          </w:p>
        </w:tc>
        <w:tc>
          <w:tcPr>
            <w:tcW w:type="dxa" w:w="1337"/>
          </w:tcPr>
          <w:p>
            <w:pPr>
              <w:spacing w:before="40" w:after="40"/>
            </w:pPr>
            <w:r>
              <w:rPr>
                <w:sz w:val="18"/>
              </w:rPr>
            </w:r>
            <w:r>
              <w:rPr>
                <w:sz w:val="18"/>
              </w:rPr>
              <w:t>11</w:t>
            </w:r>
          </w:p>
        </w:tc>
        <w:tc>
          <w:tcPr>
            <w:tcW w:type="dxa" w:w="1337"/>
          </w:tcPr>
          <w:p>
            <w:pPr>
              <w:spacing w:before="40" w:after="40"/>
            </w:pPr>
            <w:r>
              <w:rPr>
                <w:sz w:val="18"/>
              </w:rPr>
            </w:r>
            <w:r>
              <w:rPr>
                <w:sz w:val="18"/>
              </w:rPr>
              <w:t>256</w:t>
            </w:r>
          </w:p>
        </w:tc>
        <w:tc>
          <w:tcPr>
            <w:tcW w:type="dxa" w:w="1337"/>
          </w:tcPr>
          <w:p>
            <w:pPr>
              <w:spacing w:before="40" w:after="40"/>
            </w:pPr>
            <w:r>
              <w:rPr>
                <w:sz w:val="18"/>
              </w:rPr>
            </w:r>
            <w:r>
              <w:rPr>
                <w:sz w:val="18"/>
              </w:rPr>
              <w:t>100.0</w:t>
            </w:r>
          </w:p>
        </w:tc>
        <w:tc>
          <w:tcPr>
            <w:tcW w:type="dxa" w:w="1337"/>
          </w:tcPr>
          <w:p>
            <w:pPr>
              <w:spacing w:before="40" w:after="40"/>
            </w:pPr>
            <w:r>
              <w:rPr>
                <w:sz w:val="18"/>
              </w:rPr>
            </w:r>
            <w:r>
              <w:rPr>
                <w:sz w:val="18"/>
              </w:rPr>
              <w:t>49.2</w:t>
            </w:r>
          </w:p>
        </w:tc>
        <w:tc>
          <w:tcPr>
            <w:tcW w:type="dxa" w:w="1337"/>
          </w:tcPr>
          <w:p>
            <w:pPr>
              <w:spacing w:before="40" w:after="40"/>
            </w:pPr>
            <w:r>
              <w:rPr>
                <w:sz w:val="18"/>
              </w:rPr>
            </w:r>
            <w:r>
              <w:rPr>
                <w:sz w:val="18"/>
              </w:rPr>
              <w:t>0.119</w:t>
            </w:r>
          </w:p>
        </w:tc>
        <w:tc>
          <w:tcPr>
            <w:tcW w:type="dxa" w:w="1337"/>
          </w:tcPr>
          <w:p>
            <w:pPr>
              <w:spacing w:before="40" w:after="40"/>
            </w:pPr>
            <w:r>
              <w:rPr>
                <w:sz w:val="18"/>
              </w:rPr>
            </w:r>
            <w:r>
              <w:rPr>
                <w:sz w:val="18"/>
              </w:rPr>
              <w:t>0.467</w:t>
            </w:r>
          </w:p>
        </w:tc>
      </w:tr>
      <w:tr>
        <w:tc>
          <w:tcPr>
            <w:tcW w:type="dxa" w:w="1337"/>
          </w:tcPr>
          <w:p>
            <w:pPr>
              <w:spacing w:before="40" w:after="40"/>
            </w:pPr>
            <w:r>
              <w:rPr>
                <w:sz w:val="18"/>
              </w:rPr>
            </w:r>
            <w:r>
              <w:rPr>
                <w:sz w:val="18"/>
              </w:rPr>
              <w:t>Gas condensate</w:t>
            </w:r>
          </w:p>
        </w:tc>
        <w:tc>
          <w:tcPr>
            <w:tcW w:type="dxa" w:w="1337"/>
          </w:tcPr>
          <w:p>
            <w:pPr>
              <w:spacing w:before="40" w:after="40"/>
            </w:pPr>
            <w:r>
              <w:rPr>
                <w:sz w:val="18"/>
              </w:rPr>
            </w:r>
            <w:r>
              <w:rPr>
                <w:sz w:val="18"/>
              </w:rPr>
              <w:t>10</w:t>
            </w:r>
          </w:p>
        </w:tc>
        <w:tc>
          <w:tcPr>
            <w:tcW w:type="dxa" w:w="1337"/>
          </w:tcPr>
          <w:p>
            <w:pPr>
              <w:spacing w:before="40" w:after="40"/>
            </w:pPr>
            <w:r>
              <w:rPr>
                <w:sz w:val="18"/>
              </w:rPr>
            </w:r>
            <w:r>
              <w:rPr>
                <w:sz w:val="18"/>
              </w:rPr>
              <w:t>256</w:t>
            </w:r>
          </w:p>
        </w:tc>
        <w:tc>
          <w:tcPr>
            <w:tcW w:type="dxa" w:w="1337"/>
          </w:tcPr>
          <w:p>
            <w:pPr>
              <w:spacing w:before="40" w:after="40"/>
            </w:pPr>
            <w:r>
              <w:rPr>
                <w:sz w:val="18"/>
              </w:rPr>
            </w:r>
            <w:r>
              <w:rPr>
                <w:sz w:val="18"/>
              </w:rPr>
              <w:t>100.0</w:t>
            </w:r>
          </w:p>
        </w:tc>
        <w:tc>
          <w:tcPr>
            <w:tcW w:type="dxa" w:w="1337"/>
          </w:tcPr>
          <w:p>
            <w:pPr>
              <w:spacing w:before="40" w:after="40"/>
            </w:pPr>
            <w:r>
              <w:rPr>
                <w:sz w:val="18"/>
              </w:rPr>
            </w:r>
            <w:r>
              <w:rPr>
                <w:sz w:val="18"/>
              </w:rPr>
              <w:t>50.4</w:t>
            </w:r>
          </w:p>
        </w:tc>
        <w:tc>
          <w:tcPr>
            <w:tcW w:type="dxa" w:w="1337"/>
          </w:tcPr>
          <w:p>
            <w:pPr>
              <w:spacing w:before="40" w:after="40"/>
            </w:pPr>
            <w:r>
              <w:rPr>
                <w:sz w:val="18"/>
              </w:rPr>
            </w:r>
            <w:r>
              <w:rPr>
                <w:sz w:val="18"/>
              </w:rPr>
              <w:t>0.155</w:t>
            </w:r>
          </w:p>
        </w:tc>
        <w:tc>
          <w:tcPr>
            <w:tcW w:type="dxa" w:w="1337"/>
          </w:tcPr>
          <w:p>
            <w:pPr>
              <w:spacing w:before="40" w:after="40"/>
            </w:pPr>
            <w:r>
              <w:rPr>
                <w:sz w:val="18"/>
              </w:rPr>
            </w:r>
            <w:r>
              <w:rPr>
                <w:sz w:val="18"/>
              </w:rPr>
              <w:t>0.446</w:t>
            </w:r>
          </w:p>
        </w:tc>
      </w:tr>
      <w:tr>
        <w:tc>
          <w:tcPr>
            <w:tcW w:type="dxa" w:w="1337"/>
          </w:tcPr>
          <w:p>
            <w:pPr>
              <w:spacing w:before="40" w:after="40"/>
            </w:pPr>
            <w:r>
              <w:rPr>
                <w:sz w:val="18"/>
              </w:rPr>
            </w:r>
            <w:r>
              <w:rPr>
                <w:b/>
                <w:sz w:val="18"/>
              </w:rPr>
              <w:t>All</w:t>
            </w:r>
          </w:p>
        </w:tc>
        <w:tc>
          <w:tcPr>
            <w:tcW w:type="dxa" w:w="1337"/>
          </w:tcPr>
          <w:p>
            <w:pPr>
              <w:spacing w:before="40" w:after="40"/>
            </w:pPr>
            <w:r>
              <w:rPr>
                <w:sz w:val="18"/>
              </w:rPr>
            </w:r>
            <w:r>
              <w:rPr>
                <w:b/>
                <w:sz w:val="18"/>
              </w:rPr>
              <w:t>4–11</w:t>
            </w:r>
          </w:p>
        </w:tc>
        <w:tc>
          <w:tcPr>
            <w:tcW w:type="dxa" w:w="1337"/>
          </w:tcPr>
          <w:p>
            <w:pPr>
              <w:spacing w:before="40" w:after="40"/>
            </w:pPr>
            <w:r>
              <w:rPr>
                <w:sz w:val="18"/>
              </w:rPr>
            </w:r>
            <w:r>
              <w:rPr>
                <w:b/>
                <w:sz w:val="18"/>
              </w:rPr>
              <w:t>1664</w:t>
            </w:r>
          </w:p>
        </w:tc>
        <w:tc>
          <w:tcPr>
            <w:tcW w:type="dxa" w:w="1337"/>
          </w:tcPr>
          <w:p>
            <w:pPr>
              <w:spacing w:before="40" w:after="40"/>
            </w:pPr>
            <w:r>
              <w:rPr>
                <w:sz w:val="18"/>
              </w:rPr>
            </w:r>
            <w:r>
              <w:rPr>
                <w:b/>
                <w:sz w:val="18"/>
              </w:rPr>
              <w:t>100.0</w:t>
            </w:r>
          </w:p>
        </w:tc>
        <w:tc>
          <w:tcPr>
            <w:tcW w:type="dxa" w:w="1337"/>
          </w:tcPr>
          <w:p>
            <w:pPr>
              <w:spacing w:before="40" w:after="40"/>
            </w:pPr>
            <w:r>
              <w:rPr>
                <w:sz w:val="18"/>
              </w:rPr>
            </w:r>
            <w:r>
              <w:rPr>
                <w:b/>
                <w:sz w:val="18"/>
              </w:rPr>
              <w:t>22.4</w:t>
            </w:r>
          </w:p>
        </w:tc>
        <w:tc>
          <w:tcPr>
            <w:tcW w:type="dxa" w:w="1337"/>
          </w:tcPr>
          <w:p>
            <w:pPr>
              <w:spacing w:before="40" w:after="40"/>
            </w:pPr>
            <w:r>
              <w:rPr>
                <w:sz w:val="18"/>
              </w:rPr>
            </w:r>
            <w:r>
              <w:rPr>
                <w:b/>
                <w:sz w:val="18"/>
              </w:rPr>
              <w:t>0.088</w:t>
            </w:r>
          </w:p>
        </w:tc>
        <w:tc>
          <w:tcPr>
            <w:tcW w:type="dxa" w:w="1337"/>
          </w:tcPr>
          <w:p>
            <w:pPr>
              <w:spacing w:before="40" w:after="40"/>
            </w:pPr>
            <w:r>
              <w:rPr>
                <w:sz w:val="18"/>
              </w:rPr>
            </w:r>
            <w:r>
              <w:rPr>
                <w:b/>
                <w:sz w:val="18"/>
              </w:rPr>
              <w:t>0.371</w:t>
            </w:r>
          </w:p>
        </w:tc>
      </w:tr>
    </w:tbl>
    <w:p/>
    <w:p>
      <m:oMath>
        <m:limUpp>
          <m:e>
            <m:r>
              <m:t>t</m:t>
            </m:r>
          </m:e>
          <m:lim>
            <m:r>
              <m:t>~</m:t>
            </m:r>
          </m:lim>
        </m:limUpp>
      </m:oMath>
      <w:r>
        <w:t xml:space="preserve">: median CPU time; </w:t>
      </w:r>
      <m:oMath>
        <m:sSub>
          <m:e>
            <m:r>
              <m:t>t</m:t>
            </m:r>
          </m:e>
          <m:sub>
            <m:r>
              <m:t>P95</m:t>
            </m:r>
          </m:sub>
        </m:sSub>
      </m:oMath>
      <w:r>
        <w:t>: 95th-percentile CPU time.</w:t>
      </w:r>
    </w:p>
    <w:p>
      <w:r>
        <w:t>The 100% convergence rate across such a diverse set of conditions — including systems with significant CO</w:t>
      </w:r>
      <m:oMath>
        <m:sSub>
          <m:e>
            <m:r>
              <m:t/>
            </m:r>
          </m:e>
          <m:sub>
            <m:r>
              <m:t>2</m:t>
            </m:r>
          </m:sub>
        </m:sSub>
      </m:oMath>
      <w:r>
        <w:t xml:space="preserve"> and H</w:t>
      </w:r>
      <m:oMath>
        <m:sSub>
          <m:e>
            <m:r>
              <m:t/>
            </m:r>
          </m:e>
          <m:sub>
            <m:r>
              <m:t>2</m:t>
            </m:r>
          </m:sub>
        </m:sSub>
      </m:oMath>
      <w:r>
        <w:t xml:space="preserve">S content, wide-boiling mixtures spanning methane to </w:t>
      </w:r>
      <m:oMath>
        <m:r>
          <m:t>n</m:t>
        </m:r>
      </m:oMath>
      <w:r>
        <w:t>-hexadecane (11 components), and pressures from 1 to 500 bar — is a strong validation of the hybrid SS–DEM–NR approach with its Gibbs-energy safeguard.</w:t>
      </w:r>
    </w:p>
    <w:p>
      <w:pPr>
        <w:pStyle w:val="Heading3"/>
      </w:pPr>
      <w:r>
        <w:t>5.2 Phase distribution</w:t>
      </w:r>
    </w:p>
    <w:p>
      <w:r>
        <w:t>Of the 1664 cases, 373 (22.4%) are two-phase and 1291 (77.6%) are single-phase. The two-phase fraction varies markedly among families (Fig. 1):</w:t>
      </w:r>
    </w:p>
    <w:p>
      <w:r>
        <w:t xml:space="preserve">- </w:t>
      </w:r>
      <w:r>
        <w:rPr>
          <w:b/>
        </w:rPr>
        <w:t>Gas condensate</w:t>
      </w:r>
      <w:r>
        <w:t xml:space="preserve"> (50.4%) and </w:t>
      </w:r>
      <w:r>
        <w:rPr>
          <w:b/>
        </w:rPr>
        <w:t>wide-boiling</w:t>
      </w:r>
      <w:r>
        <w:t xml:space="preserve"> (49.2%) show the richest phase   behavior, reflecting the wide volatility range from methane (</w:t>
      </w:r>
      <m:oMath>
        <m:sSub>
          <m:e>
            <m:r>
              <m:t>T</m:t>
            </m:r>
          </m:e>
          <m:sub>
            <m:r>
              <m:t>c</m:t>
            </m:r>
          </m:sub>
        </m:sSub>
        <m:r>
          <m:t>=190.6</m:t>
        </m:r>
      </m:oMath>
      <w:r>
        <w:t xml:space="preserve"> K) to   </w:t>
      </w:r>
      <m:oMath>
        <m:r>
          <m:t>n</m:t>
        </m:r>
      </m:oMath>
      <w:r>
        <w:t>-decane/</w:t>
      </w:r>
      <m:oMath>
        <m:r>
          <m:t>n</m:t>
        </m:r>
      </m:oMath>
      <w:r>
        <w:t>-hexadecane (</w:t>
      </w:r>
      <m:oMath>
        <m:sSub>
          <m:e>
            <m:r>
              <m:t>T</m:t>
            </m:r>
          </m:e>
          <m:sub>
            <m:r>
              <m:t>c</m:t>
            </m:r>
          </m:sub>
        </m:sSub>
        <m:r>
          <m:t>&gt;617</m:t>
        </m:r>
      </m:oMath>
      <w:r>
        <w:t xml:space="preserve"> K). - </w:t>
      </w:r>
      <w:r>
        <w:rPr>
          <w:b/>
        </w:rPr>
        <w:t>Rich gas</w:t>
      </w:r>
      <w:r>
        <w:t xml:space="preserve"> has an intermediate two-phase fraction (25.9%). - </w:t>
      </w:r>
      <w:r>
        <w:rPr>
          <w:b/>
        </w:rPr>
        <w:t>Lean gas</w:t>
      </w:r>
      <w:r>
        <w:t xml:space="preserve"> (4.1%), </w:t>
      </w:r>
      <w:r>
        <w:rPr>
          <w:b/>
        </w:rPr>
      </w:r>
      <w:r>
        <w:t>CO</w:t>
      </w:r>
      <m:oMath>
        <m:sSub>
          <m:e>
            <m:r>
              <m:t/>
            </m:r>
          </m:e>
          <m:sub>
            <m:r>
              <m:t>2</m:t>
            </m:r>
          </m:sub>
        </m:sSub>
      </m:oMath>
      <w:r>
        <w:t>-rich</w:t>
      </w:r>
      <w:r>
        <w:rPr>
          <w:b/>
        </w:rPr>
        <w:t xml:space="preserve"> (5.9%), and </w:t>
      </w:r>
      <w:r>
        <w:t>sour gas</w:t>
      </w:r>
      <w:r>
        <w:rPr>
          <w:b/>
        </w:rPr>
      </w:r>
      <w:r>
        <w:t xml:space="preserve"> (2.7%) are   predominantly single-phase, as expected for systems dominated by supercritical   or near-critical conditions at the tested pressures.</w:t>
      </w:r>
    </w:p>
    <w:p>
      <w:r>
        <w:t xml:space="preserve">Fig. 2 maps each case in </w:t>
      </w:r>
      <m:oMath>
        <m:r>
          <m:t>T</m:t>
        </m:r>
      </m:oMath>
      <w:r>
        <w:t>-</w:t>
      </w:r>
      <m:oMath>
        <m:r>
          <m:t>P</m:t>
        </m:r>
      </m:oMath>
      <w:r>
        <w:t xml:space="preserve"> space for all six families, with color coding for phase count. The two-phase regions form coherent zones bounded by the bubble-point and dew-point curves, with no isolated misclassifications.</w:t>
      </w:r>
    </w:p>
    <w:p>
      <w:pPr>
        <w:pStyle w:val="Heading3"/>
      </w:pPr>
      <w:r>
        <w:t>5.3 Vapor fraction analysis</w:t>
      </w:r>
    </w:p>
    <w:p>
      <w:r>
        <w:t xml:space="preserve">Among the 373 two-phase cases, vapor fraction </w:t>
      </w:r>
      <m:oMath>
        <m:r>
          <m:t>β</m:t>
        </m:r>
      </m:oMath>
      <w:r>
        <w:t xml:space="preserve"> is strongly skewed toward gas-dominated equilibria (Fig. 4):</w:t>
      </w:r>
    </w:p>
    <w:p>
      <w:pPr>
        <w:pStyle w:val="ListBullet"/>
      </w:pPr>
      <w:r>
        <w:t xml:space="preserve">Mean </w:t>
      </w:r>
      <m:oMath>
        <m:r>
          <m:t>β=0.734</m:t>
        </m:r>
      </m:oMath>
    </w:p>
    <w:p>
      <w:pPr>
        <w:pStyle w:val="ListBullet"/>
      </w:pPr>
      <w:r>
        <w:t xml:space="preserve">310 cases (83.1%) have mid-range </w:t>
      </w:r>
      <m:oMath>
        <m:r>
          <m:t>β∈[0.05,0.95]</m:t>
        </m:r>
      </m:oMath>
    </w:p>
    <w:p>
      <w:pPr>
        <w:pStyle w:val="ListBullet"/>
      </w:pPr>
      <w:r>
        <w:t>58 cases (15.5%) are near-dew (</w:t>
      </w:r>
      <m:oMath>
        <m:r>
          <m:t>β&gt;0.95</m:t>
        </m:r>
      </m:oMath>
      <w:r>
        <w:t>)</w:t>
      </w:r>
    </w:p>
    <w:p>
      <w:pPr>
        <w:pStyle w:val="ListBullet"/>
      </w:pPr>
      <w:r>
        <w:t>5 cases (1.3%) are near-bubble (</w:t>
      </w:r>
      <m:oMath>
        <m:r>
          <m:t>β&lt;0.05</m:t>
        </m:r>
      </m:oMath>
      <w:r>
        <w:t>)</w:t>
      </w:r>
    </w:p>
    <w:p>
      <w:r>
        <w:t>The predominance of high-</w:t>
      </w:r>
      <m:oMath>
        <m:r>
          <m:t>β</m:t>
        </m:r>
      </m:oMath>
      <w:r>
        <w:t xml:space="preserve"> cases reflects the test matrix design: natural gas systems at moderate-to-high temperatures and pressures are more likely to be gas-rich or fully gaseous. Importantly, the algorithm converges reliably even at the extremes — near-bubble cases where the vapor fraction approaches zero — are among the most numerically challenging, with the liquid-phase volume approaching the total system volume.</w:t>
      </w:r>
    </w:p>
    <w:p>
      <w:pPr>
        <w:pStyle w:val="Heading3"/>
      </w:pPr>
      <w:r>
        <w:t>5.4 Timing analysis</w:t>
      </w:r>
    </w:p>
    <w:p>
      <w:r>
        <w:t xml:space="preserve">Median CPU time across all 1664 cases is </w:t>
      </w:r>
      <w:r>
        <w:rPr>
          <w:b/>
        </w:rPr>
        <w:t>0.088 ms</w:t>
      </w:r>
      <w:r>
        <w:t xml:space="preserve"> (mean 0.134 ms, standard deviation 0.132 ms). The timing distribution is right-skewed (Fig. 3): 75% of flashes complete in under 0.167 ms, and 95% in under 0.371 ms. The maximum observed time is 1.544 ms — still well within real-time requirements.</w:t>
      </w:r>
    </w:p>
    <w:p>
      <w:r>
        <w:rPr>
          <w:b/>
        </w:rPr>
        <w:t>Scaling with system size.</w:t>
      </w:r>
      <w:r>
        <w:t xml:space="preserve"> Fig. 5 shows median CPU time as a function of component count. The relationship is approximately linear:</w:t>
      </w:r>
    </w:p>
    <w:p>
      <w:pPr>
        <w:pStyle w:val="ListBullet"/>
      </w:pPr>
      <w:r>
        <w:t>4-component systems (CO</w:t>
      </w:r>
      <m:oMath>
        <m:sSub>
          <m:e>
            <m:r>
              <m:t/>
            </m:r>
          </m:e>
          <m:sub>
            <m:r>
              <m:t>2</m:t>
            </m:r>
          </m:sub>
        </m:sSub>
      </m:oMath>
      <w:r>
        <w:t xml:space="preserve">-rich, sour gas): </w:t>
      </w:r>
      <m:oMath>
        <m:limUpp>
          <m:e>
            <m:r>
              <m:t>t</m:t>
            </m:r>
          </m:e>
          <m:lim>
            <m:r>
              <m:t>~</m:t>
            </m:r>
          </m:lim>
        </m:limUpp>
        <m:r>
          <m:t>≈0.04</m:t>
        </m:r>
      </m:oMath>
      <w:r>
        <w:t xml:space="preserve"> ms</w:t>
      </w:r>
    </w:p>
    <w:p>
      <w:pPr>
        <w:pStyle w:val="ListBullet"/>
      </w:pPr>
      <w:r>
        <w:t xml:space="preserve">5-component (lean gas): </w:t>
      </w:r>
      <m:oMath>
        <m:limUpp>
          <m:e>
            <m:r>
              <m:t>t</m:t>
            </m:r>
          </m:e>
          <m:lim>
            <m:r>
              <m:t>~</m:t>
            </m:r>
          </m:lim>
        </m:limUpp>
        <m:r>
          <m:t>=0.085</m:t>
        </m:r>
      </m:oMath>
      <w:r>
        <w:t xml:space="preserve"> ms</w:t>
      </w:r>
    </w:p>
    <w:p>
      <w:pPr>
        <w:pStyle w:val="ListBullet"/>
      </w:pPr>
      <w:r>
        <w:t xml:space="preserve">7-component (rich gas): </w:t>
      </w:r>
      <m:oMath>
        <m:limUpp>
          <m:e>
            <m:r>
              <m:t>t</m:t>
            </m:r>
          </m:e>
          <m:lim>
            <m:r>
              <m:t>~</m:t>
            </m:r>
          </m:lim>
        </m:limUpp>
        <m:r>
          <m:t>=0.148</m:t>
        </m:r>
      </m:oMath>
      <w:r>
        <w:t xml:space="preserve"> ms</w:t>
      </w:r>
    </w:p>
    <w:p>
      <w:pPr>
        <w:pStyle w:val="ListBullet"/>
      </w:pPr>
      <w:r>
        <w:t xml:space="preserve">10-component (gas condensate): </w:t>
      </w:r>
      <m:oMath>
        <m:limUpp>
          <m:e>
            <m:r>
              <m:t>t</m:t>
            </m:r>
          </m:e>
          <m:lim>
            <m:r>
              <m:t>~</m:t>
            </m:r>
          </m:lim>
        </m:limUpp>
        <m:r>
          <m:t>=0.155</m:t>
        </m:r>
      </m:oMath>
      <w:r>
        <w:t xml:space="preserve"> ms</w:t>
      </w:r>
    </w:p>
    <w:p>
      <w:pPr>
        <w:pStyle w:val="ListBullet"/>
      </w:pPr>
      <w:r>
        <w:t xml:space="preserve">11-component (wide-boiling): </w:t>
      </w:r>
      <m:oMath>
        <m:limUpp>
          <m:e>
            <m:r>
              <m:t>t</m:t>
            </m:r>
          </m:e>
          <m:lim>
            <m:r>
              <m:t>~</m:t>
            </m:r>
          </m:lim>
        </m:limUpp>
        <m:r>
          <m:t>=0.119</m:t>
        </m:r>
      </m:oMath>
      <w:r>
        <w:t xml:space="preserve"> ms</w:t>
      </w:r>
    </w:p>
    <w:p>
      <w:r>
        <w:t xml:space="preserve">An approximate scaling of </w:t>
      </w:r>
      <m:oMath>
        <m:limUpp>
          <m:e>
            <m:r>
              <m:t>t</m:t>
            </m:r>
          </m:e>
          <m:lim>
            <m:r>
              <m:t>~</m:t>
            </m:r>
          </m:lim>
        </m:limUpp>
        <m:r>
          <m:t>≈0.015×</m:t>
        </m:r>
        <m:sSub>
          <m:e>
            <m:r>
              <m:t>N</m:t>
            </m:r>
          </m:e>
          <m:sub>
            <m:r>
              <m:t>c</m:t>
            </m:r>
          </m:sub>
        </m:sSub>
      </m:oMath>
      <w:r>
        <w:t xml:space="preserve"> ms accounts for the EOS-related operations (fugacity coefficients, composition derivatives) that scale as </w:t>
      </w:r>
      <m:oMath>
        <m:r>
          <m:t>O(</m:t>
        </m:r>
        <m:sSubSup>
          <m:e>
            <m:r>
              <m:t>N</m:t>
            </m:r>
          </m:e>
          <m:sub>
            <m:r>
              <m:t>c</m:t>
            </m:r>
          </m:sub>
          <m:sup>
            <m:r>
              <m:t>2</m:t>
            </m:r>
          </m:sup>
        </m:sSubSup>
        <m:r>
          <m:t>)</m:t>
        </m:r>
      </m:oMath>
      <w:r>
        <w:t xml:space="preserve"> per iteration. The 10-component gas condensate family is slightly slower than the 11-component wide-boiling family, which may reflect differences in the number of two-phase cases requiring NR iterations (50.4% vs. 49.2%) or compositional effects on convergence rate.</w:t>
      </w:r>
    </w:p>
    <w:p>
      <w:r>
        <w:rPr>
          <w:b/>
        </w:rPr>
        <w:t>Two-phase vs. single-phase cost.</w:t>
      </w:r>
      <w:r>
        <w:t xml:space="preserve"> Two-phase cases are systematically more expensive than single-phase cases because they require full Rachford-Rice solutions and, for difficult cases, Newton iterations. The 95th-percentile times for the gas condensate (</w:t>
      </w:r>
      <m:oMath>
        <m:sSub>
          <m:e>
            <m:r>
              <m:t>t</m:t>
            </m:r>
          </m:e>
          <m:sub>
            <m:r>
              <m:t>P95</m:t>
            </m:r>
          </m:sub>
        </m:sSub>
        <m:r>
          <m:t>=0.446</m:t>
        </m:r>
      </m:oMath>
      <w:r>
        <w:t xml:space="preserve"> ms) and wide-boiling (</w:t>
      </w:r>
      <m:oMath>
        <m:sSub>
          <m:e>
            <m:r>
              <m:t>t</m:t>
            </m:r>
          </m:e>
          <m:sub>
            <m:r>
              <m:t>P95</m:t>
            </m:r>
          </m:sub>
        </m:sSub>
        <m:r>
          <m:t>=0.467</m:t>
        </m:r>
      </m:oMath>
      <w:r>
        <w:t xml:space="preserve"> ms) families — which have </w:t>
      </w:r>
      <m:oMath>
        <m:r>
          <m:t>~</m:t>
        </m:r>
      </m:oMath>
      <w:r>
        <w:t>50% two-phase cases — are approximately 6× higher than for the sour gas (</w:t>
      </w:r>
      <m:oMath>
        <m:sSub>
          <m:e>
            <m:r>
              <m:t>t</m:t>
            </m:r>
          </m:e>
          <m:sub>
            <m:r>
              <m:t>P95</m:t>
            </m:r>
          </m:sub>
        </m:sSub>
        <m:r>
          <m:t>=0.146</m:t>
        </m:r>
      </m:oMath>
      <w:r>
        <w:t xml:space="preserve"> ms) family.</w:t>
      </w:r>
    </w:p>
    <w:p>
      <w:pPr>
        <w:pStyle w:val="Heading3"/>
      </w:pPr>
      <w:r>
        <w:t>5.5 EOS cross-validation</w:t>
      </w:r>
    </w:p>
    <w:p>
      <w:r>
        <w:t>A 15-point subset of the rich gas family (5 temperatures × 3 pressures) was evaluated with both SRK and Peng-Robinson EOS. Key findings:</w:t>
      </w:r>
    </w:p>
    <w:p>
      <w:r>
        <w:t xml:space="preserve">- </w:t>
      </w:r>
      <w:r>
        <w:rPr>
          <w:b/>
        </w:rPr>
        <w:t>Phase identification</w:t>
      </w:r>
      <w:r>
        <w:t xml:space="preserve"> was identical for all 15 conditions: both EOS detected   the same 5 two-phase and 10 single-phase cases. - </w:t>
      </w:r>
      <w:r>
        <w:rPr>
          <w:b/>
        </w:rPr>
        <w:t>Vapor fractions</w:t>
      </w:r>
      <w:r>
        <w:t xml:space="preserve"> in two-phase cases agreed to within 1%: e.g., at 220 K / 50 bar,   </w:t>
      </w:r>
      <m:oMath>
        <m:sSub>
          <m:e>
            <m:r>
              <m:t>β</m:t>
            </m:r>
          </m:e>
          <m:sub>
            <m:r>
              <m:rPr>
                <m:nor/>
              </m:rPr>
              <m:t>SRK</m:t>
            </m:r>
          </m:sub>
        </m:sSub>
        <m:r>
          <m:t>=0.475</m:t>
        </m:r>
      </m:oMath>
      <w:r>
        <w:t xml:space="preserve"> vs. </w:t>
      </w:r>
      <m:oMath>
        <m:sSub>
          <m:e>
            <m:r>
              <m:t>β</m:t>
            </m:r>
          </m:e>
          <m:sub>
            <m:r>
              <m:rPr>
                <m:nor/>
              </m:rPr>
              <m:t>PR</m:t>
            </m:r>
          </m:sub>
        </m:sSub>
        <m:r>
          <m:t>=0.463</m:t>
        </m:r>
      </m:oMath>
      <w:r>
        <w:t xml:space="preserve">. - </w:t>
      </w:r>
      <w:r>
        <w:rPr>
          <w:b/>
        </w:rPr>
        <w:t>Timing</w:t>
      </w:r>
      <w:r>
        <w:t xml:space="preserve"> with PR was somewhat faster (median 0.594 ms vs. 1.150 ms for SRK),   attributable to JVM warm-up effects — the SRK call occurred first in the sequence.</w:t>
      </w:r>
    </w:p>
    <w:p>
      <w:r>
        <w:t>The agreement on phase identification confirms that the algorithm's robustness is not an artifact of the EOS choice; the stability analysis and flash iteration machinery function correctly with different cubic EOS parameterizations.</w:t>
      </w:r>
    </w:p>
    <w:p>
      <w:pPr>
        <w:pStyle w:val="Heading3"/>
      </w:pPr>
      <w:r>
        <w:t>5.6 Near-critical behavior</w:t>
      </w:r>
    </w:p>
    <w:p>
      <w:r>
        <w:t>Fig. 6 examines timing behavior near phase boundaries. Near-dew-point cases (</w:t>
      </w:r>
      <m:oMath>
        <m:r>
          <m:t>β&gt;0.95</m:t>
        </m:r>
      </m:oMath>
      <w:r>
        <w:t>) show slightly elevated CPU times compared to well-separated two-phase conditions, reflecting additional SS or NR iterations needed as K-factors approach unity. However, no convergence failures were observed.</w:t>
      </w:r>
    </w:p>
    <w:p>
      <w:r>
        <w:t>The absence of near-critical failures can be attributed to two key safeguards in the algorithm:</w:t>
      </w:r>
    </w:p>
    <w:p>
      <w:r>
        <w:t xml:space="preserve">1. </w:t>
      </w:r>
      <w:r>
        <w:rPr>
          <w:b/>
        </w:rPr>
        <w:t>The amplified-K stability retry</w:t>
      </w:r>
      <w:r>
        <w:t xml:space="preserve"> (Section 3.4) provides additional trial    compositions that prevent the stability test from missing narrow two-phase    regions near the critical point. 2. </w:t>
      </w:r>
      <w:r>
        <w:rPr>
          <w:b/>
        </w:rPr>
        <w:t>The Gibbs energy safeguard</w:t>
      </w:r>
      <w:r>
        <w:t xml:space="preserve"> (Section 3.5) prevents divergence of the    Newton solver when the Hessian becomes nearly singular near the critical locus.</w:t>
      </w:r>
    </w:p>
    <w:p>
      <w:pPr>
        <w:pStyle w:val="Heading2"/>
      </w:pPr>
      <w:r>
        <w:t>6. Conclusions</w:t>
      </w:r>
    </w:p>
    <w:p>
      <w:r>
        <w:t>A systematic benchmark of NeqSim's hybrid SS–DEM–NR isothermal flash algorithm has been presented, covering 1664 flash conditions across six natural gas composition families with 4 to 11 components, temperatures from 200 to 550 K, and pressures from 1 to 500 bar.</w:t>
      </w:r>
    </w:p>
    <w:p>
      <w:r>
        <w:t>The principal findings are:</w:t>
      </w:r>
    </w:p>
    <w:p>
      <w:r>
        <w:t xml:space="preserve">1. </w:t>
      </w:r>
      <w:r>
        <w:rPr>
          <w:b/>
        </w:rPr>
        <w:t>Perfect convergence reliability.</w:t>
      </w:r>
      <w:r>
        <w:t xml:space="preserve"> The algorithm achieved 100% convergence    across all tested conditions, including near-critical, near-bubble, and near-dew    cases. This was enabled by the combination of Gibbs energy safeguarding, DEM    acceleration of the SS phase, and the amplified-K near-critical stability retry.</w:t>
      </w:r>
    </w:p>
    <w:p>
      <w:r>
        <w:t xml:space="preserve">2. </w:t>
      </w:r>
      <w:r>
        <w:rPr>
          <w:b/>
        </w:rPr>
        <w:t>Sub-millisecond performance.</w:t>
      </w:r>
      <w:r>
        <w:t xml:space="preserve"> Median CPU time was 0.088 ms per flash, with    95% of cases completing in under 0.371 ms. These times are compatible with    real-time process simulation and digital twin applications where hundreds of    thousands of flash calculations may be needed per time step.</w:t>
      </w:r>
    </w:p>
    <w:p>
      <w:r>
        <w:t xml:space="preserve">3. </w:t>
      </w:r>
      <w:r>
        <w:rPr>
          <w:b/>
        </w:rPr>
        <w:t>Predictable scaling.</w:t>
      </w:r>
      <w:r>
        <w:t xml:space="preserve"> Computation time scales approximately as    </w:t>
      </w:r>
      <m:oMath>
        <m:limUpp>
          <m:e>
            <m:r>
              <m:t>t</m:t>
            </m:r>
          </m:e>
          <m:lim>
            <m:r>
              <m:t>~</m:t>
            </m:r>
          </m:lim>
        </m:limUpp>
        <m:r>
          <m:t>≈0.015×</m:t>
        </m:r>
        <m:sSub>
          <m:e>
            <m:r>
              <m:t>N</m:t>
            </m:r>
          </m:e>
          <m:sub>
            <m:r>
              <m:t>c</m:t>
            </m:r>
          </m:sub>
        </m:sSub>
      </m:oMath>
      <w:r>
        <w:t xml:space="preserve"> ms, rising from 0.04 ms for 4-component    systems to 0.15 ms for 10–11 component systems.</w:t>
      </w:r>
    </w:p>
    <w:p>
      <w:r>
        <w:t xml:space="preserve">4. </w:t>
      </w:r>
      <w:r>
        <w:rPr>
          <w:b/>
        </w:rPr>
        <w:t>EOS independence.</w:t>
      </w:r>
      <w:r>
        <w:t xml:space="preserve"> Cross-validation between SRK and Peng-Robinson EOS    confirmed identical phase identification, with vapor fractions agreeing to    within 1% relative. The algorithm's robustness is intrinsic to its numerical    strategy, not a property of a particular EOS.</w:t>
      </w:r>
    </w:p>
    <w:p>
      <w:r>
        <w:t xml:space="preserve">5. </w:t>
      </w:r>
      <w:r>
        <w:rPr>
          <w:b/>
        </w:rPr>
        <w:t>Diverse phase behavior captured.</w:t>
      </w:r>
      <w:r>
        <w:t xml:space="preserve"> The benchmark spans systems from    predominantly single-phase (sour gas, 2.7% two-phase) to nearly balanced    (gas condensate, 50.4% two-phase), with vapor fractions ranging from 0.002    to 0.999.</w:t>
      </w:r>
    </w:p>
    <w:p>
      <w:pPr>
        <w:pStyle w:val="Heading3"/>
      </w:pPr>
      <w:r>
        <w:t>6.1 Limitations</w:t>
      </w:r>
    </w:p>
    <w:p>
      <w:r>
        <w:t>- Only VLE is considered; VLLE, VLSE, and solid-phase precipitation are not addressed. - Only cubic EOS (SRK, PR) are tested; results may differ with CPA, PC-SAFT, or   multi-parameter EOS such as GERG-2008. - Compositions are synthetically generated using Dirichlet perturbation; field   compositions with unusual heavy-end characterizations or associating components   (water, methanol, glycols) are not included. - Absolute CPU times are platform-dependent; relative scaling behavior is more   transferable across hardware. - The benchmark does not evaluate iteration counts or residual convergence paths,   which would require instrumentation of the inner loop.</w:t>
      </w:r>
    </w:p>
    <w:p>
      <w:pPr>
        <w:pStyle w:val="Heading3"/>
      </w:pPr>
      <w:r>
        <w:t>6.2 Future work</w:t>
      </w:r>
    </w:p>
    <w:p>
      <w:r>
        <w:t>Extensions of this work could address:</w:t>
      </w:r>
    </w:p>
    <w:p>
      <w:r>
        <w:t xml:space="preserve">- </w:t>
      </w:r>
      <w:r>
        <w:rPr>
          <w:b/>
        </w:rPr>
        <w:t>Multi-phase flash</w:t>
      </w:r>
      <w:r>
        <w:t xml:space="preserve"> (VLLE, VLSE) benchmarking, particularly for systems with   water and associating components. - </w:t>
      </w:r>
      <w:r>
        <w:rPr>
          <w:b/>
        </w:rPr>
        <w:t>Alternative EOS</w:t>
      </w:r>
      <w:r>
        <w:t xml:space="preserve">: CPA (for polar/associating systems), PC-SAFT, and GERG-2008   (for custody transfer accuracy). - </w:t>
      </w:r>
      <w:r>
        <w:rPr>
          <w:b/>
        </w:rPr>
        <w:t>Iteration-level diagnostics</w:t>
      </w:r>
      <w:r>
        <w:t xml:space="preserve">: Instrumenting the SS→NR switch to study   convergence paths, eigenvalue spectra, and Jacobian conditioning. - </w:t>
      </w:r>
      <w:r>
        <w:rPr>
          <w:b/>
        </w:rPr>
        <w:t>Parallel computation</w:t>
      </w:r>
      <w:r>
        <w:t xml:space="preserve">: Multi-threaded flash calculation for reservoir simulation   grids and process flowsheet inner loops. - </w:t>
      </w:r>
      <w:r>
        <w:rPr>
          <w:b/>
        </w:rPr>
        <w:t>Comparison with commercial solvers</w:t>
      </w:r>
      <w:r>
        <w:t>: Benchmarking against UniSim, Aspen HYSYS,   and GERG-SOS implementations to contextualize performance.</w:t>
      </w:r>
    </w:p>
    <w:p>
      <w:pPr>
        <w:pStyle w:val="Heading2"/>
      </w:pPr>
      <w:r>
        <w:t>Acknowledgements</w:t>
      </w:r>
    </w:p>
    <w:p>
      <w:r>
        <w:t>This work uses NeqSim, an open-source thermodynamic and process simulation library developed at NTNU and Equinor (https://github.com/equinor/neqsim). The authors thank the NeqSim development community for maintaining the codebase and thermodynamic database.</w:t>
      </w:r>
    </w:p>
    <w:p>
      <w:pPr>
        <w:pStyle w:val="Heading2"/>
      </w:pPr>
      <w:r>
        <w:t>Data availability</w:t>
      </w:r>
    </w:p>
    <w:p>
      <w:r>
        <w:t xml:space="preserve">Complete benchmark configurations, raw results (1664-record JSONL), statistical analysis, and figure-generation scripts are available under the MIT license at https://github.com/equinor/neqsim in the </w:t>
      </w:r>
      <w:r>
        <w:rPr>
          <w:rFonts w:ascii="Consolas" w:hAnsi="Consolas"/>
          <w:sz w:val="20"/>
        </w:rPr>
        <w:t>neqsim-paperlab/papers/tpflash_algorithms_2026/</w:t>
      </w:r>
      <w:r>
        <w:t xml:space="preserve"> directory.</w:t>
      </w:r>
    </w:p>
    <w:p>
      <w:pPr>
        <w:pStyle w:val="Heading2"/>
      </w:pPr>
      <w:r>
        <w:t>References</w:t>
      </w:r>
    </w:p>
    <w:p>
      <w:pPr>
        <w:pStyle w:val="ListBullet"/>
      </w:pPr>
      <w:r>
        <w:t xml:space="preserve">Boston, J.F., Britt, H.I. (1978). A radically different formulation and solution of the single-stage flash problem. </w:t>
      </w:r>
      <w:r>
        <w:rPr>
          <w:i/>
        </w:rPr>
        <w:t>Comput. Chem. Eng.</w:t>
      </w:r>
      <w:r>
        <w:t>, 2(2-3), 109–122.</w:t>
      </w:r>
    </w:p>
    <w:p>
      <w:pPr>
        <w:pStyle w:val="ListBullet"/>
      </w:pPr>
      <w:r>
        <w:t xml:space="preserve">Crowe, C.M., Nishio, M. (1975). Convergence promotion in the simulation of chemical processes — the general dominant eigenvalue method. </w:t>
      </w:r>
      <w:r>
        <w:rPr>
          <w:i/>
        </w:rPr>
        <w:t>AIChE J.</w:t>
      </w:r>
      <w:r>
        <w:t>, 21(3), 528–533.</w:t>
      </w:r>
    </w:p>
    <w:p>
      <w:pPr>
        <w:pStyle w:val="ListBullet"/>
      </w:pPr>
      <w:r>
        <w:t xml:space="preserve">Michelsen, M.L. (1982a). The isothermal flash problem. Part I. Stability. </w:t>
      </w:r>
      <w:r>
        <w:rPr>
          <w:i/>
        </w:rPr>
        <w:t>Fluid Phase Equilib.</w:t>
      </w:r>
      <w:r>
        <w:t>, 9(1), 1–19.</w:t>
      </w:r>
    </w:p>
    <w:p>
      <w:pPr>
        <w:pStyle w:val="ListBullet"/>
      </w:pPr>
      <w:r>
        <w:t xml:space="preserve">Michelsen, M.L. (1982b). The isothermal flash problem. Part II. Phase-split calculation. </w:t>
      </w:r>
      <w:r>
        <w:rPr>
          <w:i/>
        </w:rPr>
        <w:t>Fluid Phase Equilib.</w:t>
      </w:r>
      <w:r>
        <w:t>, 9(1), 21–40.</w:t>
      </w:r>
    </w:p>
    <w:p>
      <w:pPr>
        <w:pStyle w:val="ListBullet"/>
      </w:pPr>
      <w:r>
        <w:t xml:space="preserve">Michelsen, M.L. (2001). State function based flash specifications. </w:t>
      </w:r>
      <w:r>
        <w:rPr>
          <w:i/>
        </w:rPr>
        <w:t>Fluid Phase Equilib.</w:t>
      </w:r>
      <w:r>
        <w:t>, 193(1-2), 1–12.</w:t>
      </w:r>
    </w:p>
    <w:p>
      <w:pPr>
        <w:pStyle w:val="ListBullet"/>
      </w:pPr>
      <w:r>
        <w:t xml:space="preserve">Michelsen, M.L., Mollerup, J.M. (2007). </w:t>
      </w:r>
      <w:r>
        <w:rPr>
          <w:i/>
        </w:rPr>
        <w:t>Thermodynamic Models: Fundamentals and Computational Aspects</w:t>
      </w:r>
      <w:r>
        <w:t>, 2nd ed. Tie-Line Publications.</w:t>
      </w:r>
    </w:p>
    <w:p>
      <w:pPr>
        <w:pStyle w:val="ListBullet"/>
      </w:pPr>
      <w:r>
        <w:t xml:space="preserve">Nielsen, R.F., Lia, E. (2023). A robust and efficient solution to the Rachford-Rice equations. </w:t>
      </w:r>
      <w:r>
        <w:rPr>
          <w:i/>
        </w:rPr>
        <w:t>Fluid Phase Equilib.</w:t>
      </w:r>
      <w:r>
        <w:t>, 567, 113707.</w:t>
      </w:r>
    </w:p>
    <w:p>
      <w:pPr>
        <w:pStyle w:val="ListBullet"/>
      </w:pPr>
      <w:r>
        <w:t xml:space="preserve">Rachford, H.H., Rice, J.D. (1952). Procedure for use of electronic digital computers in calculating flash vaporization hydrocarbon equilibrium. </w:t>
      </w:r>
      <w:r>
        <w:rPr>
          <w:i/>
        </w:rPr>
        <w:t>J. Pet. Technol.</w:t>
      </w:r>
      <w:r>
        <w:t>, 4(10), 19–3.</w:t>
      </w:r>
    </w:p>
    <w:p>
      <w:pPr>
        <w:pStyle w:val="ListBullet"/>
      </w:pPr>
      <w:r>
        <w:t xml:space="preserve">Risnes, R., Dalen, V., Jensen, J.I. (1981). Phase equilibrium calculations in the near-critical region. In: </w:t>
      </w:r>
      <w:r>
        <w:rPr>
          <w:i/>
        </w:rPr>
        <w:t>Proceedings of the European Symposium on Enhanced Oil Recovery</w:t>
      </w:r>
      <w:r>
        <w:t>, Bournemouth, UK.</w:t>
      </w:r>
    </w:p>
    <w:p>
      <w:pPr>
        <w:pStyle w:val="ListBullet"/>
      </w:pPr>
      <w:r>
        <w:t xml:space="preserve">Soave, G. (1972). Equilibrium constants from a modified Redlich-Kwong equation of state. </w:t>
      </w:r>
      <w:r>
        <w:rPr>
          <w:i/>
        </w:rPr>
        <w:t>Chem. Eng. Sci.</w:t>
      </w:r>
      <w:r>
        <w:t>, 27(6), 1197–1203.</w:t>
      </w:r>
    </w:p>
    <w:p>
      <w:pPr>
        <w:pStyle w:val="ListBullet"/>
      </w:pPr>
      <w:r>
        <w:t xml:space="preserve">Wilson, G.M. (1969). A modified Redlich-Kwong equation of state, application to general physical data calculations. </w:t>
      </w:r>
      <w:r>
        <w:rPr>
          <w:i/>
        </w:rPr>
        <w:t>Proc. AIChE National Meeting</w:t>
      </w:r>
      <w:r>
        <w:t>, Cleveland, OH.</w:t>
      </w:r>
    </w:p>
    <w:p>
      <w:r>
        <w:br w:type="page"/>
      </w:r>
    </w:p>
    <w:p>
      <w:pPr>
        <w:pStyle w:val="Heading1"/>
      </w:pPr>
      <w:r>
        <w:t>Figures</w:t>
      </w:r>
    </w:p>
    <w:p>
      <w:pPr>
        <w:jc w:val="center"/>
      </w:pPr>
      <w:r>
        <w:drawing>
          <wp:inline xmlns:a="http://schemas.openxmlformats.org/drawingml/2006/main" xmlns:pic="http://schemas.openxmlformats.org/drawingml/2006/picture">
            <wp:extent cx="5486400" cy="2703363"/>
            <wp:docPr id="1" name="Picture 1"/>
            <wp:cNvGraphicFramePr>
              <a:graphicFrameLocks noChangeAspect="1"/>
            </wp:cNvGraphicFramePr>
            <a:graphic>
              <a:graphicData uri="http://schemas.openxmlformats.org/drawingml/2006/picture">
                <pic:pic>
                  <pic:nvPicPr>
                    <pic:cNvPr id="0" name="fig1_convergence_by_family.png"/>
                    <pic:cNvPicPr/>
                  </pic:nvPicPr>
                  <pic:blipFill>
                    <a:blip r:embed="rId10"/>
                    <a:stretch>
                      <a:fillRect/>
                    </a:stretch>
                  </pic:blipFill>
                  <pic:spPr>
                    <a:xfrm>
                      <a:off x="0" y="0"/>
                      <a:ext cx="5486400" cy="2703363"/>
                    </a:xfrm>
                    <a:prstGeom prst="rect"/>
                  </pic:spPr>
                </pic:pic>
              </a:graphicData>
            </a:graphic>
          </wp:inline>
        </w:drawing>
      </w:r>
    </w:p>
    <w:p>
      <w:pPr>
        <w:jc w:val="center"/>
      </w:pPr>
      <w:r>
        <w:rPr>
          <w:b/>
          <w:sz w:val="20"/>
        </w:rPr>
        <w:t xml:space="preserve">Fig. 1. </w:t>
      </w:r>
      <w:r>
        <w:rPr>
          <w:i/>
          <w:sz w:val="20"/>
        </w:rPr>
        <w:t>TPflash convergence rate and two-phase case distribution across 6 fluid families (SRK EOS, 1664 total cases).</w:t>
      </w:r>
    </w:p>
    <w:p/>
    <w:p>
      <w:pPr>
        <w:jc w:val="center"/>
      </w:pPr>
      <w:r>
        <w:drawing>
          <wp:inline xmlns:a="http://schemas.openxmlformats.org/drawingml/2006/main" xmlns:pic="http://schemas.openxmlformats.org/drawingml/2006/picture">
            <wp:extent cx="5486400" cy="3503503"/>
            <wp:docPr id="2" name="Picture 2"/>
            <wp:cNvGraphicFramePr>
              <a:graphicFrameLocks noChangeAspect="1"/>
            </wp:cNvGraphicFramePr>
            <a:graphic>
              <a:graphicData uri="http://schemas.openxmlformats.org/drawingml/2006/picture">
                <pic:pic>
                  <pic:nvPicPr>
                    <pic:cNvPr id="0" name="fig2_convergence_maps.png"/>
                    <pic:cNvPicPr/>
                  </pic:nvPicPr>
                  <pic:blipFill>
                    <a:blip r:embed="rId11"/>
                    <a:stretch>
                      <a:fillRect/>
                    </a:stretch>
                  </pic:blipFill>
                  <pic:spPr>
                    <a:xfrm>
                      <a:off x="0" y="0"/>
                      <a:ext cx="5486400" cy="3503503"/>
                    </a:xfrm>
                    <a:prstGeom prst="rect"/>
                  </pic:spPr>
                </pic:pic>
              </a:graphicData>
            </a:graphic>
          </wp:inline>
        </w:drawing>
      </w:r>
    </w:p>
    <w:p>
      <w:pPr>
        <w:jc w:val="center"/>
      </w:pPr>
      <w:r>
        <w:rPr>
          <w:b/>
          <w:sz w:val="20"/>
        </w:rPr>
        <w:t xml:space="preserve">Fig. 2. </w:t>
      </w:r>
      <w:r>
        <w:rPr>
          <w:i/>
          <w:sz w:val="20"/>
        </w:rPr>
        <w:t>Convergence success/failure mapped in temperature-pressure space. Green: single-phase converged; blue: two-phase converged; red cross: failed to converge.</w:t>
      </w:r>
    </w:p>
    <w:p/>
    <w:p>
      <w:pPr>
        <w:jc w:val="center"/>
      </w:pPr>
      <w:r>
        <w:drawing>
          <wp:inline xmlns:a="http://schemas.openxmlformats.org/drawingml/2006/main" xmlns:pic="http://schemas.openxmlformats.org/drawingml/2006/picture">
            <wp:extent cx="5486400" cy="1928689"/>
            <wp:docPr id="3" name="Picture 3"/>
            <wp:cNvGraphicFramePr>
              <a:graphicFrameLocks noChangeAspect="1"/>
            </wp:cNvGraphicFramePr>
            <a:graphic>
              <a:graphicData uri="http://schemas.openxmlformats.org/drawingml/2006/picture">
                <pic:pic>
                  <pic:nvPicPr>
                    <pic:cNvPr id="0" name="fig3_timing_distribution.png"/>
                    <pic:cNvPicPr/>
                  </pic:nvPicPr>
                  <pic:blipFill>
                    <a:blip r:embed="rId12"/>
                    <a:stretch>
                      <a:fillRect/>
                    </a:stretch>
                  </pic:blipFill>
                  <pic:spPr>
                    <a:xfrm>
                      <a:off x="0" y="0"/>
                      <a:ext cx="5486400" cy="1928689"/>
                    </a:xfrm>
                    <a:prstGeom prst="rect"/>
                  </pic:spPr>
                </pic:pic>
              </a:graphicData>
            </a:graphic>
          </wp:inline>
        </w:drawing>
      </w:r>
    </w:p>
    <w:p>
      <w:pPr>
        <w:jc w:val="center"/>
      </w:pPr>
      <w:r>
        <w:rPr>
          <w:b/>
          <w:sz w:val="20"/>
        </w:rPr>
        <w:t xml:space="preserve">Fig. 3. </w:t>
      </w:r>
      <w:r>
        <w:rPr>
          <w:i/>
          <w:sz w:val="20"/>
        </w:rPr>
        <w:t>CPU timing distribution: (left) box plots by fluid family; (right) overall histogram with median and 95th percentile markers.</w:t>
      </w:r>
    </w:p>
    <w:p/>
    <w:p>
      <w:pPr>
        <w:jc w:val="center"/>
      </w:pPr>
      <w:r>
        <w:drawing>
          <wp:inline xmlns:a="http://schemas.openxmlformats.org/drawingml/2006/main" xmlns:pic="http://schemas.openxmlformats.org/drawingml/2006/picture">
            <wp:extent cx="5486400" cy="2707983"/>
            <wp:docPr id="4" name="Picture 4"/>
            <wp:cNvGraphicFramePr>
              <a:graphicFrameLocks noChangeAspect="1"/>
            </wp:cNvGraphicFramePr>
            <a:graphic>
              <a:graphicData uri="http://schemas.openxmlformats.org/drawingml/2006/picture">
                <pic:pic>
                  <pic:nvPicPr>
                    <pic:cNvPr id="0" name="fig4_beta_distribution.png"/>
                    <pic:cNvPicPr/>
                  </pic:nvPicPr>
                  <pic:blipFill>
                    <a:blip r:embed="rId13"/>
                    <a:stretch>
                      <a:fillRect/>
                    </a:stretch>
                  </pic:blipFill>
                  <pic:spPr>
                    <a:xfrm>
                      <a:off x="0" y="0"/>
                      <a:ext cx="5486400" cy="2707983"/>
                    </a:xfrm>
                    <a:prstGeom prst="rect"/>
                  </pic:spPr>
                </pic:pic>
              </a:graphicData>
            </a:graphic>
          </wp:inline>
        </w:drawing>
      </w:r>
    </w:p>
    <w:p>
      <w:pPr>
        <w:jc w:val="center"/>
      </w:pPr>
      <w:r>
        <w:rPr>
          <w:b/>
          <w:sz w:val="20"/>
        </w:rPr>
        <w:t xml:space="preserve">Fig. 4. </w:t>
      </w:r>
      <w:r>
        <w:rPr>
          <w:i/>
          <w:sz w:val="20"/>
        </w:rPr>
        <w:t>Distribution of vapor fraction (beta) in two-phase cases by family.</w:t>
      </w:r>
    </w:p>
    <w:p/>
    <w:p>
      <w:pPr>
        <w:jc w:val="center"/>
      </w:pPr>
      <w:r>
        <w:drawing>
          <wp:inline xmlns:a="http://schemas.openxmlformats.org/drawingml/2006/main" xmlns:pic="http://schemas.openxmlformats.org/drawingml/2006/picture">
            <wp:extent cx="5486400" cy="3395015"/>
            <wp:docPr id="5" name="Picture 5"/>
            <wp:cNvGraphicFramePr>
              <a:graphicFrameLocks noChangeAspect="1"/>
            </wp:cNvGraphicFramePr>
            <a:graphic>
              <a:graphicData uri="http://schemas.openxmlformats.org/drawingml/2006/picture">
                <pic:pic>
                  <pic:nvPicPr>
                    <pic:cNvPr id="0" name="fig5_time_vs_components.png"/>
                    <pic:cNvPicPr/>
                  </pic:nvPicPr>
                  <pic:blipFill>
                    <a:blip r:embed="rId14"/>
                    <a:stretch>
                      <a:fillRect/>
                    </a:stretch>
                  </pic:blipFill>
                  <pic:spPr>
                    <a:xfrm>
                      <a:off x="0" y="0"/>
                      <a:ext cx="5486400" cy="3395015"/>
                    </a:xfrm>
                    <a:prstGeom prst="rect"/>
                  </pic:spPr>
                </pic:pic>
              </a:graphicData>
            </a:graphic>
          </wp:inline>
        </w:drawing>
      </w:r>
    </w:p>
    <w:p>
      <w:pPr>
        <w:jc w:val="center"/>
      </w:pPr>
      <w:r>
        <w:rPr>
          <w:b/>
          <w:sz w:val="20"/>
        </w:rPr>
        <w:t xml:space="preserve">Fig. 5. </w:t>
      </w:r>
      <w:r>
        <w:rPr>
          <w:i/>
          <w:sz w:val="20"/>
        </w:rPr>
        <w:t>Median flash computation time vs number of components, showing expected scaling with system size.</w:t>
      </w:r>
    </w:p>
    <w:p/>
    <w:p>
      <w:pPr>
        <w:jc w:val="center"/>
      </w:pPr>
      <w:r>
        <w:drawing>
          <wp:inline xmlns:a="http://schemas.openxmlformats.org/drawingml/2006/main" xmlns:pic="http://schemas.openxmlformats.org/drawingml/2006/picture">
            <wp:extent cx="5486400" cy="1177447"/>
            <wp:docPr id="6" name="Picture 6"/>
            <wp:cNvGraphicFramePr>
              <a:graphicFrameLocks noChangeAspect="1"/>
            </wp:cNvGraphicFramePr>
            <a:graphic>
              <a:graphicData uri="http://schemas.openxmlformats.org/drawingml/2006/picture">
                <pic:pic>
                  <pic:nvPicPr>
                    <pic:cNvPr id="0" name="fig6_near_critical_analysis.png"/>
                    <pic:cNvPicPr/>
                  </pic:nvPicPr>
                  <pic:blipFill>
                    <a:blip r:embed="rId15"/>
                    <a:stretch>
                      <a:fillRect/>
                    </a:stretch>
                  </pic:blipFill>
                  <pic:spPr>
                    <a:xfrm>
                      <a:off x="0" y="0"/>
                      <a:ext cx="5486400" cy="1177447"/>
                    </a:xfrm>
                    <a:prstGeom prst="rect"/>
                  </pic:spPr>
                </pic:pic>
              </a:graphicData>
            </a:graphic>
          </wp:inline>
        </w:drawing>
      </w:r>
    </w:p>
    <w:p>
      <w:pPr>
        <w:jc w:val="center"/>
      </w:pPr>
      <w:r>
        <w:rPr>
          <w:b/>
          <w:sz w:val="20"/>
        </w:rPr>
        <w:t xml:space="preserve">Fig. 6. </w:t>
      </w:r>
      <w:r>
        <w:rPr>
          <w:i/>
          <w:sz w:val="20"/>
        </w:rPr>
        <w:t>Near-critical analysis: (left) timing by phase fraction region; (right) timing vs pressure colored by number of phases.</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