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0"/>
        <w:ind w:firstLine="0"/>
      </w:pPr>
    </w:p>
    <w:p>
      <w:pPr>
        <w:pStyle w:val="Title"/>
        <w:spacing w:after="240"/>
        <w:ind w:firstLine="0"/>
        <w:jc w:val="center"/>
      </w:pPr>
      <w:r>
        <w:rPr>
          <w:rFonts w:ascii="Libertinus Serif" w:hAnsi="Libertinus Serif"/>
          <w:b/>
          <w:color w:val="000000"/>
          <w:sz w:val="52"/>
        </w:rPr>
        <w:t>Editable export verification</w:t>
      </w:r>
    </w:p>
    <w:p>
      <w:pPr>
        <w:spacing w:after="80"/>
        <w:ind w:firstLine="0"/>
        <w:jc w:val="center"/>
      </w:pPr>
      <w:r>
        <w:rPr>
          <w:rFonts w:ascii="Times New Roman" w:hAnsi="Times New Roman"/>
          <w:color w:val="222222"/>
          <w:sz w:val="32"/>
        </w:rPr>
        <w:t>PaperLab</w:t>
      </w:r>
    </w:p>
    <w:p>
      <w:pPr>
        <w:spacing w:after="120"/>
        <w:ind w:firstLine="0"/>
        <w:jc w:val="center"/>
      </w:pPr>
      <w:r>
        <w:rPr>
          <w:rFonts w:ascii="Times New Roman" w:hAnsi="Times New Roman"/>
          <w:color w:val="888888"/>
          <w:sz w:val="20"/>
        </w:rPr>
        <w:t>2026</w:t>
      </w:r>
    </w:p>
    <w:p>
      <w:pPr>
        <w:pageBreakBefore/>
      </w:pPr>
      <w:r>
        <w:rPr>
          <w:rFonts w:ascii="Times New Roman" w:hAnsi="Times New Roman"/>
        </w:rPr>
        <w:t>Copyright fixture preserved 2026.</w:t>
      </w:r>
    </w:p>
    <w:p>
      <w:pPr>
        <w:pStyle w:val="Heading1"/>
        <w:pageBreakBefore/>
      </w:pPr>
      <w:r>
        <w:t>Contents</w:t>
      </w:r>
    </w:p>
    <w:p>
      <w:pPr>
        <w:spacing w:before="240" w:after="40"/>
        <w:ind w:firstLine="0"/>
      </w:pPr>
      <w:r>
        <w:rPr>
          <w:rFonts w:ascii="Times New Roman" w:hAnsi="Times New Roman"/>
          <w:b/>
          <w:color w:val="1A5276"/>
          <w:sz w:val="22"/>
        </w:rPr>
        <w:t>Fixture Part</w:t>
      </w:r>
    </w:p>
    <w:p>
      <w:pPr>
        <w:spacing w:before="20" w:after="20"/>
        <w:ind w:firstLine="0" w:left="454"/>
      </w:pPr>
      <w:r>
        <w:rPr>
          <w:rFonts w:ascii="Times New Roman" w:hAnsi="Times New Roman"/>
          <w:sz w:val="21"/>
        </w:rPr>
        <w:t>1  First verification chapter</w:t>
      </w:r>
    </w:p>
    <w:p>
      <w:pPr>
        <w:spacing w:before="20" w:after="20"/>
        <w:ind w:firstLine="0" w:left="454"/>
      </w:pPr>
      <w:r>
        <w:rPr>
          <w:rFonts w:ascii="Times New Roman" w:hAnsi="Times New Roman"/>
          <w:sz w:val="21"/>
        </w:rPr>
        <w:t>2  Second verification chapter</w:t>
      </w:r>
    </w:p>
    <w:p>
      <w:pPr>
        <w:spacing w:before="360"/>
        <w:ind w:firstLine="0"/>
      </w:pPr>
    </w:p>
    <w:p>
      <w:pPr>
        <w:ind w:firstLine="0"/>
      </w:pPr>
      <w:r>
        <w:fldChar w:fldCharType="begin"/>
      </w:r>
      <w:r>
        <w:instrText xml:space="preserve"> TOC \o "1-3" \h \z \u </w:instrText>
      </w:r>
      <w:r>
        <w:fldChar w:fldCharType="end"/>
      </w:r>
    </w:p>
    <w:p>
      <w:pPr>
        <w:ind w:firstLine="0"/>
      </w:pPr>
      <w:r>
        <w:rPr>
          <w:i/>
          <w:color w:val="888888"/>
          <w:sz w:val="18"/>
        </w:rPr>
        <w:t>[Right-click and Update Field to populate Table of Contents]</w:t>
      </w:r>
    </w:p>
    <w:p>
      <w:pPr>
        <w:pageBreakBefore/>
        <w:spacing w:before="3600"/>
        <w:ind w:firstLine="0"/>
        <w:jc w:val="center"/>
      </w:pPr>
      <w:r>
        <w:rPr>
          <w:rFonts w:ascii="Times New Roman" w:hAnsi="Times New Roman"/>
          <w:b/>
          <w:sz w:val="44"/>
        </w:rPr>
        <w:t>Fixture Part</w:t>
      </w:r>
    </w:p>
    <w:p>
      <w:pPr>
        <w:pStyle w:val="Heading1"/>
        <w:pageBreakBefore/>
      </w:pPr>
      <w:r>
        <w:t>1 First verification chapter</w:t>
      </w:r>
    </w:p>
    <w:p>
      <w:pPr>
        <w:pStyle w:val="Heading2"/>
      </w:pPr>
      <w:r>
        <w:t>1.1 Results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3741"/>
        <w:gridCol w:w="3741"/>
      </w:tblGrid>
      <w:tr>
        <w:tc>
          <w:tcPr>
            <w:tcW w:type="dxa" w:w="3741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E8EDF2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8"/>
              </w:rPr>
              <w:t>Parameter</w:t>
            </w:r>
          </w:p>
        </w:tc>
        <w:tc>
          <w:tcPr>
            <w:tcW w:type="dxa" w:w="3741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E8EDF2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8"/>
              </w:rPr>
              <w:t>Value</w:t>
            </w:r>
          </w:p>
        </w:tc>
      </w:tr>
      <w:tr>
        <w:tc>
          <w:tcPr>
            <w:tcW w:type="dxa" w:w="3741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Pressure (bara)</w:t>
            </w:r>
          </w:p>
        </w:tc>
        <w:tc>
          <w:tcPr>
            <w:tcW w:type="dxa" w:w="3741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</w:tr>
    </w:tbl>
    <w:p>
      <w:pPr>
        <w:keepNext/>
        <w:spacing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148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e_n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ind w:firstLine="0"/>
        <w:jc w:val="center"/>
      </w:pPr>
      <w:r>
        <w:rPr>
          <w:rFonts w:ascii="Times New Roman" w:hAnsi="Times New Roman"/>
          <w:b/>
          <w:sz w:val="18"/>
        </w:rPr>
        <w:t xml:space="preserve">Figure 1.1: </w:t>
      </w:r>
      <w:r>
        <w:rPr>
          <w:rFonts w:ascii="Times New Roman" w:hAnsi="Times New Roman"/>
          <w:i/>
          <w:sz w:val="18"/>
        </w:rPr>
        <w:t>Fixture image 1</w:t>
      </w:r>
    </w:p>
    <w:p>
      <w:pPr>
        <w:spacing w:before="40" w:after="0" w:line="40" w:lineRule="exact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Ind w:w="284" w:type="dxa"/>
      </w:tblPr>
      <w:tblGrid>
        <w:gridCol w:w="7483"/>
      </w:tblGrid>
      <w:tr>
        <w:tc>
          <w:tcPr>
            <w:tcW w:type="dxa" w:w="7483"/>
            <w:shd w:val="clear" w:color="auto" w:fill="F0F0F0"/>
            <w:tcMar>
              <w:top w:w="100" w:type="dxa"/>
              <w:bottom w:w="100" w:type="dxa"/>
              <w:start w:w="180" w:type="dxa"/>
              <w:end w:w="180" w:type="dxa"/>
            </w:tcMar>
            <w:tcBorders>
              <w:top w:val="single" w:sz="6" w:space="0" w:color="B0B0B0"/>
              <w:bottom w:val="single" w:sz="6" w:space="0" w:color="B0B0B0"/>
              <w:start w:val="single" w:sz="6" w:space="0" w:color="B0B0B0"/>
              <w:end w:val="single" w:sz="6" w:space="0" w:color="B0B0B0"/>
            </w:tcBorders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1A1A1A"/>
                <w:sz w:val="17"/>
              </w:rPr>
              <w:t>for i in range(2):</w:t>
              <w:br/>
            </w:r>
            <w:r>
              <w:rPr>
                <w:rFonts w:ascii="Consolas" w:hAnsi="Consolas"/>
                <w:color w:val="1A1A1A"/>
                <w:sz w:val="17"/>
              </w:rPr>
              <w:t xml:space="preserve">    print(i)</w:t>
            </w:r>
          </w:p>
        </w:tc>
      </w:tr>
    </w:tbl>
    <w:p>
      <w:pPr>
        <w:spacing w:before="0" w:after="40" w:line="40" w:lineRule="exact"/>
        <w:ind w:firstLine="0"/>
      </w:pPr>
    </w:p>
    <w:p>
      <w:pPr>
        <w:spacing w:before="120" w:after="120"/>
        <w:ind w:firstLine="0"/>
        <w:jc w:val="center"/>
        <w:tabs>
          <w:tab w:val="center" w:pos="4536"/>
          <w:tab w:val="right" w:pos="9072"/>
        </w:tabs>
      </w:pPr>
      <m:oMath>
        <m:r>
          <m:t>Q=m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t>ΔT</m:t>
        </m:r>
      </m:oMath>
      <w:r>
        <w:rPr>
          <w:rFonts w:ascii="Times New Roman" w:hAnsi="Times New Roman"/>
          <w:i w:val="0"/>
          <w:sz w:val="20"/>
        </w:rPr>
        <w:tab/>
        <w:t>(1.1)</w:t>
      </w:r>
    </w:p>
    <w:p>
      <w:r>
        <w:rPr>
          <w:rFonts w:ascii="Times New Roman" w:hAnsi="Times New Roman"/>
        </w:rPr>
        <w:t>A price of $</w:t>
      </w:r>
      <w:r>
        <w:rPr>
          <w:rFonts w:ascii="Times New Roman" w:hAnsi="Times New Roman"/>
        </w:rPr>
        <w:t>70/bbl and a $</w:t>
      </w:r>
      <w:r>
        <w:rPr>
          <w:rFonts w:ascii="Times New Roman" w:hAnsi="Times New Roman"/>
        </w:rPr>
        <w:t xml:space="preserve">50 million project preserve currency; </w:t>
      </w:r>
      <m:oMath>
        <m:r>
          <m:t>0.8</m:t>
        </m:r>
      </m:oMath>
      <w:r>
        <w:rPr>
          <w:rFonts w:ascii="Times New Roman" w:hAnsi="Times New Roman"/>
        </w:rPr>
        <w:t xml:space="preserve"> and </w:t>
      </w:r>
      <m:oMath>
        <m:r>
          <m:t>q</m:t>
        </m:r>
      </m:oMath>
      <w:r>
        <w:rPr>
          <w:rFonts w:ascii="Times New Roman" w:hAnsi="Times New Roman"/>
        </w:rPr>
        <w:t xml:space="preserve"> / hour remain equations.</w:t>
      </w:r>
    </w:p>
    <w:p>
      <w:r>
        <w:rPr>
          <w:rFonts w:ascii="Times New Roman" w:hAnsi="Times New Roman"/>
        </w:rPr>
        <w:t xml:space="preserve">Citation fixture [1]. </w:t>
      </w:r>
      <w:hyperlink r:id="rId10">
        <w:r>
          <w:rPr>
            <w:color w:val="1A5276"/>
          </w:rPr>
          <w:t>NeqSim</w:t>
        </w:r>
      </w:hyperlink>
    </w:p>
    <w:p>
      <w:r>
        <w:rPr>
          <w:rFonts w:ascii="Times New Roman" w:hAnsi="Times New Roman"/>
          <w:b/>
        </w:rPr>
        <w:t>Integration pattern prerequisites:</w:t>
      </w:r>
      <w:r>
        <w:rPr>
          <w:rFonts w:ascii="Times New Roman" w:hAnsi="Times New Roman"/>
        </w:rPr>
        <w:t xml:space="preserve"> Requires the preceding model</w:t>
      </w:r>
    </w:p>
    <w:p>
      <w:pPr>
        <w:spacing w:before="40" w:after="0" w:line="40" w:lineRule="exact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Ind w:w="284" w:type="dxa"/>
      </w:tblPr>
      <w:tblGrid>
        <w:gridCol w:w="7483"/>
      </w:tblGrid>
      <w:tr>
        <w:tc>
          <w:tcPr>
            <w:tcW w:type="dxa" w:w="7483"/>
            <w:shd w:val="clear" w:color="auto" w:fill="F0F0F0"/>
            <w:tcMar>
              <w:top w:w="100" w:type="dxa"/>
              <w:bottom w:w="100" w:type="dxa"/>
              <w:start w:w="180" w:type="dxa"/>
              <w:end w:w="180" w:type="dxa"/>
            </w:tcMar>
            <w:tcBorders>
              <w:top w:val="single" w:sz="6" w:space="0" w:color="B0B0B0"/>
              <w:bottom w:val="single" w:sz="6" w:space="0" w:color="B0B0B0"/>
              <w:start w:val="single" w:sz="6" w:space="0" w:color="B0B0B0"/>
              <w:end w:val="single" w:sz="6" w:space="0" w:color="B0B0B0"/>
            </w:tcBorders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1A1A1A"/>
                <w:sz w:val="17"/>
              </w:rPr>
              <w:t># This stays code</w:t>
              <w:br/>
            </w:r>
            <w:r>
              <w:rPr>
                <w:rFonts w:ascii="Consolas" w:hAnsi="Consolas"/>
                <w:color w:val="1A1A1A"/>
                <w:sz w:val="17"/>
              </w:rPr>
              <w:t>value = 2</w:t>
            </w:r>
          </w:p>
        </w:tc>
      </w:tr>
    </w:tbl>
    <w:p>
      <w:pPr>
        <w:spacing w:before="0" w:after="40" w:line="40" w:lineRule="exact"/>
        <w:ind w:firstLine="0"/>
      </w:pPr>
    </w:p>
    <w:p>
      <w:pPr>
        <w:pStyle w:val="Heading1"/>
        <w:pageBreakBefore/>
      </w:pPr>
      <w:r>
        <w:t>2 Second verification chapter</w:t>
      </w:r>
    </w:p>
    <w:p>
      <w:pPr>
        <w:pStyle w:val="Heading2"/>
      </w:pPr>
      <w:r>
        <w:t>2.1 Results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3741"/>
        <w:gridCol w:w="3741"/>
      </w:tblGrid>
      <w:tr>
        <w:tc>
          <w:tcPr>
            <w:tcW w:type="dxa" w:w="3741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E8EDF2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8"/>
              </w:rPr>
              <w:t>Parameter</w:t>
            </w:r>
          </w:p>
        </w:tc>
        <w:tc>
          <w:tcPr>
            <w:tcW w:type="dxa" w:w="3741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E8EDF2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8"/>
              </w:rPr>
              <w:t>Value</w:t>
            </w:r>
          </w:p>
        </w:tc>
      </w:tr>
      <w:tr>
        <w:tc>
          <w:tcPr>
            <w:tcW w:type="dxa" w:w="3741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Pressure (bara)</w:t>
            </w:r>
          </w:p>
        </w:tc>
        <w:tc>
          <w:tcPr>
            <w:tcW w:type="dxa" w:w="3741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</w:tr>
    </w:tbl>
    <w:p>
      <w:pPr>
        <w:keepNext/>
        <w:spacing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92055" cy="68761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e_n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2055" cy="6876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ind w:firstLine="0"/>
        <w:jc w:val="center"/>
      </w:pPr>
      <w:r>
        <w:rPr>
          <w:rFonts w:ascii="Times New Roman" w:hAnsi="Times New Roman"/>
          <w:b/>
          <w:sz w:val="18"/>
        </w:rPr>
        <w:t xml:space="preserve">Figure 2.1: </w:t>
      </w:r>
      <w:r>
        <w:rPr>
          <w:rFonts w:ascii="Times New Roman" w:hAnsi="Times New Roman"/>
          <w:i/>
          <w:sz w:val="18"/>
        </w:rPr>
        <w:t>Fixture image 2</w:t>
      </w:r>
    </w:p>
    <w:p>
      <w:pPr>
        <w:spacing w:before="40" w:after="0" w:line="40" w:lineRule="exact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Ind w:w="284" w:type="dxa"/>
      </w:tblPr>
      <w:tblGrid>
        <w:gridCol w:w="7483"/>
      </w:tblGrid>
      <w:tr>
        <w:tc>
          <w:tcPr>
            <w:tcW w:type="dxa" w:w="7483"/>
            <w:shd w:val="clear" w:color="auto" w:fill="F0F0F0"/>
            <w:tcMar>
              <w:top w:w="100" w:type="dxa"/>
              <w:bottom w:w="100" w:type="dxa"/>
              <w:start w:w="180" w:type="dxa"/>
              <w:end w:w="180" w:type="dxa"/>
            </w:tcMar>
            <w:tcBorders>
              <w:top w:val="single" w:sz="6" w:space="0" w:color="B0B0B0"/>
              <w:bottom w:val="single" w:sz="6" w:space="0" w:color="B0B0B0"/>
              <w:start w:val="single" w:sz="6" w:space="0" w:color="B0B0B0"/>
              <w:end w:val="single" w:sz="6" w:space="0" w:color="B0B0B0"/>
            </w:tcBorders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1A1A1A"/>
                <w:sz w:val="17"/>
              </w:rPr>
              <w:t>for i in range(2):</w:t>
              <w:br/>
            </w:r>
            <w:r>
              <w:rPr>
                <w:rFonts w:ascii="Consolas" w:hAnsi="Consolas"/>
                <w:color w:val="1A1A1A"/>
                <w:sz w:val="17"/>
              </w:rPr>
              <w:t xml:space="preserve">    print(i)</w:t>
            </w:r>
          </w:p>
        </w:tc>
      </w:tr>
    </w:tbl>
    <w:p>
      <w:pPr>
        <w:spacing w:before="0" w:after="40" w:line="40" w:lineRule="exact"/>
        <w:ind w:firstLine="0"/>
      </w:pPr>
    </w:p>
    <w:p>
      <w:pPr>
        <w:spacing w:before="120" w:after="120"/>
        <w:ind w:firstLine="0"/>
        <w:jc w:val="center"/>
        <w:tabs>
          <w:tab w:val="center" w:pos="4536"/>
          <w:tab w:val="right" w:pos="9072"/>
        </w:tabs>
      </w:pPr>
      <m:oMath>
        <m:r>
          <m:t>Q=m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t>ΔT</m:t>
        </m:r>
      </m:oMath>
      <w:r>
        <w:rPr>
          <w:rFonts w:ascii="Times New Roman" w:hAnsi="Times New Roman"/>
          <w:i w:val="0"/>
          <w:sz w:val="20"/>
        </w:rPr>
        <w:tab/>
        <w:t>(2.1)</w:t>
      </w:r>
    </w:p>
    <w:p>
      <w:r>
        <w:rPr>
          <w:rFonts w:ascii="Times New Roman" w:hAnsi="Times New Roman"/>
        </w:rPr>
        <w:t>A price of $</w:t>
      </w:r>
      <w:r>
        <w:rPr>
          <w:rFonts w:ascii="Times New Roman" w:hAnsi="Times New Roman"/>
        </w:rPr>
        <w:t>70/bbl and a $</w:t>
      </w:r>
      <w:r>
        <w:rPr>
          <w:rFonts w:ascii="Times New Roman" w:hAnsi="Times New Roman"/>
        </w:rPr>
        <w:t xml:space="preserve">50 million project preserve currency; </w:t>
      </w:r>
      <m:oMath>
        <m:r>
          <m:t>0.8</m:t>
        </m:r>
      </m:oMath>
      <w:r>
        <w:rPr>
          <w:rFonts w:ascii="Times New Roman" w:hAnsi="Times New Roman"/>
        </w:rPr>
        <w:t xml:space="preserve"> and </w:t>
      </w:r>
      <m:oMath>
        <m:r>
          <m:t>q</m:t>
        </m:r>
      </m:oMath>
      <w:r>
        <w:rPr>
          <w:rFonts w:ascii="Times New Roman" w:hAnsi="Times New Roman"/>
        </w:rPr>
        <w:t xml:space="preserve"> / hour remain equations.</w:t>
      </w:r>
    </w:p>
    <w:p>
      <w:r>
        <w:rPr>
          <w:rFonts w:ascii="Times New Roman" w:hAnsi="Times New Roman"/>
        </w:rPr>
        <w:t xml:space="preserve">Citation fixture [1]. </w:t>
      </w:r>
      <w:hyperlink r:id="rId10">
        <w:r>
          <w:rPr>
            <w:color w:val="1A5276"/>
          </w:rPr>
          <w:t>NeqSim</w:t>
        </w:r>
      </w:hyperlink>
    </w:p>
    <w:p>
      <w:r>
        <w:rPr>
          <w:rFonts w:ascii="Times New Roman" w:hAnsi="Times New Roman"/>
          <w:b/>
        </w:rPr>
        <w:t>Integration pattern prerequisites:</w:t>
      </w:r>
      <w:r>
        <w:rPr>
          <w:rFonts w:ascii="Times New Roman" w:hAnsi="Times New Roman"/>
        </w:rPr>
        <w:t xml:space="preserve"> Requires the preceding model</w:t>
      </w:r>
    </w:p>
    <w:p>
      <w:pPr>
        <w:spacing w:before="40" w:after="0" w:line="40" w:lineRule="exact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Ind w:w="284" w:type="dxa"/>
      </w:tblPr>
      <w:tblGrid>
        <w:gridCol w:w="7483"/>
      </w:tblGrid>
      <w:tr>
        <w:tc>
          <w:tcPr>
            <w:tcW w:type="dxa" w:w="7483"/>
            <w:shd w:val="clear" w:color="auto" w:fill="F0F0F0"/>
            <w:tcMar>
              <w:top w:w="100" w:type="dxa"/>
              <w:bottom w:w="100" w:type="dxa"/>
              <w:start w:w="180" w:type="dxa"/>
              <w:end w:w="180" w:type="dxa"/>
            </w:tcMar>
            <w:tcBorders>
              <w:top w:val="single" w:sz="6" w:space="0" w:color="B0B0B0"/>
              <w:bottom w:val="single" w:sz="6" w:space="0" w:color="B0B0B0"/>
              <w:start w:val="single" w:sz="6" w:space="0" w:color="B0B0B0"/>
              <w:end w:val="single" w:sz="6" w:space="0" w:color="B0B0B0"/>
            </w:tcBorders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1A1A1A"/>
                <w:sz w:val="17"/>
              </w:rPr>
              <w:t># This stays code</w:t>
              <w:br/>
            </w:r>
            <w:r>
              <w:rPr>
                <w:rFonts w:ascii="Consolas" w:hAnsi="Consolas"/>
                <w:color w:val="1A1A1A"/>
                <w:sz w:val="17"/>
              </w:rPr>
              <w:t>value = 2</w:t>
            </w:r>
          </w:p>
        </w:tc>
      </w:tr>
    </w:tbl>
    <w:p>
      <w:pPr>
        <w:spacing w:before="0" w:after="40" w:line="40" w:lineRule="exact"/>
        <w:ind w:firstLine="0"/>
      </w:pPr>
    </w:p>
    <w:p>
      <w:pPr>
        <w:pStyle w:val="Heading1"/>
        <w:pageBreakBefore/>
      </w:pPr>
      <w:r>
        <w:t>References</w:t>
      </w:r>
    </w:p>
    <w:p>
      <w:pPr>
        <w:spacing w:after="40" w:line="240" w:lineRule="auto"/>
        <w:ind w:left="567" w:hanging="567"/>
      </w:pPr>
      <w:r>
        <w:rPr>
          <w:rFonts w:ascii="Times New Roman" w:hAnsi="Times New Roman"/>
          <w:sz w:val="18"/>
        </w:rPr>
        <w:t>[1]  PaperLab, "Fixture reference," 2026.</w:t>
      </w:r>
    </w:p>
    <w:p>
      <w:pPr>
        <w:pStyle w:val="Heading1"/>
        <w:pageBreakBefore/>
      </w:pPr>
      <w:r>
        <w:t>Glossary</w:t>
      </w:r>
    </w:p>
    <w:p>
      <w:r>
        <w:rPr>
          <w:rFonts w:ascii="Times New Roman" w:hAnsi="Times New Roman"/>
        </w:rPr>
        <w:t>Fixture glossary preserved.</w:t>
      </w:r>
    </w:p>
    <w:sectPr w:rsidR="00FC693F" w:rsidRPr="0006063C" w:rsidSect="00034616">
      <w:footerReference w:type="default" r:id="rId12"/>
      <w:pgSz w:w="9638" w:h="13833"/>
      <w:pgMar w:top="1077" w:right="964" w:bottom="1077" w:left="119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Rule="auto" w:line="288"/>
      <w:ind w:firstLine="397"/>
      <w:jc w:val="both"/>
    </w:pPr>
    <w:rPr>
      <w:rFonts w:ascii="Libertinus Serif" w:hAnsi="Libertinus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720" w:after="360"/>
      <w:ind w:firstLine="0"/>
      <w:outlineLvl w:val="0"/>
    </w:pPr>
    <w:rPr>
      <w:rFonts w:asciiTheme="majorHAnsi" w:eastAsiaTheme="majorEastAsia" w:hAnsiTheme="majorHAnsi" w:cstheme="majorBidi" w:ascii="Libertinus Serif" w:hAnsi="Libertinus Serif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ind w:firstLine="0"/>
      <w:outlineLvl w:val="1"/>
    </w:pPr>
    <w:rPr>
      <w:rFonts w:asciiTheme="majorHAnsi" w:eastAsiaTheme="majorEastAsia" w:hAnsiTheme="majorHAnsi" w:cstheme="majorBidi" w:ascii="Libertinus Serif" w:hAnsi="Libertinus Serif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Libertinus Serif" w:hAnsi="Libertinus Serif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80"/>
      <w:ind w:firstLine="0"/>
      <w:outlineLvl w:val="3"/>
    </w:pPr>
    <w:rPr>
      <w:rFonts w:asciiTheme="majorHAnsi" w:eastAsiaTheme="majorEastAsia" w:hAnsiTheme="majorHAnsi" w:cstheme="majorBidi" w:ascii="Libertinus Serif" w:hAnsi="Libertinus Serif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tinus Serif" w:hAnsi="Libertinus Serif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tinus Serif" w:hAnsi="Libertinus Serif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quinor.github.io/neqsim/" TargetMode="External"/><Relationship Id="rId11" Type="http://schemas.openxmlformats.org/officeDocument/2006/relationships/image" Target="media/image2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