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p>
      <w:pPr>
        <w:pStyle w:val="Title"/>
      </w:pPr>
      <w:r>
        <w:t xml:space="preserve">Propuesta de mejora de visibilidad en asistentes de IA</w:t>
      </w:r>
    </w:p>
    <w:p>
      <w:r>
        <w:t xml:space="preserve">Clínica Alborada Visión · Sanidad privada · 21/10/2026</w:t>
      </w:r>
    </w:p>
    <w:p>
      <w:pPr>
        <w:pStyle w:val="IntenseQuote"/>
      </w:pPr>
      <w:r>
        <w:t xml:space="preserve">Datos sintéticos del kit del reto: reproducen la estructura de un estudio real, no el comportamiento real de los motores.</w:t>
      </w:r>
    </w:p>
    <w:p>
      <w:pPr>
        <w:pStyle w:val="Heading1"/>
      </w:pPr>
      <w:r>
        <w:t>1. Resumen ejecutivo</w:t>
      </w:r>
    </w:p>
    <w:p>
      <w:r>
        <w:t xml:space="preserve">Clínica Alborada Visión cuenta con un sólido reconocimiento asistido en los asistentes de IA analizados, alcanzando una presencia del 100 % cuando los usuarios consultan directamente por la marca.</w:t>
      </w:r>
    </w:p>
    <w:p>
      <w:r>
        <w:t xml:space="preserve">Sin embargo, ante consultas abiertas y espontáneas sobre cirugía refractiva y control de miopía infantil, la recomendación desciende significativamente, situándose por detrás del líder del sector (Grupo Hospitalario Valdecruz).</w:t>
      </w:r>
    </w:p>
    <w:p>
      <w:r>
        <w:t xml:space="preserve">Se propone un plan estratégico por fases orientado a reforzar la presencia en fuentes sanitarias de referencia, generar contenido especializado para momentos de decisión y recuperar visibilidad en Barcelona, dentro de las restricciones del brief y los recursos del equipo; cada contenido requiere revisión médica y jurídica antes de publicarse.</w:t>
      </w:r>
    </w:p>
    <w:p>
      <w:pPr>
        <w:pStyle w:val="Heading1"/>
      </w:pPr>
      <w:r>
        <w:t>2. Lo que nos habéis pedido</w:t>
      </w:r>
    </w:p>
    <w:p>
      <w:r>
        <w:t xml:space="preserve">Esto es lo que nos pedisteis en el brief, tal cual, y dónde lo trata esta propuesta. La cobertura la comprueba el sistema contra el plan y los hallazgos, no la redacción.</w:t>
      </w:r>
    </w:p>
    <w:p>
      <w:pPr>
        <w:pStyle w:val="Heading2"/>
      </w:pPr>
      <w:r>
        <w:t xml:space="preserve">Objetivos</w:t>
      </w:r>
    </w:p>
    <w:p>
      <w:pPr>
        <w:pStyle w:val="ListBullet"/>
      </w:pPr>
      <w:r>
        <w:t xml:space="preserve">Recomendación espontánea en asistentes de IA en Madrid y Barcelona</w:t>
      </w:r>
    </w:p>
    <w:p>
      <w:pPr>
        <w:pStyle w:val="ListBullet"/>
      </w:pPr>
      <w:r>
        <w:t xml:space="preserve">+25 % de primeras visitas de cirugía refractiva en 12 meses</w:t>
      </w:r>
    </w:p>
    <w:p>
      <w:pPr>
        <w:pStyle w:val="Heading2"/>
      </w:pPr>
      <w:r>
        <w:t xml:space="preserve">Restricciones</w:t>
      </w:r>
    </w:p>
    <w:p>
      <w:pPr>
        <w:pStyle w:val="ListBullet"/>
      </w:pPr>
      <w:r>
        <w:t xml:space="preserve">Publicidad sanitaria regulada: no prometer resultados</w:t>
      </w:r>
    </w:p>
    <w:p>
      <w:pPr>
        <w:pStyle w:val="ListBullet"/>
      </w:pPr>
      <w:r>
        <w:t xml:space="preserve">Sin comparativas denigratorias</w:t>
      </w:r>
    </w:p>
    <w:p>
      <w:pPr>
        <w:pStyle w:val="Heading2"/>
      </w:pPr>
      <w:r>
        <w:t xml:space="preserve">Servicios prioritarios</w:t>
      </w:r>
    </w:p>
    <w:p>
      <w:pPr>
        <w:pStyle w:val="ListBullet"/>
      </w:pPr>
      <w:r>
        <w:t xml:space="preserve">Cirugía refractiva</w:t>
      </w:r>
    </w:p>
    <w:p>
      <w:pPr>
        <w:pStyle w:val="ListBullet"/>
      </w:pPr>
      <w:r>
        <w:t xml:space="preserve">Control de miopía infantil</w:t>
      </w:r>
    </w:p>
    <w:p>
      <w:pPr>
        <w:pStyle w:val="Heading2"/>
      </w:pPr>
      <w:r>
        <w:t xml:space="preserve">Ciudades</w:t>
      </w:r>
    </w:p>
    <w:p>
      <w:pPr>
        <w:pStyle w:val="ListBullet"/>
      </w:pPr>
      <w:r>
        <w:t xml:space="preserve">Madrid</w:t>
      </w:r>
    </w:p>
    <w:p>
      <w:pPr>
        <w:pStyle w:val="ListBullet"/>
      </w:pPr>
      <w:r>
        <w:t xml:space="preserve">Barcelona</w:t>
      </w:r>
    </w:p>
    <w:p>
      <w:pPr>
        <w:pStyle w:val="Heading2"/>
      </w:pPr>
      <w:r>
        <w:t xml:space="preserve">Públicos</w:t>
      </w:r>
    </w:p>
    <w:p>
      <w:pPr>
        <w:pStyle w:val="ListBullet"/>
      </w:pPr>
      <w:r>
        <w:t xml:space="preserve">Adultos de 25 a 50 años con miopía o astigmatismo</w:t>
      </w:r>
    </w:p>
    <w:p>
      <w:pPr>
        <w:pStyle w:val="ListBullet"/>
      </w:pPr>
      <w:r>
        <w:t xml:space="preserve">Mayores de 60 años con cataratas y sus hijos</w:t>
      </w:r>
    </w:p>
    <w:p>
      <w:pPr>
        <w:pStyle w:val="ListBullet"/>
      </w:pPr>
      <w:r>
        <w:t xml:space="preserve">Padres de niños con miopía progresiva</w:t>
      </w:r>
    </w:p>
    <w:p>
      <w:pPr>
        <w:pStyle w:val="ListBullet"/>
      </w:pPr>
      <w:r>
        <w:t xml:space="preserve">Profesionales con requisitos específicos (pilotos)</w:t>
      </w:r>
    </w:p>
    <w:p>
      <w:pPr>
        <w:pStyle w:val="Heading2"/>
      </w:pPr>
      <w:r>
        <w:t xml:space="preserve">Competidores declarados</w:t>
      </w:r>
    </w:p>
    <w:p>
      <w:pPr>
        <w:pStyle w:val="ListBullet"/>
      </w:pPr>
      <w:r>
        <w:t xml:space="preserve">Instituto Oftálmico Tramuntana</w:t>
      </w:r>
    </w:p>
    <w:p>
      <w:pPr>
        <w:pStyle w:val="ListBullet"/>
      </w:pPr>
      <w:r>
        <w:t xml:space="preserve">Láser Nítida</w:t>
      </w:r>
    </w:p>
    <w:p>
      <w:pPr>
        <w:pStyle w:val="ListBullet"/>
      </w:pPr>
      <w:r>
        <w:t xml:space="preserve">Grupo Hospitalario Valdecruz</w:t>
      </w:r>
    </w:p>
    <w:p>
      <w:pPr>
        <w:pStyle w:val="Heading2"/>
      </w:pPr>
      <w:r>
        <w:t xml:space="preserve">Presupuesto</w:t>
      </w:r>
    </w:p>
    <w:p>
      <w:pPr>
        <w:pStyle w:val="ListBullet"/>
      </w:pPr>
      <w:r>
        <w:t xml:space="preserve">18.000–27.000 € al año</w:t>
      </w:r>
    </w:p>
    <w:p>
      <w:pPr>
        <w:pStyle w:val="Heading2"/>
      </w:pPr>
      <w:r>
        <w:t>Dónde se trata cada punto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Punto</w:t>
            </w:r>
          </w:p>
        </w:tc>
        <w:tc>
          <w:tcPr>
            <w:tcW w:type="dxa" w:w="2160"/>
          </w:tcPr>
          <w:p>
            <w:r>
              <w:t>Lo que pedisteis</w:t>
            </w:r>
          </w:p>
        </w:tc>
        <w:tc>
          <w:tcPr>
            <w:tcW w:type="dxa" w:w="2160"/>
          </w:tcPr>
          <w:p>
            <w:r>
              <w:t>Dónde se trata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Recomendación espontánea en asistentes de IA en Madrid y 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+25 % de primeras visitas de cirugía refractiva en 12 meses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Publicidad sanitaria regulada: no prometer resultados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Sin comparativas denigratorias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Cirugía refractiva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Control de miopía infantil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Madrid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Adultos de 25 a 50 años con miopía o astigmatismo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Mayores de 60 años con cataratas y sus hijos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Padres de niños con miopía progresiva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Profesionales con requisitos específicos (pilotos)</w:t>
            </w:r>
          </w:p>
        </w:tc>
        <w:tc>
          <w:tcPr>
            <w:tcW w:type="dxa" w:w="2160"/>
          </w:tcPr>
          <w:p>
            <w:r>
              <w:t xml:space="preserve">pendiente: Ninguna acción ni hallazgo de la propuesta lo trata.</w:t>
            </w:r>
          </w:p>
        </w:tc>
        <w:tc>
          <w:tcPr>
            <w:tcW w:type="dxa" w:w="2160"/>
          </w:tcPr>
          <w:p>
            <w:r>
              <w:t xml:space="preserve">Pendiente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Presupuesto</w:t>
            </w:r>
          </w:p>
        </w:tc>
        <w:tc>
          <w:tcPr>
            <w:tcW w:type="dxa" w:w="2160"/>
          </w:tcPr>
          <w:p>
            <w:r>
              <w:t xml:space="preserve">18.000–27.000 € al año</w:t>
            </w:r>
          </w:p>
        </w:tc>
        <w:tc>
          <w:tcPr>
            <w:tcW w:type="dxa" w:w="2160"/>
          </w:tcPr>
          <w:p>
            <w:r>
              <w:t xml:space="preserve">Plan de 22.000 €, dentro del máximo de 27.000 €.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</w:tbl>
    <w:p/>
    <w:p>
      <w:pPr>
        <w:pStyle w:val="Heading1"/>
      </w:pPr>
      <w:r>
        <w:t>3.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 xml:space="preserve">Clínica Alborada Visión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 xml:space="preserve">Sanidad privada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 xml:space="preserve">ChatGPT, Gemini, Perplexity, Claude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 xml:space="preserve">21/10/2026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 xml:space="preserve">Kit del reto (datos grabados)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 xml:space="preserve">S-kit-alborada</w:t>
            </w:r>
          </w:p>
        </w:tc>
      </w:tr>
    </w:tbl>
    <w:p/>
    <w:p>
      <w:pPr>
        <w:pStyle w:val="Heading2"/>
      </w:pPr>
      <w:r>
        <w:t>Limitaciones</w:t>
      </w:r>
    </w:p>
    <w:p>
      <w:pPr>
        <w:pStyle w:val="ListBullet"/>
      </w:pPr>
      <w:r>
        <w:t xml:space="preserve">Datos sintéticos del kit del reto: reproducen con fidelidad la estructura de un estudio GEO, pero no reflejan cuotas reales de mercado.</w:t>
      </w:r>
    </w:p>
    <w:p>
      <w:pPr>
        <w:pStyle w:val="ListBullet"/>
      </w:pPr>
      <w:r>
        <w:t xml:space="preserve">Naturaleza probabilística de los modelos de lenguaje: las respuestas varían en el tiempo y requieren seguimiento periódico.</w:t>
      </w:r>
    </w:p>
    <w:p>
      <w:pPr>
        <w:pStyle w:val="ListBullet"/>
      </w:pPr>
      <w:r>
        <w:t xml:space="preserve">Publicidad sanitaria regulada (RD 1907/1996): el plan no promete resultados ni hace comparativas denigratorias, y cada contenido necesita revisión médica y jurídica de la clínica antes de publicarse. Las mejoras de visibilidad son hipótesis técnicas y no garantizan resultados clínicos ni comerciales.</w:t>
      </w:r>
    </w:p>
    <w:p>
      <w:pPr>
        <w:pStyle w:val="Heading1"/>
      </w:pPr>
      <w:r>
        <w:t>4. Diagnóstico de visibilidad</w:t>
      </w:r>
    </w:p>
    <w:p>
      <w:r>
        <w:t xml:space="preserve">Diagnóstico detallado sobre la visibilidad espontánea y asistida por motor, fase del embudo y ciudad.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 xml:space="preserve">25,9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 xml:space="preserve">11,6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 xml:space="preserve">4,7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 xml:space="preserve">3,9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 xml:space="preserve">5,7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 xml:space="preserve">1.0</w:t>
            </w:r>
          </w:p>
        </w:tc>
      </w:tr>
    </w:tbl>
    <w:p/>
    <w:p>
      <w:r>
        <w:t xml:space="preserve">Las tablas siguientes muestran solo la visibilidad espontánea (prompts que no nombran la marca). La asistida se presenta aparte y no indica que el motor descubra la marca.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ChatGPT</w:t>
            </w:r>
          </w:p>
        </w:tc>
        <w:tc>
          <w:tcPr>
            <w:tcW w:type="dxa" w:w="1440"/>
          </w:tcPr>
          <w:p>
            <w:r>
              <w:t xml:space="preserve">18,3 %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Claude</w:t>
            </w:r>
          </w:p>
        </w:tc>
        <w:tc>
          <w:tcPr>
            <w:tcW w:type="dxa" w:w="1440"/>
          </w:tcPr>
          <w:p>
            <w:r>
              <w:t xml:space="preserve">15,0 %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95,0 %</w:t>
            </w:r>
          </w:p>
        </w:tc>
      </w:tr>
      <w:tr>
        <w:tc>
          <w:tcPr>
            <w:tcW w:type="dxa" w:w="1440"/>
          </w:tcPr>
          <w:p>
            <w:r>
              <w:t xml:space="preserve">Gemini</w:t>
            </w:r>
          </w:p>
        </w:tc>
        <w:tc>
          <w:tcPr>
            <w:tcW w:type="dxa" w:w="1440"/>
          </w:tcPr>
          <w:p>
            <w:r>
              <w:t xml:space="preserve">56,7 %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Perplexity</w:t>
            </w:r>
          </w:p>
        </w:tc>
        <w:tc>
          <w:tcPr>
            <w:tcW w:type="dxa" w:w="1440"/>
          </w:tcPr>
          <w:p>
            <w:r>
              <w:t xml:space="preserve">65,0 %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1,03</w:t>
            </w:r>
          </w:p>
        </w:tc>
        <w:tc>
          <w:tcPr>
            <w:tcW w:type="dxa" w:w="1440"/>
          </w:tcPr>
          <w:p>
            <w:r>
              <w:t xml:space="preserve">91,7 %</w:t>
            </w:r>
          </w:p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Descubrimiento</w:t>
            </w:r>
          </w:p>
        </w:tc>
        <w:tc>
          <w:tcPr>
            <w:tcW w:type="dxa" w:w="1440"/>
          </w:tcPr>
          <w:p>
            <w:r>
              <w:t xml:space="preserve">44,7 %</w:t>
            </w:r>
          </w:p>
        </w:tc>
        <w:tc>
          <w:tcPr>
            <w:tcW w:type="dxa" w:w="1440"/>
          </w:tcPr>
          <w:p>
            <w:r>
              <w:t xml:space="preserve">132</w:t>
            </w:r>
          </w:p>
        </w:tc>
        <w:tc>
          <w:tcPr>
            <w:tcW w:type="dxa" w:w="1440"/>
          </w:tcPr>
          <w:p>
            <w:r>
              <w:t xml:space="preserve">59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87,9 %</w:t>
            </w:r>
          </w:p>
        </w:tc>
      </w:tr>
      <w:tr>
        <w:tc>
          <w:tcPr>
            <w:tcW w:type="dxa" w:w="1440"/>
          </w:tcPr>
          <w:p>
            <w:r>
              <w:t xml:space="preserve">Comparación</w:t>
            </w:r>
          </w:p>
        </w:tc>
        <w:tc>
          <w:tcPr>
            <w:tcW w:type="dxa" w:w="1440"/>
          </w:tcPr>
          <w:p>
            <w:r>
              <w:t xml:space="preserve">38,9 %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94,4 %</w:t>
            </w:r>
          </w:p>
        </w:tc>
      </w:tr>
      <w:tr>
        <w:tc>
          <w:tcPr>
            <w:tcW w:type="dxa" w:w="1440"/>
          </w:tcPr>
          <w:p>
            <w:r>
              <w:t xml:space="preserve">Validación</w:t>
            </w:r>
          </w:p>
        </w:tc>
        <w:tc>
          <w:tcPr>
            <w:tcW w:type="dxa" w:w="1440"/>
          </w:tcPr>
          <w:p>
            <w:r>
              <w:t xml:space="preserve">33,3 %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1,12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  <w:tr>
        <w:tc>
          <w:tcPr>
            <w:tcW w:type="dxa" w:w="1440"/>
          </w:tcPr>
          <w:p>
            <w:r>
              <w:t xml:space="preserve">Decisión</w:t>
            </w:r>
          </w:p>
        </w:tc>
        <w:tc>
          <w:tcPr>
            <w:tcW w:type="dxa" w:w="1440"/>
          </w:tcPr>
          <w:p>
            <w:r>
              <w:t xml:space="preserve">25,0 %</w:t>
            </w:r>
          </w:p>
        </w:tc>
        <w:tc>
          <w:tcPr>
            <w:tcW w:type="dxa" w:w="1440"/>
          </w:tcPr>
          <w:p>
            <w:r>
              <w:t xml:space="preserve">48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97,9 %</w:t>
            </w:r>
          </w:p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Madrid</w:t>
            </w:r>
          </w:p>
        </w:tc>
        <w:tc>
          <w:tcPr>
            <w:tcW w:type="dxa" w:w="1440"/>
          </w:tcPr>
          <w:p>
            <w:r>
              <w:t xml:space="preserve">54,2 %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79,2 %</w:t>
            </w:r>
          </w:p>
        </w:tc>
      </w:tr>
      <w:tr>
        <w:tc>
          <w:tcPr>
            <w:tcW w:type="dxa" w:w="1440"/>
          </w:tcPr>
          <w:p>
            <w:r>
              <w:t xml:space="preserve">Barcelona</w:t>
            </w:r>
          </w:p>
        </w:tc>
        <w:tc>
          <w:tcPr>
            <w:tcW w:type="dxa" w:w="1440"/>
          </w:tcPr>
          <w:p>
            <w:r>
              <w:t xml:space="preserve">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Sin datos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Global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 xml:space="preserve">Espontánea</w:t>
            </w:r>
          </w:p>
        </w:tc>
        <w:tc>
          <w:tcPr>
            <w:tcW w:type="dxa" w:w="1440"/>
          </w:tcPr>
          <w:p>
            <w:r>
              <w:t xml:space="preserve">93</w:t>
            </w:r>
          </w:p>
        </w:tc>
        <w:tc>
          <w:tcPr>
            <w:tcW w:type="dxa" w:w="1440"/>
          </w:tcPr>
          <w:p>
            <w:r>
              <w:t xml:space="preserve">1,01</w:t>
            </w:r>
          </w:p>
        </w:tc>
        <w:tc>
          <w:tcPr>
            <w:tcW w:type="dxa" w:w="1440"/>
          </w:tcPr>
          <w:p>
            <w:r>
              <w:t xml:space="preserve">Pasiva: 2; Comparación neutra: 1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  <w:tr>
        <w:tc>
          <w:tcPr>
            <w:tcW w:type="dxa" w:w="1440"/>
          </w:tcPr>
          <w:p>
            <w:r>
              <w:t xml:space="preserve">Asistida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 xml:space="preserve">diariosalud.example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28</w:t>
            </w:r>
          </w:p>
        </w:tc>
      </w:tr>
      <w:tr>
        <w:tc>
          <w:tcPr>
            <w:tcW w:type="dxa" w:w="2160"/>
          </w:tcPr>
          <w:p>
            <w:r>
              <w:t xml:space="preserve">directoriomedico.example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25</w:t>
            </w:r>
          </w:p>
        </w:tc>
      </w:tr>
      <w:tr>
        <w:tc>
          <w:tcPr>
            <w:tcW w:type="dxa" w:w="2160"/>
          </w:tcPr>
          <w:p>
            <w:r>
              <w:t xml:space="preserve">saludactual.example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22</w:t>
            </w:r>
          </w:p>
        </w:tc>
      </w:tr>
      <w:tr>
        <w:tc>
          <w:tcPr>
            <w:tcW w:type="dxa" w:w="2160"/>
          </w:tcPr>
          <w:p>
            <w:r>
              <w:t xml:space="preserve">comparaclinicas.example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20</w:t>
            </w:r>
          </w:p>
        </w:tc>
      </w:tr>
      <w:tr>
        <w:tc>
          <w:tcPr>
            <w:tcW w:type="dxa" w:w="2160"/>
          </w:tcPr>
          <w:p>
            <w:r>
              <w:t xml:space="preserve">google.com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18</w:t>
            </w:r>
          </w:p>
        </w:tc>
      </w:tr>
      <w:tr>
        <w:tc>
          <w:tcPr>
            <w:tcW w:type="dxa" w:w="2160"/>
          </w:tcPr>
          <w:p>
            <w:r>
              <w:t xml:space="preserve">trustpilot.com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17</w:t>
            </w:r>
          </w:p>
        </w:tc>
      </w:tr>
      <w:tr>
        <w:tc>
          <w:tcPr>
            <w:tcW w:type="dxa" w:w="2160"/>
          </w:tcPr>
          <w:p>
            <w:r>
              <w:t xml:space="preserve">bienestar-hoy.example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opinaclinicas.example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colegiooftalmologos.example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15</w:t>
            </w:r>
          </w:p>
        </w:tc>
      </w:tr>
      <w:tr>
        <w:tc>
          <w:tcPr>
            <w:tcW w:type="dxa" w:w="2160"/>
          </w:tcPr>
          <w:p>
            <w:r>
              <w:t xml:space="preserve">guiaoftalmologia.example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14</w:t>
            </w:r>
          </w:p>
        </w:tc>
      </w:tr>
    </w:tbl>
    <w:p/>
    <w:p>
      <w:pPr>
        <w:pStyle w:val="Heading1"/>
      </w:pPr>
      <w:r>
        <w:t>5. Análisis de la competencia</w:t>
      </w:r>
    </w:p>
    <w:p>
      <w:r>
        <w:t xml:space="preserve">Análisis comparativo de posicionamiento y brecha de fuentes frente al líder del mercado y competidores.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66,5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47,2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Oftalmos Centro</w:t>
            </w:r>
          </w:p>
        </w:tc>
        <w:tc>
          <w:tcPr>
            <w:tcW w:type="dxa" w:w="2160"/>
          </w:tcPr>
          <w:p>
            <w:r>
              <w:t xml:space="preserve">39,0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37,0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Clínica del Ojo Cervantes</w:t>
            </w:r>
          </w:p>
        </w:tc>
        <w:tc>
          <w:tcPr>
            <w:tcW w:type="dxa" w:w="2160"/>
          </w:tcPr>
          <w:p>
            <w:r>
              <w:t xml:space="preserve">27,6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Instituto Ocular Santa Eulalia</w:t>
            </w:r>
          </w:p>
        </w:tc>
        <w:tc>
          <w:tcPr>
            <w:tcW w:type="dxa" w:w="2160"/>
          </w:tcPr>
          <w:p>
            <w:r>
              <w:t xml:space="preserve">27,1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Vistalia Oftalmología</w:t>
            </w:r>
          </w:p>
        </w:tc>
        <w:tc>
          <w:tcPr>
            <w:tcW w:type="dxa" w:w="2160"/>
          </w:tcPr>
          <w:p>
            <w:r>
              <w:t xml:space="preserve">26,3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Clínica Alborada Visión</w:t>
            </w:r>
          </w:p>
        </w:tc>
        <w:tc>
          <w:tcPr>
            <w:tcW w:type="dxa" w:w="2160"/>
          </w:tcPr>
          <w:p>
            <w:r>
              <w:t xml:space="preserve">25,9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Visionar Clínicas</w:t>
            </w:r>
          </w:p>
        </w:tc>
        <w:tc>
          <w:tcPr>
            <w:tcW w:type="dxa" w:w="2160"/>
          </w:tcPr>
          <w:p>
            <w:r>
              <w:t xml:space="preserve">20,6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Centro Lasik Península</w:t>
            </w:r>
          </w:p>
        </w:tc>
        <w:tc>
          <w:tcPr>
            <w:tcW w:type="dxa" w:w="2160"/>
          </w:tcPr>
          <w:p>
            <w:r>
              <w:t xml:space="preserve">19,3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 xml:space="preserve">directoriomedico.example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  <w:tc>
          <w:tcPr>
            <w:tcW w:type="dxa" w:w="1440"/>
          </w:tcPr>
          <w:p>
            <w:r>
              <w:t xml:space="preserve">37</w:t>
            </w:r>
          </w:p>
        </w:tc>
      </w:tr>
      <w:tr>
        <w:tc>
          <w:tcPr>
            <w:tcW w:type="dxa" w:w="1440"/>
          </w:tcPr>
          <w:p>
            <w:r>
              <w:t xml:space="preserve">saludactual.example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50</w:t>
            </w:r>
          </w:p>
        </w:tc>
        <w:tc>
          <w:tcPr>
            <w:tcW w:type="dxa" w:w="1440"/>
          </w:tcPr>
          <w:p>
            <w:r>
              <w:t xml:space="preserve">22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</w:tr>
      <w:tr>
        <w:tc>
          <w:tcPr>
            <w:tcW w:type="dxa" w:w="1440"/>
          </w:tcPr>
          <w:p>
            <w:r>
              <w:t xml:space="preserve">wikipedia.org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</w:tr>
      <w:tr>
        <w:tc>
          <w:tcPr>
            <w:tcW w:type="dxa" w:w="1440"/>
          </w:tcPr>
          <w:p>
            <w:r>
              <w:t xml:space="preserve">comparaclinicas.example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46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26</w:t>
            </w:r>
          </w:p>
        </w:tc>
        <w:tc>
          <w:tcPr>
            <w:tcW w:type="dxa" w:w="1440"/>
          </w:tcPr>
          <w:p>
            <w:r>
              <w:t xml:space="preserve">27</w:t>
            </w:r>
          </w:p>
        </w:tc>
      </w:tr>
      <w:tr>
        <w:tc>
          <w:tcPr>
            <w:tcW w:type="dxa" w:w="1440"/>
          </w:tcPr>
          <w:p>
            <w:r>
              <w:t xml:space="preserve">bienestar-hoy.example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</w:tr>
      <w:tr>
        <w:tc>
          <w:tcPr>
            <w:tcW w:type="dxa" w:w="1440"/>
          </w:tcPr>
          <w:p>
            <w:r>
              <w:t xml:space="preserve">rankingclinicas.example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19</w:t>
            </w:r>
          </w:p>
        </w:tc>
      </w:tr>
      <w:tr>
        <w:tc>
          <w:tcPr>
            <w:tcW w:type="dxa" w:w="1440"/>
          </w:tcPr>
          <w:p>
            <w:r>
              <w:t xml:space="preserve">colegiooftalmologos.example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diariosalud.example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44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opinaclinicas.example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guiaoftalmologia.example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google.com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foroscorazonsalud.example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</w:tr>
      <w:tr>
        <w:tc>
          <w:tcPr>
            <w:tcW w:type="dxa" w:w="1440"/>
          </w:tcPr>
          <w:p>
            <w:r>
              <w:t xml:space="preserve">reddit.com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23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</w:tr>
      <w:tr>
        <w:tc>
          <w:tcPr>
            <w:tcW w:type="dxa" w:w="1440"/>
          </w:tcPr>
          <w:p>
            <w:r>
              <w:t xml:space="preserve">valdecruz.example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youtube.com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trustpilot.com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</w:tr>
      <w:tr>
        <w:tc>
          <w:tcPr>
            <w:tcW w:type="dxa" w:w="1440"/>
          </w:tcPr>
          <w:p>
            <w:r>
              <w:t xml:space="preserve">lasernitida.example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tramuntana-oftalmologia.example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oftalmoscentro.example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</w:tr>
      <w:tr>
        <w:tc>
          <w:tcPr>
            <w:tcW w:type="dxa" w:w="1440"/>
          </w:tcPr>
          <w:p>
            <w:r>
              <w:t xml:space="preserve">lasikpeninsula.example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vistalia-oftalmologia.example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</w:tr>
      <w:tr>
        <w:tc>
          <w:tcPr>
            <w:tcW w:type="dxa" w:w="1440"/>
          </w:tcPr>
          <w:p>
            <w:r>
              <w:t xml:space="preserve">clinicacervantes.example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santaeulalia-ocular.example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visionar-clinicas.example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</w:tbl>
    <w:p/>
    <w:p>
      <w:pPr>
        <w:pStyle w:val="Heading1"/>
      </w:pPr>
      <w:r>
        <w:t>6. Hallazgos clave</w:t>
      </w:r>
    </w:p>
    <w:p>
      <w:pPr>
        <w:pStyle w:val="Heading2"/>
      </w:pPr>
      <w:r>
        <w:t xml:space="preserve">F-motor-debil · Claude apenas la menciona mientras Perplexity sí</w:t>
      </w:r>
    </w:p>
    <w:p>
      <w:r>
        <w:t xml:space="preserve">Visibilidad espontánea del 15 % en Claude frente al 65 % en Perplexity. También queda lejos en ChatGPT.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15,0 %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motor: Claude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60</w:t>
            </w:r>
          </w:p>
        </w:tc>
      </w:tr>
    </w:tbl>
    <w:p/>
    <w:p>
      <w:pPr>
        <w:pStyle w:val="Heading2"/>
      </w:pPr>
      <w:r>
        <w:t xml:space="preserve">F-ciudad-barcelona · Baja visibilidad en Barcelona, ciudad prioritaria del brief</w:t>
      </w:r>
    </w:p>
    <w:p>
      <w:r>
        <w:t xml:space="preserve">Ante preguntas que nombran Barcelona, la marca aparece en el 4 % de las respuestas (24 evaluaciones), frente al 39 % global.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4,2 %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ciudad: Barcelona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Descubrimiento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</w:t>
            </w:r>
          </w:p>
        </w:tc>
      </w:tr>
    </w:tbl>
    <w:p/>
    <w:p>
      <w:pPr>
        <w:pStyle w:val="Heading2"/>
      </w:pPr>
      <w:r>
        <w:t xml:space="preserve">F-brecha-lider · 41 puntos de Score de Citación por detrás del líder</w:t>
      </w:r>
    </w:p>
    <w:p>
      <w:r>
        <w:t xml:space="preserve">Score de Citación espontáneo de 25.9 frente a 66.5 del líder; puesto 8 de 10 marcas.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40,53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score de citación: líder − marca foco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F-caida-embudo · La visibilidad espontánea cae de descubrimiento a decision</w:t>
      </w:r>
    </w:p>
    <w:p>
      <w:r>
        <w:t xml:space="preserve">La marca aparece en el 45 % de las respuestas espontáneas de descubrimiento y solo en el 25 % en decision (48 evaluaciones).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19,7 %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fase: descubrimiento − decision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48</w:t>
            </w:r>
          </w:p>
        </w:tc>
      </w:tr>
    </w:tbl>
    <w:p/>
    <w:p>
      <w:pPr>
        <w:pStyle w:val="Heading2"/>
      </w:pPr>
      <w:r>
        <w:t xml:space="preserve">F-fuente-lider · directoriomedico.example alimenta al líder y no a la marca</w:t>
      </w:r>
    </w:p>
    <w:p>
      <w:r>
        <w:t xml:space="preserve">directoriomedico.example (Directorio / comparador) se cita en 37 respuestas espontáneas donde aparece el líder y la marca no; acompaña al líder 60 veces y a la marca 25.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brecha de fuentes frente al líder: directoriomedico.example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</w:tbl>
    <w:p/>
    <w:p>
      <w:pPr>
        <w:pStyle w:val="Heading2"/>
      </w:pPr>
      <w:r>
        <w:t xml:space="preserve">F-asistida-vs-espontanea · Los motores la conocen, pero no la proponen por iniciativa propia</w:t>
      </w:r>
    </w:p>
    <w:p>
      <w:r>
        <w:t xml:space="preserve">Aparece en el 100 % de las respuestas cuando la pregunta la nombra, pero solo en el 39 % cuando no la nombra.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61,3 %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asistida − visibilidad espontánea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F-recomendacion-debil · Aparece, pero casi nunca como recomendación</w:t>
      </w:r>
    </w:p>
    <w:p>
      <w:r>
        <w:t xml:space="preserve">Fuerza de recomendación media de 1.01 (escala −1 a 3) en sus 93 apariciones espontáneas.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1,01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fuerza media de las apariciones espontáneas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1"/>
      </w:pPr>
      <w:r>
        <w:t>7. Estrategia recomendada</w:t>
      </w:r>
    </w:p>
    <w:p>
      <w:r>
        <w:t xml:space="preserve">Estrategia orientada a consolidar la prescripción espontánea en Madrid y Barcelona, impulsando la autoridad en fuentes médicas clave.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 xml:space="preserve">Score de Citación</w:t>
            </w:r>
          </w:p>
        </w:tc>
        <w:tc>
          <w:tcPr>
            <w:tcW w:type="dxa" w:w="2160"/>
          </w:tcPr>
          <w:p>
            <w:r>
              <w:t xml:space="preserve">25,93</w:t>
            </w:r>
          </w:p>
        </w:tc>
        <w:tc>
          <w:tcPr>
            <w:tcW w:type="dxa" w:w="2160"/>
          </w:tcPr>
          <w:p>
            <w:r>
              <w:t xml:space="preserve">35,00</w:t>
            </w:r>
          </w:p>
        </w:tc>
        <w:tc>
          <w:tcPr>
            <w:tcW w:type="dxa" w:w="2160"/>
          </w:tcPr>
          <w:p>
            <w:r>
              <w:t xml:space="preserve">26 semanas</w:t>
            </w:r>
          </w:p>
        </w:tc>
      </w:tr>
    </w:tbl>
    <w:p/>
    <w:p>
      <w:pPr>
        <w:pStyle w:val="Heading2"/>
      </w:pPr>
      <w:r>
        <w:t>Prioridades</w:t>
      </w:r>
    </w:p>
    <w:p>
      <w:pPr>
        <w:pStyle w:val="ListBullet"/>
      </w:pPr>
      <w:r>
        <w:t xml:space="preserve">Autoridad en terceros</w:t>
      </w:r>
    </w:p>
    <w:p>
      <w:pPr>
        <w:pStyle w:val="ListBullet"/>
      </w:pPr>
      <w:r>
        <w:t xml:space="preserve">Contenido por ciudad</w:t>
      </w:r>
    </w:p>
    <w:p>
      <w:pPr>
        <w:pStyle w:val="Heading1"/>
      </w:pPr>
      <w:r>
        <w:t>8.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</w:tbl>
    <w:p/>
    <w:p>
      <w:pPr>
        <w:pStyle w:val="Heading2"/>
      </w:pPr>
      <w:r>
        <w:t xml:space="preserve">Fase 0 · Fundamentos · 4 semanas</w:t>
      </w:r>
    </w:p>
    <w:p>
      <w:r>
        <w:t xml:space="preserve">Objetivo: Línea base y datos estructurados</w:t>
      </w:r>
    </w:p>
    <w:p>
      <w:pPr>
        <w:pStyle w:val="Heading3"/>
      </w:pPr>
      <w:r>
        <w:t xml:space="preserve">A1 · Datos estructurados schema.org de clínica y servicios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Entidad y datos estructurados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S / M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agencia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4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Visibilidad espontánea global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—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F-motor-debil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2"/>
      </w:pPr>
      <w:r>
        <w:t xml:space="preserve">Fase 2 · Autoridad y escala · 16 semanas</w:t>
      </w:r>
    </w:p>
    <w:p>
      <w:r>
        <w:t xml:space="preserve">Objetivo: Presencia en las fuentes que citan los motores</w:t>
      </w:r>
    </w:p>
    <w:p>
      <w:pPr>
        <w:pStyle w:val="Heading3"/>
      </w:pPr>
      <w:r>
        <w:t xml:space="preserve">A2 · Relaciones públicas digitales con medios de salud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Autoridad en fuentes de terceros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L / L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tercero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16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Apariciones con fuente Medio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F-recomendacion-debil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1"/>
      </w:pPr>
      <w:r>
        <w:t>9. Medición y seguimiento</w:t>
      </w:r>
    </w:p>
    <w:p>
      <w:pPr>
        <w:pStyle w:val="Heading2"/>
      </w:pPr>
      <w:r>
        <w:t>KPIs</w:t>
      </w:r>
    </w:p>
    <w:p>
      <w:pPr>
        <w:pStyle w:val="ListBullet"/>
      </w:pPr>
      <w:r>
        <w:t xml:space="preserve">Visibilidad espontánea</w:t>
      </w:r>
    </w:p>
    <w:p>
      <w:pPr>
        <w:pStyle w:val="ListBullet"/>
      </w:pPr>
      <w:r>
        <w:t xml:space="preserve">Score de Citación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 xml:space="preserve">Re-ejecución del estudio con el mismo banco de prompts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 xml:space="preserve">Trimestral</w:t>
            </w:r>
          </w:p>
        </w:tc>
      </w:tr>
    </w:tbl>
    <w:p/>
    <w:p>
      <w:pPr>
        <w:pStyle w:val="Heading1"/>
      </w:pPr>
      <w:r>
        <w:t>10.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 xml:space="preserve">Variabilidad de fuentes y modelos de IA</w:t>
            </w:r>
          </w:p>
        </w:tc>
        <w:tc>
          <w:tcPr>
            <w:tcW w:type="dxa" w:w="4320"/>
          </w:tcPr>
          <w:p>
            <w:r>
              <w:t xml:space="preserve">Protocolo de re-medición periódica para monitorizar cambios algorítmicos</w:t>
            </w:r>
          </w:p>
        </w:tc>
      </w:tr>
      <w:tr>
        <w:tc>
          <w:tcPr>
            <w:tcW w:type="dxa" w:w="4320"/>
          </w:tcPr>
          <w:p>
            <w:r>
              <w:t xml:space="preserve">Marco regulatorio en publicidad sanitaria</w:t>
            </w:r>
          </w:p>
        </w:tc>
        <w:tc>
          <w:tcPr>
            <w:tcW w:type="dxa" w:w="4320"/>
          </w:tcPr>
          <w:p>
            <w:r>
              <w:t xml:space="preserve">Revisión médica previa de todo contenido divulgativo sin promesas de resultados</w:t>
            </w:r>
          </w:p>
        </w:tc>
      </w:tr>
    </w:tbl>
    <w:p/>
    <w:p>
      <w:pPr>
        <w:pStyle w:val="Heading1"/>
      </w:pPr>
      <w:r>
        <w:t>11.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 xml:space="preserve">0</w:t>
            </w:r>
          </w:p>
        </w:tc>
        <w:tc>
          <w:tcPr>
            <w:tcW w:type="dxa" w:w="4320"/>
          </w:tcPr>
          <w:p>
            <w:r>
              <w:t xml:space="preserve">Medición inicial</w:t>
            </w:r>
          </w:p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 xml:space="preserve">agencia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 xml:space="preserve">tercero</w:t>
            </w:r>
          </w:p>
        </w:tc>
        <w:tc>
          <w:tcPr>
            <w:tcW w:type="dxa" w:w="4320"/>
          </w:tcPr>
          <w:p>
            <w:r>
              <w:t xml:space="preserve">A2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 xml:space="preserve">Comité mensual de seguimiento y presentación de informe evolutivo al comité de dirección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posiq. · Propuesta para Clínica Alborada Visión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/>
    </w:r>
    <w:r>
      <w:rPr>
        <w:color w:val="1F3A5F"/>
        <w:sz w:val="20"/>
        <w:szCs w:val="20"/>
        <w:b/>
      </w:rPr>
      <w:t xml:space="preserve">posiq.</w:t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